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208A3F" w14:textId="77777777" w:rsidR="00760F06" w:rsidRDefault="00760F06" w:rsidP="00760F06">
      <w:pPr>
        <w:spacing w:before="100" w:beforeAutospacing="1" w:after="100" w:afterAutospacing="1" w:line="360" w:lineRule="auto"/>
        <w:outlineLvl w:val="0"/>
        <w:rPr>
          <w:rFonts w:cs="Arial"/>
          <w:b/>
          <w:bCs/>
          <w:color w:val="000000" w:themeColor="text1"/>
          <w:kern w:val="36"/>
          <w:lang w:val="en"/>
        </w:rPr>
      </w:pPr>
      <w:bookmarkStart w:id="0" w:name="_GoBack"/>
      <w:bookmarkEnd w:id="0"/>
      <w:r>
        <w:rPr>
          <w:noProof/>
        </w:rPr>
        <mc:AlternateContent>
          <mc:Choice Requires="wps">
            <w:drawing>
              <wp:anchor distT="0" distB="0" distL="114300" distR="114300" simplePos="0" relativeHeight="251693056" behindDoc="0" locked="0" layoutInCell="1" allowOverlap="1" wp14:anchorId="02302AF1" wp14:editId="0CEC0219">
                <wp:simplePos x="0" y="0"/>
                <wp:positionH relativeFrom="column">
                  <wp:posOffset>1635125</wp:posOffset>
                </wp:positionH>
                <wp:positionV relativeFrom="paragraph">
                  <wp:posOffset>114300</wp:posOffset>
                </wp:positionV>
                <wp:extent cx="4535170" cy="274574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4535170" cy="2745740"/>
                        </a:xfrm>
                        <a:prstGeom prst="rect">
                          <a:avLst/>
                        </a:prstGeom>
                        <a:noFill/>
                        <a:ln>
                          <a:noFill/>
                        </a:ln>
                        <a:effectLst/>
                      </wps:spPr>
                      <wps:txbx>
                        <w:txbxContent>
                          <w:p w14:paraId="3F330016" w14:textId="44F39191" w:rsidR="00760F06" w:rsidRDefault="001C71EF" w:rsidP="00760F06">
                            <w:pPr>
                              <w:spacing w:before="100" w:beforeAutospacing="1" w:after="100" w:afterAutospacing="1" w:line="900" w:lineRule="exact"/>
                              <w:jc w:val="right"/>
                              <w:outlineLvl w:val="0"/>
                              <w:rPr>
                                <w:rFonts w:cs="Arial"/>
                                <w:b/>
                                <w:bCs/>
                                <w:color w:val="000000" w:themeColor="text1"/>
                                <w:kern w:val="36"/>
                                <w:sz w:val="90"/>
                                <w:szCs w:val="90"/>
                                <w:lang w:val="en"/>
                              </w:rPr>
                            </w:pPr>
                            <w:r>
                              <w:rPr>
                                <w:rFonts w:cs="Arial"/>
                                <w:b/>
                                <w:bCs/>
                                <w:color w:val="000000" w:themeColor="text1"/>
                                <w:kern w:val="36"/>
                                <w:sz w:val="90"/>
                                <w:szCs w:val="90"/>
                                <w:lang w:val="en"/>
                              </w:rPr>
                              <w:t>Statement of Accounts</w:t>
                            </w:r>
                          </w:p>
                          <w:p w14:paraId="22971580" w14:textId="59A5B66D" w:rsidR="00760F06" w:rsidRPr="00210AEC" w:rsidRDefault="001C71EF" w:rsidP="00760F06">
                            <w:pPr>
                              <w:spacing w:before="100" w:beforeAutospacing="1" w:after="100" w:afterAutospacing="1" w:line="500" w:lineRule="atLeast"/>
                              <w:jc w:val="right"/>
                              <w:outlineLvl w:val="0"/>
                              <w:rPr>
                                <w:rFonts w:cs="Arial"/>
                                <w:bCs/>
                                <w:color w:val="000000" w:themeColor="text1"/>
                                <w:kern w:val="36"/>
                                <w:sz w:val="50"/>
                                <w:szCs w:val="50"/>
                                <w:lang w:val="en"/>
                              </w:rPr>
                            </w:pPr>
                            <w:r>
                              <w:rPr>
                                <w:rFonts w:cs="Arial"/>
                                <w:bCs/>
                                <w:color w:val="000000" w:themeColor="text1"/>
                                <w:kern w:val="36"/>
                                <w:sz w:val="50"/>
                                <w:szCs w:val="50"/>
                                <w:lang w:val="en"/>
                              </w:rPr>
                              <w:t>Year Ending 31 March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302AF1" id="_x0000_t202" coordsize="21600,21600" o:spt="202" path="m,l,21600r21600,l21600,xe">
                <v:stroke joinstyle="miter"/>
                <v:path gradientshapeok="t" o:connecttype="rect"/>
              </v:shapetype>
              <v:shape id="Text Box 10" o:spid="_x0000_s1026" type="#_x0000_t202" style="position:absolute;left:0;text-align:left;margin-left:128.75pt;margin-top:9pt;width:357.1pt;height:216.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" filled="f" stroked="f">
                <v:textbox>
                  <w:txbxContent>
                    <w:p w14:paraId="3F330016" w14:textId="44F39191" w:rsidR="00760F06" w:rsidRDefault="001C71EF" w:rsidP="00760F06">
                      <w:pPr>
                        <w:spacing w:before="100" w:beforeAutospacing="1" w:after="100" w:afterAutospacing="1" w:line="900" w:lineRule="exact"/>
                        <w:jc w:val="right"/>
                        <w:outlineLvl w:val="0"/>
                        <w:rPr>
                          <w:rFonts w:cs="Arial"/>
                          <w:b/>
                          <w:bCs/>
                          <w:color w:val="000000" w:themeColor="text1"/>
                          <w:kern w:val="36"/>
                          <w:sz w:val="90"/>
                          <w:szCs w:val="90"/>
                          <w:lang w:val="en"/>
                        </w:rPr>
                      </w:pPr>
                      <w:r>
                        <w:rPr>
                          <w:rFonts w:cs="Arial"/>
                          <w:b/>
                          <w:bCs/>
                          <w:color w:val="000000" w:themeColor="text1"/>
                          <w:kern w:val="36"/>
                          <w:sz w:val="90"/>
                          <w:szCs w:val="90"/>
                          <w:lang w:val="en"/>
                        </w:rPr>
                        <w:t>Statement of Accounts</w:t>
                      </w:r>
                    </w:p>
                    <w:p w14:paraId="22971580" w14:textId="59A5B66D" w:rsidR="00760F06" w:rsidRPr="00210AEC" w:rsidRDefault="001C71EF" w:rsidP="00760F06">
                      <w:pPr>
                        <w:spacing w:before="100" w:beforeAutospacing="1" w:after="100" w:afterAutospacing="1" w:line="500" w:lineRule="atLeast"/>
                        <w:jc w:val="right"/>
                        <w:outlineLvl w:val="0"/>
                        <w:rPr>
                          <w:rFonts w:cs="Arial"/>
                          <w:bCs/>
                          <w:color w:val="000000" w:themeColor="text1"/>
                          <w:kern w:val="36"/>
                          <w:sz w:val="50"/>
                          <w:szCs w:val="50"/>
                          <w:lang w:val="en"/>
                        </w:rPr>
                      </w:pPr>
                      <w:r>
                        <w:rPr>
                          <w:rFonts w:cs="Arial"/>
                          <w:bCs/>
                          <w:color w:val="000000" w:themeColor="text1"/>
                          <w:kern w:val="36"/>
                          <w:sz w:val="50"/>
                          <w:szCs w:val="50"/>
                          <w:lang w:val="en"/>
                        </w:rPr>
                        <w:t>Year Ending 31 March 2021</w:t>
                      </w:r>
                    </w:p>
                  </w:txbxContent>
                </v:textbox>
                <w10:wrap type="square"/>
              </v:shape>
            </w:pict>
          </mc:Fallback>
        </mc:AlternateContent>
      </w:r>
      <w:r>
        <w:rPr>
          <w:rFonts w:cs="Arial"/>
          <w:b/>
          <w:bCs/>
          <w:noProof/>
          <w:color w:val="000000" w:themeColor="text1"/>
          <w:kern w:val="36"/>
        </w:rPr>
        <w:drawing>
          <wp:anchor distT="0" distB="0" distL="114300" distR="114300" simplePos="0" relativeHeight="251692032" behindDoc="1" locked="0" layoutInCell="1" allowOverlap="1" wp14:anchorId="55192DF1" wp14:editId="4204523C">
            <wp:simplePos x="0" y="0"/>
            <wp:positionH relativeFrom="column">
              <wp:posOffset>-882015</wp:posOffset>
            </wp:positionH>
            <wp:positionV relativeFrom="paragraph">
              <wp:posOffset>-911860</wp:posOffset>
            </wp:positionV>
            <wp:extent cx="7543957" cy="10671048"/>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RBC A4 internal doc template 2020 v1 media protoco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3957" cy="10671048"/>
                    </a:xfrm>
                    <a:prstGeom prst="rect">
                      <a:avLst/>
                    </a:prstGeom>
                  </pic:spPr>
                </pic:pic>
              </a:graphicData>
            </a:graphic>
            <wp14:sizeRelH relativeFrom="margin">
              <wp14:pctWidth>0</wp14:pctWidth>
            </wp14:sizeRelH>
            <wp14:sizeRelV relativeFrom="margin">
              <wp14:pctHeight>0</wp14:pctHeight>
            </wp14:sizeRelV>
          </wp:anchor>
        </w:drawing>
      </w:r>
    </w:p>
    <w:p w14:paraId="106455F3" w14:textId="77777777" w:rsidR="00760F06" w:rsidRDefault="00760F06" w:rsidP="00760F06">
      <w:pPr>
        <w:spacing w:before="100" w:beforeAutospacing="1" w:after="100" w:afterAutospacing="1" w:line="360" w:lineRule="auto"/>
        <w:outlineLvl w:val="0"/>
        <w:rPr>
          <w:rFonts w:cs="Arial"/>
          <w:b/>
          <w:bCs/>
          <w:color w:val="000000" w:themeColor="text1"/>
          <w:kern w:val="36"/>
          <w:lang w:val="en"/>
        </w:rPr>
      </w:pPr>
    </w:p>
    <w:p w14:paraId="7442148E" w14:textId="77777777" w:rsidR="00760F06" w:rsidRDefault="00760F06" w:rsidP="00760F06">
      <w:pPr>
        <w:spacing w:before="100" w:beforeAutospacing="1" w:after="100" w:afterAutospacing="1" w:line="360" w:lineRule="auto"/>
        <w:outlineLvl w:val="0"/>
        <w:rPr>
          <w:rFonts w:cs="Arial"/>
          <w:b/>
          <w:bCs/>
          <w:color w:val="000000" w:themeColor="text1"/>
          <w:kern w:val="36"/>
          <w:lang w:val="en"/>
        </w:rPr>
      </w:pPr>
    </w:p>
    <w:p w14:paraId="261B7E27" w14:textId="77777777" w:rsidR="00760F06" w:rsidRDefault="00760F06" w:rsidP="00760F06">
      <w:pPr>
        <w:spacing w:before="100" w:beforeAutospacing="1" w:after="100" w:afterAutospacing="1" w:line="360" w:lineRule="auto"/>
        <w:outlineLvl w:val="0"/>
        <w:rPr>
          <w:rFonts w:cs="Arial"/>
          <w:b/>
          <w:bCs/>
          <w:color w:val="000000" w:themeColor="text1"/>
          <w:kern w:val="36"/>
          <w:lang w:val="en"/>
        </w:rPr>
      </w:pPr>
    </w:p>
    <w:p w14:paraId="07C36DAC" w14:textId="77777777" w:rsidR="00760F06" w:rsidRDefault="00760F06" w:rsidP="00760F06">
      <w:pPr>
        <w:spacing w:before="100" w:beforeAutospacing="1" w:after="100" w:afterAutospacing="1" w:line="360" w:lineRule="auto"/>
        <w:outlineLvl w:val="0"/>
        <w:rPr>
          <w:rFonts w:cs="Arial"/>
          <w:b/>
          <w:bCs/>
          <w:color w:val="000000" w:themeColor="text1"/>
          <w:kern w:val="36"/>
          <w:lang w:val="en"/>
        </w:rPr>
      </w:pPr>
    </w:p>
    <w:p w14:paraId="6F53083E" w14:textId="77777777" w:rsidR="00760F06" w:rsidRDefault="00760F06" w:rsidP="00760F06">
      <w:pPr>
        <w:spacing w:before="100" w:beforeAutospacing="1" w:after="100" w:afterAutospacing="1" w:line="360" w:lineRule="auto"/>
        <w:outlineLvl w:val="0"/>
        <w:rPr>
          <w:rFonts w:cs="Arial"/>
          <w:b/>
          <w:bCs/>
          <w:color w:val="000000" w:themeColor="text1"/>
          <w:kern w:val="36"/>
          <w:lang w:val="en"/>
        </w:rPr>
      </w:pPr>
    </w:p>
    <w:p w14:paraId="5F702B88" w14:textId="77777777" w:rsidR="00760F06" w:rsidRDefault="00760F06" w:rsidP="00760F06">
      <w:pPr>
        <w:spacing w:before="100" w:beforeAutospacing="1" w:after="100" w:afterAutospacing="1" w:line="360" w:lineRule="auto"/>
        <w:outlineLvl w:val="0"/>
        <w:rPr>
          <w:rFonts w:cs="Arial"/>
          <w:b/>
          <w:bCs/>
          <w:color w:val="000000" w:themeColor="text1"/>
          <w:kern w:val="36"/>
          <w:lang w:val="en"/>
        </w:rPr>
      </w:pPr>
    </w:p>
    <w:p w14:paraId="6D42E7BB" w14:textId="77777777" w:rsidR="00760F06" w:rsidRDefault="00760F06" w:rsidP="00760F06">
      <w:pPr>
        <w:spacing w:before="100" w:beforeAutospacing="1" w:after="100" w:afterAutospacing="1" w:line="360" w:lineRule="auto"/>
        <w:outlineLvl w:val="0"/>
        <w:rPr>
          <w:rFonts w:cs="Arial"/>
          <w:b/>
          <w:bCs/>
          <w:color w:val="000000" w:themeColor="text1"/>
          <w:kern w:val="36"/>
          <w:lang w:val="en"/>
        </w:rPr>
      </w:pPr>
    </w:p>
    <w:p w14:paraId="3AC0DD48" w14:textId="77777777" w:rsidR="00760F06" w:rsidRDefault="00760F06" w:rsidP="00760F06">
      <w:pPr>
        <w:spacing w:before="100" w:beforeAutospacing="1" w:after="100" w:afterAutospacing="1" w:line="360" w:lineRule="auto"/>
        <w:outlineLvl w:val="0"/>
        <w:rPr>
          <w:rFonts w:cs="Arial"/>
          <w:b/>
          <w:bCs/>
          <w:color w:val="000000" w:themeColor="text1"/>
          <w:kern w:val="36"/>
          <w:lang w:val="en"/>
        </w:rPr>
      </w:pPr>
    </w:p>
    <w:p w14:paraId="13F5DFD0" w14:textId="77777777" w:rsidR="00760F06" w:rsidRDefault="00760F06" w:rsidP="00760F06">
      <w:pPr>
        <w:spacing w:before="100" w:beforeAutospacing="1" w:after="100" w:afterAutospacing="1" w:line="360" w:lineRule="auto"/>
        <w:outlineLvl w:val="0"/>
        <w:rPr>
          <w:rFonts w:cs="Arial"/>
          <w:b/>
          <w:bCs/>
          <w:color w:val="000000" w:themeColor="text1"/>
          <w:kern w:val="36"/>
          <w:lang w:val="en"/>
        </w:rPr>
      </w:pPr>
    </w:p>
    <w:p w14:paraId="5A97DB12" w14:textId="77777777" w:rsidR="00760F06" w:rsidRDefault="00760F06" w:rsidP="00760F06">
      <w:pPr>
        <w:spacing w:before="100" w:beforeAutospacing="1" w:after="100" w:afterAutospacing="1" w:line="360" w:lineRule="auto"/>
        <w:outlineLvl w:val="0"/>
        <w:rPr>
          <w:rFonts w:cs="Arial"/>
          <w:b/>
          <w:bCs/>
          <w:color w:val="000000" w:themeColor="text1"/>
          <w:kern w:val="36"/>
          <w:lang w:val="en"/>
        </w:rPr>
      </w:pPr>
    </w:p>
    <w:p w14:paraId="0EBC1756" w14:textId="77777777" w:rsidR="00760F06" w:rsidRDefault="00760F06" w:rsidP="00760F06">
      <w:pPr>
        <w:spacing w:before="100" w:beforeAutospacing="1" w:after="100" w:afterAutospacing="1" w:line="360" w:lineRule="auto"/>
        <w:outlineLvl w:val="0"/>
        <w:rPr>
          <w:rFonts w:cs="Arial"/>
          <w:b/>
          <w:bCs/>
          <w:color w:val="000000" w:themeColor="text1"/>
          <w:kern w:val="36"/>
          <w:lang w:val="en"/>
        </w:rPr>
      </w:pPr>
    </w:p>
    <w:p w14:paraId="60D7F0E4" w14:textId="77777777" w:rsidR="00760F06" w:rsidRDefault="00760F06" w:rsidP="00760F06">
      <w:pPr>
        <w:spacing w:before="100" w:beforeAutospacing="1" w:after="100" w:afterAutospacing="1" w:line="360" w:lineRule="auto"/>
        <w:outlineLvl w:val="0"/>
        <w:rPr>
          <w:rFonts w:cs="Arial"/>
          <w:b/>
          <w:bCs/>
          <w:color w:val="000000" w:themeColor="text1"/>
          <w:kern w:val="36"/>
          <w:lang w:val="en"/>
        </w:rPr>
      </w:pPr>
    </w:p>
    <w:p w14:paraId="574152F0" w14:textId="77777777" w:rsidR="00760F06" w:rsidRDefault="00760F06" w:rsidP="00760F06">
      <w:pPr>
        <w:spacing w:before="100" w:beforeAutospacing="1" w:after="100" w:afterAutospacing="1" w:line="360" w:lineRule="auto"/>
        <w:outlineLvl w:val="0"/>
        <w:rPr>
          <w:rFonts w:cs="Arial"/>
          <w:b/>
          <w:bCs/>
          <w:color w:val="000000" w:themeColor="text1"/>
          <w:kern w:val="36"/>
          <w:lang w:val="en"/>
        </w:rPr>
      </w:pPr>
    </w:p>
    <w:p w14:paraId="0017A18D" w14:textId="77777777" w:rsidR="00760F06" w:rsidRDefault="00760F06" w:rsidP="00760F06">
      <w:pPr>
        <w:spacing w:before="100" w:beforeAutospacing="1" w:after="100" w:afterAutospacing="1" w:line="360" w:lineRule="auto"/>
        <w:outlineLvl w:val="0"/>
        <w:rPr>
          <w:rFonts w:cs="Arial"/>
          <w:b/>
          <w:bCs/>
          <w:color w:val="000000" w:themeColor="text1"/>
          <w:kern w:val="36"/>
          <w:lang w:val="en"/>
        </w:rPr>
      </w:pPr>
    </w:p>
    <w:p w14:paraId="259D41F7" w14:textId="77777777" w:rsidR="00760F06" w:rsidRDefault="00760F06" w:rsidP="00760F06">
      <w:pPr>
        <w:spacing w:before="100" w:beforeAutospacing="1" w:after="100" w:afterAutospacing="1" w:line="360" w:lineRule="auto"/>
        <w:outlineLvl w:val="0"/>
        <w:rPr>
          <w:rFonts w:cs="Arial"/>
          <w:b/>
          <w:bCs/>
          <w:color w:val="000000" w:themeColor="text1"/>
          <w:kern w:val="36"/>
          <w:lang w:val="en"/>
        </w:rPr>
      </w:pPr>
    </w:p>
    <w:p w14:paraId="1CF86CDD" w14:textId="77777777" w:rsidR="00760F06" w:rsidRDefault="00760F06" w:rsidP="00760F06">
      <w:pPr>
        <w:spacing w:before="100" w:beforeAutospacing="1" w:after="100" w:afterAutospacing="1" w:line="360" w:lineRule="auto"/>
        <w:outlineLvl w:val="0"/>
        <w:rPr>
          <w:rFonts w:cs="Arial"/>
          <w:b/>
          <w:bCs/>
          <w:color w:val="000000" w:themeColor="text1"/>
          <w:kern w:val="36"/>
          <w:lang w:val="en"/>
        </w:rPr>
      </w:pPr>
    </w:p>
    <w:p w14:paraId="01750A05" w14:textId="77777777" w:rsidR="00760F06" w:rsidRDefault="00760F06" w:rsidP="00760F06">
      <w:pPr>
        <w:spacing w:before="100" w:beforeAutospacing="1" w:after="100" w:afterAutospacing="1" w:line="360" w:lineRule="auto"/>
        <w:outlineLvl w:val="0"/>
        <w:rPr>
          <w:rFonts w:cs="Arial"/>
          <w:b/>
          <w:bCs/>
          <w:color w:val="000000" w:themeColor="text1"/>
          <w:kern w:val="36"/>
          <w:lang w:val="en"/>
        </w:rPr>
      </w:pPr>
    </w:p>
    <w:p w14:paraId="020E09FB" w14:textId="77777777" w:rsidR="00760F06" w:rsidRDefault="00760F06" w:rsidP="00760F06">
      <w:pPr>
        <w:spacing w:before="100" w:beforeAutospacing="1" w:after="100" w:afterAutospacing="1" w:line="360" w:lineRule="auto"/>
        <w:outlineLvl w:val="0"/>
        <w:rPr>
          <w:rFonts w:cs="Arial"/>
          <w:b/>
          <w:bCs/>
          <w:color w:val="000000" w:themeColor="text1"/>
          <w:kern w:val="36"/>
          <w:lang w:val="en"/>
        </w:rPr>
      </w:pPr>
    </w:p>
    <w:p w14:paraId="32A3F249" w14:textId="77777777" w:rsidR="00760F06" w:rsidRDefault="00CA012B" w:rsidP="00B5455D">
      <w:pPr>
        <w:pStyle w:val="TOCHeading"/>
        <w:rPr>
          <w:rFonts w:ascii="Arial" w:eastAsia="Times New Roman" w:hAnsi="Arial" w:cs="Times New Roman"/>
          <w:color w:val="auto"/>
          <w:sz w:val="22"/>
          <w:szCs w:val="24"/>
          <w:lang w:val="en-GB" w:eastAsia="en-GB"/>
        </w:rPr>
      </w:pPr>
      <w:r>
        <w:rPr>
          <w:noProof/>
        </w:rPr>
        <mc:AlternateContent>
          <mc:Choice Requires="wps">
            <w:drawing>
              <wp:anchor distT="45720" distB="45720" distL="114300" distR="114300" simplePos="0" relativeHeight="251682816" behindDoc="0" locked="0" layoutInCell="1" allowOverlap="1" wp14:anchorId="36F153D5" wp14:editId="190A678B">
                <wp:simplePos x="0" y="0"/>
                <wp:positionH relativeFrom="column">
                  <wp:posOffset>4029075</wp:posOffset>
                </wp:positionH>
                <wp:positionV relativeFrom="paragraph">
                  <wp:posOffset>493395</wp:posOffset>
                </wp:positionV>
                <wp:extent cx="2479675" cy="9144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675" cy="914400"/>
                        </a:xfrm>
                        <a:prstGeom prst="rect">
                          <a:avLst/>
                        </a:prstGeom>
                        <a:noFill/>
                        <a:ln w="9525">
                          <a:noFill/>
                          <a:miter lim="800000"/>
                          <a:headEnd/>
                          <a:tailEnd/>
                        </a:ln>
                      </wps:spPr>
                      <wps:txbx>
                        <w:txbxContent>
                          <w:p w14:paraId="416F62CF" w14:textId="0B00BB44" w:rsidR="002E7B90" w:rsidRPr="00BB3DE4" w:rsidRDefault="002E7B90" w:rsidP="00BB3DE4">
                            <w:pPr>
                              <w:jc w:val="center"/>
                              <w:rPr>
                                <w:rFonts w:ascii="Arial Black" w:hAnsi="Arial Black"/>
                                <w:color w:val="FFFFFF" w:themeColor="background1"/>
                                <w:sz w:val="44"/>
                                <w:szCs w:val="44"/>
                              </w:rPr>
                            </w:pPr>
                            <w:r w:rsidRPr="00BB3DE4">
                              <w:rPr>
                                <w:rFonts w:ascii="Arial Black" w:hAnsi="Arial Black"/>
                                <w:color w:val="FFFFFF" w:themeColor="background1"/>
                                <w:sz w:val="44"/>
                                <w:szCs w:val="44"/>
                              </w:rPr>
                              <w:t>Y</w:t>
                            </w:r>
                            <w:r>
                              <w:rPr>
                                <w:rFonts w:ascii="Arial Black" w:hAnsi="Arial Black"/>
                                <w:color w:val="FFFFFF" w:themeColor="background1"/>
                                <w:sz w:val="44"/>
                                <w:szCs w:val="44"/>
                              </w:rPr>
                              <w:t>ear Ending 31 March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153D5" id="Text Box 2" o:spid="_x0000_s1027" type="#_x0000_t202" style="position:absolute;left:0;text-align:left;margin-left:317.25pt;margin-top:38.85pt;width:195.25pt;height:1in;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" filled="f" stroked="f">
                <v:textbox>
                  <w:txbxContent>
                    <w:p w14:paraId="416F62CF" w14:textId="0B00BB44" w:rsidR="002E7B90" w:rsidRPr="00BB3DE4" w:rsidRDefault="002E7B90" w:rsidP="00BB3DE4">
                      <w:pPr>
                        <w:jc w:val="center"/>
                        <w:rPr>
                          <w:rFonts w:ascii="Arial Black" w:hAnsi="Arial Black"/>
                          <w:color w:val="FFFFFF" w:themeColor="background1"/>
                          <w:sz w:val="44"/>
                          <w:szCs w:val="44"/>
                        </w:rPr>
                      </w:pPr>
                      <w:r w:rsidRPr="00BB3DE4">
                        <w:rPr>
                          <w:rFonts w:ascii="Arial Black" w:hAnsi="Arial Black"/>
                          <w:color w:val="FFFFFF" w:themeColor="background1"/>
                          <w:sz w:val="44"/>
                          <w:szCs w:val="44"/>
                        </w:rPr>
                        <w:t>Y</w:t>
                      </w:r>
                      <w:r>
                        <w:rPr>
                          <w:rFonts w:ascii="Arial Black" w:hAnsi="Arial Black"/>
                          <w:color w:val="FFFFFF" w:themeColor="background1"/>
                          <w:sz w:val="44"/>
                          <w:szCs w:val="44"/>
                        </w:rPr>
                        <w:t>ear Ending 31 March 2021</w:t>
                      </w:r>
                    </w:p>
                  </w:txbxContent>
                </v:textbox>
                <w10:wrap type="square"/>
              </v:shape>
            </w:pict>
          </mc:Fallback>
        </mc:AlternateContent>
      </w:r>
    </w:p>
    <w:sdt>
      <w:sdtPr>
        <w:id w:val="1066152250"/>
        <w:docPartObj>
          <w:docPartGallery w:val="Table of Contents"/>
          <w:docPartUnique/>
        </w:docPartObj>
      </w:sdtPr>
      <w:sdtEndPr>
        <w:rPr>
          <w:b/>
          <w:bCs/>
          <w:noProof/>
        </w:rPr>
      </w:sdtEndPr>
      <w:sdtContent>
        <w:p w14:paraId="753C71BE" w14:textId="7D39EF72" w:rsidR="00D02225" w:rsidRPr="00EC06E7" w:rsidRDefault="00D02225" w:rsidP="00760F06">
          <w:pPr>
            <w:rPr>
              <w:rStyle w:val="Heading1Char"/>
            </w:rPr>
          </w:pPr>
          <w:r w:rsidRPr="00EC06E7">
            <w:rPr>
              <w:rStyle w:val="Heading1Char"/>
            </w:rPr>
            <w:t>Contents</w:t>
          </w:r>
        </w:p>
        <w:p w14:paraId="093A3B26" w14:textId="44EA7557" w:rsidR="00A92F56" w:rsidRDefault="005A74CC">
          <w:pPr>
            <w:pStyle w:val="TOC1"/>
            <w:tabs>
              <w:tab w:val="right" w:leader="dot" w:pos="9016"/>
            </w:tabs>
            <w:rPr>
              <w:rFonts w:asciiTheme="minorHAnsi" w:eastAsiaTheme="minorEastAsia" w:hAnsiTheme="minorHAnsi" w:cstheme="minorBidi"/>
              <w:noProof/>
              <w:szCs w:val="22"/>
            </w:rPr>
          </w:pPr>
          <w:r w:rsidRPr="00EC06E7">
            <w:fldChar w:fldCharType="begin"/>
          </w:r>
          <w:r w:rsidRPr="00EC06E7">
            <w:instrText xml:space="preserve"> TOC \o "1-2" \h \z \u </w:instrText>
          </w:r>
          <w:r w:rsidRPr="00EC06E7">
            <w:fldChar w:fldCharType="separate"/>
          </w:r>
          <w:hyperlink w:anchor="_Toc77603766" w:history="1">
            <w:r w:rsidR="00A92F56" w:rsidRPr="00575E77">
              <w:rPr>
                <w:rStyle w:val="Hyperlink"/>
                <w:noProof/>
                <w:lang w:eastAsia="en-US"/>
              </w:rPr>
              <w:t>Narrative Report of the Chief Financial Officer</w:t>
            </w:r>
            <w:r w:rsidR="00A92F56">
              <w:rPr>
                <w:noProof/>
                <w:webHidden/>
              </w:rPr>
              <w:tab/>
            </w:r>
            <w:r w:rsidR="00A92F56">
              <w:rPr>
                <w:noProof/>
                <w:webHidden/>
              </w:rPr>
              <w:fldChar w:fldCharType="begin"/>
            </w:r>
            <w:r w:rsidR="00A92F56">
              <w:rPr>
                <w:noProof/>
                <w:webHidden/>
              </w:rPr>
              <w:instrText xml:space="preserve"> PAGEREF _Toc77603766 \h </w:instrText>
            </w:r>
            <w:r w:rsidR="00A92F56">
              <w:rPr>
                <w:noProof/>
                <w:webHidden/>
              </w:rPr>
            </w:r>
            <w:r w:rsidR="00A92F56">
              <w:rPr>
                <w:noProof/>
                <w:webHidden/>
              </w:rPr>
              <w:fldChar w:fldCharType="separate"/>
            </w:r>
            <w:r w:rsidR="00A92F56">
              <w:rPr>
                <w:noProof/>
                <w:webHidden/>
              </w:rPr>
              <w:t>4</w:t>
            </w:r>
            <w:r w:rsidR="00A92F56">
              <w:rPr>
                <w:noProof/>
                <w:webHidden/>
              </w:rPr>
              <w:fldChar w:fldCharType="end"/>
            </w:r>
          </w:hyperlink>
        </w:p>
        <w:p w14:paraId="19FBDD33" w14:textId="65725F1E" w:rsidR="00A92F56" w:rsidRDefault="001C71EF">
          <w:pPr>
            <w:pStyle w:val="TOC1"/>
            <w:tabs>
              <w:tab w:val="right" w:leader="dot" w:pos="9016"/>
            </w:tabs>
            <w:rPr>
              <w:rFonts w:asciiTheme="minorHAnsi" w:eastAsiaTheme="minorEastAsia" w:hAnsiTheme="minorHAnsi" w:cstheme="minorBidi"/>
              <w:noProof/>
              <w:szCs w:val="22"/>
            </w:rPr>
          </w:pPr>
          <w:hyperlink w:anchor="_Toc77603767" w:history="1">
            <w:r w:rsidR="00A92F56" w:rsidRPr="00575E77">
              <w:rPr>
                <w:rStyle w:val="Hyperlink"/>
                <w:noProof/>
                <w:lang w:eastAsia="en-US"/>
              </w:rPr>
              <w:t>Introduction to the Statement of Accounts</w:t>
            </w:r>
            <w:r w:rsidR="00A92F56">
              <w:rPr>
                <w:noProof/>
                <w:webHidden/>
              </w:rPr>
              <w:tab/>
            </w:r>
            <w:r w:rsidR="00A92F56">
              <w:rPr>
                <w:noProof/>
                <w:webHidden/>
              </w:rPr>
              <w:fldChar w:fldCharType="begin"/>
            </w:r>
            <w:r w:rsidR="00A92F56">
              <w:rPr>
                <w:noProof/>
                <w:webHidden/>
              </w:rPr>
              <w:instrText xml:space="preserve"> PAGEREF _Toc77603767 \h </w:instrText>
            </w:r>
            <w:r w:rsidR="00A92F56">
              <w:rPr>
                <w:noProof/>
                <w:webHidden/>
              </w:rPr>
            </w:r>
            <w:r w:rsidR="00A92F56">
              <w:rPr>
                <w:noProof/>
                <w:webHidden/>
              </w:rPr>
              <w:fldChar w:fldCharType="separate"/>
            </w:r>
            <w:r w:rsidR="00A92F56">
              <w:rPr>
                <w:noProof/>
                <w:webHidden/>
              </w:rPr>
              <w:t>34</w:t>
            </w:r>
            <w:r w:rsidR="00A92F56">
              <w:rPr>
                <w:noProof/>
                <w:webHidden/>
              </w:rPr>
              <w:fldChar w:fldCharType="end"/>
            </w:r>
          </w:hyperlink>
        </w:p>
        <w:p w14:paraId="6E61B070" w14:textId="4080296A" w:rsidR="00A92F56" w:rsidRDefault="001C71EF">
          <w:pPr>
            <w:pStyle w:val="TOC1"/>
            <w:tabs>
              <w:tab w:val="right" w:leader="dot" w:pos="9016"/>
            </w:tabs>
            <w:rPr>
              <w:rFonts w:asciiTheme="minorHAnsi" w:eastAsiaTheme="minorEastAsia" w:hAnsiTheme="minorHAnsi" w:cstheme="minorBidi"/>
              <w:noProof/>
              <w:szCs w:val="22"/>
            </w:rPr>
          </w:pPr>
          <w:hyperlink w:anchor="_Toc77603768" w:history="1">
            <w:r w:rsidR="00A92F56" w:rsidRPr="00575E77">
              <w:rPr>
                <w:rStyle w:val="Hyperlink"/>
                <w:noProof/>
              </w:rPr>
              <w:t>The Independent Auditor’s Report</w:t>
            </w:r>
            <w:r w:rsidR="00A92F56">
              <w:rPr>
                <w:noProof/>
                <w:webHidden/>
              </w:rPr>
              <w:tab/>
            </w:r>
            <w:r w:rsidR="00A92F56">
              <w:rPr>
                <w:noProof/>
                <w:webHidden/>
              </w:rPr>
              <w:fldChar w:fldCharType="begin"/>
            </w:r>
            <w:r w:rsidR="00A92F56">
              <w:rPr>
                <w:noProof/>
                <w:webHidden/>
              </w:rPr>
              <w:instrText xml:space="preserve"> PAGEREF _Toc77603768 \h </w:instrText>
            </w:r>
            <w:r w:rsidR="00A92F56">
              <w:rPr>
                <w:noProof/>
                <w:webHidden/>
              </w:rPr>
            </w:r>
            <w:r w:rsidR="00A92F56">
              <w:rPr>
                <w:noProof/>
                <w:webHidden/>
              </w:rPr>
              <w:fldChar w:fldCharType="separate"/>
            </w:r>
            <w:r w:rsidR="00A92F56">
              <w:rPr>
                <w:noProof/>
                <w:webHidden/>
              </w:rPr>
              <w:t>36</w:t>
            </w:r>
            <w:r w:rsidR="00A92F56">
              <w:rPr>
                <w:noProof/>
                <w:webHidden/>
              </w:rPr>
              <w:fldChar w:fldCharType="end"/>
            </w:r>
          </w:hyperlink>
        </w:p>
        <w:p w14:paraId="34BA9A65" w14:textId="2E24D2A1" w:rsidR="00A92F56" w:rsidRDefault="001C71EF">
          <w:pPr>
            <w:pStyle w:val="TOC1"/>
            <w:tabs>
              <w:tab w:val="right" w:leader="dot" w:pos="9016"/>
            </w:tabs>
            <w:rPr>
              <w:rFonts w:asciiTheme="minorHAnsi" w:eastAsiaTheme="minorEastAsia" w:hAnsiTheme="minorHAnsi" w:cstheme="minorBidi"/>
              <w:noProof/>
              <w:szCs w:val="22"/>
            </w:rPr>
          </w:pPr>
          <w:hyperlink w:anchor="_Toc77603769" w:history="1">
            <w:r w:rsidR="00A92F56" w:rsidRPr="00575E77">
              <w:rPr>
                <w:rStyle w:val="Hyperlink"/>
                <w:noProof/>
              </w:rPr>
              <w:t>Statement of Responsibilities</w:t>
            </w:r>
            <w:r w:rsidR="00A92F56">
              <w:rPr>
                <w:noProof/>
                <w:webHidden/>
              </w:rPr>
              <w:tab/>
            </w:r>
            <w:r w:rsidR="00A92F56">
              <w:rPr>
                <w:noProof/>
                <w:webHidden/>
              </w:rPr>
              <w:fldChar w:fldCharType="begin"/>
            </w:r>
            <w:r w:rsidR="00A92F56">
              <w:rPr>
                <w:noProof/>
                <w:webHidden/>
              </w:rPr>
              <w:instrText xml:space="preserve"> PAGEREF _Toc77603769 \h </w:instrText>
            </w:r>
            <w:r w:rsidR="00A92F56">
              <w:rPr>
                <w:noProof/>
                <w:webHidden/>
              </w:rPr>
            </w:r>
            <w:r w:rsidR="00A92F56">
              <w:rPr>
                <w:noProof/>
                <w:webHidden/>
              </w:rPr>
              <w:fldChar w:fldCharType="separate"/>
            </w:r>
            <w:r w:rsidR="00A92F56">
              <w:rPr>
                <w:noProof/>
                <w:webHidden/>
              </w:rPr>
              <w:t>41</w:t>
            </w:r>
            <w:r w:rsidR="00A92F56">
              <w:rPr>
                <w:noProof/>
                <w:webHidden/>
              </w:rPr>
              <w:fldChar w:fldCharType="end"/>
            </w:r>
          </w:hyperlink>
        </w:p>
        <w:p w14:paraId="75C1E922" w14:textId="4A142C63" w:rsidR="00A92F56" w:rsidRDefault="001C71EF">
          <w:pPr>
            <w:pStyle w:val="TOC1"/>
            <w:tabs>
              <w:tab w:val="right" w:leader="dot" w:pos="9016"/>
            </w:tabs>
            <w:rPr>
              <w:rFonts w:asciiTheme="minorHAnsi" w:eastAsiaTheme="minorEastAsia" w:hAnsiTheme="minorHAnsi" w:cstheme="minorBidi"/>
              <w:noProof/>
              <w:szCs w:val="22"/>
            </w:rPr>
          </w:pPr>
          <w:hyperlink w:anchor="_Toc77603770" w:history="1">
            <w:r w:rsidR="00A92F56" w:rsidRPr="00575E77">
              <w:rPr>
                <w:rStyle w:val="Hyperlink"/>
                <w:noProof/>
              </w:rPr>
              <w:t>CORE FINANCIAL STATEMENTS</w:t>
            </w:r>
            <w:r w:rsidR="00A92F56">
              <w:rPr>
                <w:noProof/>
                <w:webHidden/>
              </w:rPr>
              <w:tab/>
            </w:r>
            <w:r w:rsidR="00A92F56">
              <w:rPr>
                <w:noProof/>
                <w:webHidden/>
              </w:rPr>
              <w:fldChar w:fldCharType="begin"/>
            </w:r>
            <w:r w:rsidR="00A92F56">
              <w:rPr>
                <w:noProof/>
                <w:webHidden/>
              </w:rPr>
              <w:instrText xml:space="preserve"> PAGEREF _Toc77603770 \h </w:instrText>
            </w:r>
            <w:r w:rsidR="00A92F56">
              <w:rPr>
                <w:noProof/>
                <w:webHidden/>
              </w:rPr>
            </w:r>
            <w:r w:rsidR="00A92F56">
              <w:rPr>
                <w:noProof/>
                <w:webHidden/>
              </w:rPr>
              <w:fldChar w:fldCharType="separate"/>
            </w:r>
            <w:r w:rsidR="00A92F56">
              <w:rPr>
                <w:noProof/>
                <w:webHidden/>
              </w:rPr>
              <w:t>42</w:t>
            </w:r>
            <w:r w:rsidR="00A92F56">
              <w:rPr>
                <w:noProof/>
                <w:webHidden/>
              </w:rPr>
              <w:fldChar w:fldCharType="end"/>
            </w:r>
          </w:hyperlink>
        </w:p>
        <w:p w14:paraId="2B19B264" w14:textId="2C879BEE" w:rsidR="00A92F56" w:rsidRDefault="001C71EF">
          <w:pPr>
            <w:pStyle w:val="TOC1"/>
            <w:tabs>
              <w:tab w:val="right" w:leader="dot" w:pos="9016"/>
            </w:tabs>
            <w:rPr>
              <w:rFonts w:asciiTheme="minorHAnsi" w:eastAsiaTheme="minorEastAsia" w:hAnsiTheme="minorHAnsi" w:cstheme="minorBidi"/>
              <w:noProof/>
              <w:szCs w:val="22"/>
            </w:rPr>
          </w:pPr>
          <w:hyperlink w:anchor="_Toc77603771" w:history="1">
            <w:r w:rsidR="00A92F56" w:rsidRPr="00575E77">
              <w:rPr>
                <w:rStyle w:val="Hyperlink"/>
                <w:noProof/>
              </w:rPr>
              <w:t>Comprehensive Income and Expenditure Statement</w:t>
            </w:r>
            <w:r w:rsidR="00A92F56">
              <w:rPr>
                <w:noProof/>
                <w:webHidden/>
              </w:rPr>
              <w:tab/>
            </w:r>
            <w:r w:rsidR="00A92F56">
              <w:rPr>
                <w:noProof/>
                <w:webHidden/>
              </w:rPr>
              <w:fldChar w:fldCharType="begin"/>
            </w:r>
            <w:r w:rsidR="00A92F56">
              <w:rPr>
                <w:noProof/>
                <w:webHidden/>
              </w:rPr>
              <w:instrText xml:space="preserve"> PAGEREF _Toc77603771 \h </w:instrText>
            </w:r>
            <w:r w:rsidR="00A92F56">
              <w:rPr>
                <w:noProof/>
                <w:webHidden/>
              </w:rPr>
            </w:r>
            <w:r w:rsidR="00A92F56">
              <w:rPr>
                <w:noProof/>
                <w:webHidden/>
              </w:rPr>
              <w:fldChar w:fldCharType="separate"/>
            </w:r>
            <w:r w:rsidR="00A92F56">
              <w:rPr>
                <w:noProof/>
                <w:webHidden/>
              </w:rPr>
              <w:t>42</w:t>
            </w:r>
            <w:r w:rsidR="00A92F56">
              <w:rPr>
                <w:noProof/>
                <w:webHidden/>
              </w:rPr>
              <w:fldChar w:fldCharType="end"/>
            </w:r>
          </w:hyperlink>
        </w:p>
        <w:p w14:paraId="13DD75AE" w14:textId="7B0B8246" w:rsidR="00A92F56" w:rsidRDefault="001C71EF">
          <w:pPr>
            <w:pStyle w:val="TOC1"/>
            <w:tabs>
              <w:tab w:val="right" w:leader="dot" w:pos="9016"/>
            </w:tabs>
            <w:rPr>
              <w:rFonts w:asciiTheme="minorHAnsi" w:eastAsiaTheme="minorEastAsia" w:hAnsiTheme="minorHAnsi" w:cstheme="minorBidi"/>
              <w:noProof/>
              <w:szCs w:val="22"/>
            </w:rPr>
          </w:pPr>
          <w:hyperlink w:anchor="_Toc77603772" w:history="1">
            <w:r w:rsidR="00A92F56" w:rsidRPr="00575E77">
              <w:rPr>
                <w:rStyle w:val="Hyperlink"/>
                <w:noProof/>
              </w:rPr>
              <w:t>Movement in Reserves Statement</w:t>
            </w:r>
            <w:r w:rsidR="00A92F56">
              <w:rPr>
                <w:noProof/>
                <w:webHidden/>
              </w:rPr>
              <w:tab/>
            </w:r>
            <w:r w:rsidR="00A92F56">
              <w:rPr>
                <w:noProof/>
                <w:webHidden/>
              </w:rPr>
              <w:fldChar w:fldCharType="begin"/>
            </w:r>
            <w:r w:rsidR="00A92F56">
              <w:rPr>
                <w:noProof/>
                <w:webHidden/>
              </w:rPr>
              <w:instrText xml:space="preserve"> PAGEREF _Toc77603772 \h </w:instrText>
            </w:r>
            <w:r w:rsidR="00A92F56">
              <w:rPr>
                <w:noProof/>
                <w:webHidden/>
              </w:rPr>
            </w:r>
            <w:r w:rsidR="00A92F56">
              <w:rPr>
                <w:noProof/>
                <w:webHidden/>
              </w:rPr>
              <w:fldChar w:fldCharType="separate"/>
            </w:r>
            <w:r w:rsidR="00A92F56">
              <w:rPr>
                <w:noProof/>
                <w:webHidden/>
              </w:rPr>
              <w:t>43</w:t>
            </w:r>
            <w:r w:rsidR="00A92F56">
              <w:rPr>
                <w:noProof/>
                <w:webHidden/>
              </w:rPr>
              <w:fldChar w:fldCharType="end"/>
            </w:r>
          </w:hyperlink>
        </w:p>
        <w:p w14:paraId="31F85566" w14:textId="50DB1890" w:rsidR="00A92F56" w:rsidRDefault="001C71EF">
          <w:pPr>
            <w:pStyle w:val="TOC1"/>
            <w:tabs>
              <w:tab w:val="right" w:leader="dot" w:pos="9016"/>
            </w:tabs>
            <w:rPr>
              <w:rFonts w:asciiTheme="minorHAnsi" w:eastAsiaTheme="minorEastAsia" w:hAnsiTheme="minorHAnsi" w:cstheme="minorBidi"/>
              <w:noProof/>
              <w:szCs w:val="22"/>
            </w:rPr>
          </w:pPr>
          <w:hyperlink w:anchor="_Toc77603773" w:history="1">
            <w:r w:rsidR="00A92F56" w:rsidRPr="00575E77">
              <w:rPr>
                <w:rStyle w:val="Hyperlink"/>
                <w:noProof/>
              </w:rPr>
              <w:t>Balance Sheet</w:t>
            </w:r>
            <w:r w:rsidR="00A92F56">
              <w:rPr>
                <w:noProof/>
                <w:webHidden/>
              </w:rPr>
              <w:tab/>
            </w:r>
            <w:r w:rsidR="00A92F56">
              <w:rPr>
                <w:noProof/>
                <w:webHidden/>
              </w:rPr>
              <w:fldChar w:fldCharType="begin"/>
            </w:r>
            <w:r w:rsidR="00A92F56">
              <w:rPr>
                <w:noProof/>
                <w:webHidden/>
              </w:rPr>
              <w:instrText xml:space="preserve"> PAGEREF _Toc77603773 \h </w:instrText>
            </w:r>
            <w:r w:rsidR="00A92F56">
              <w:rPr>
                <w:noProof/>
                <w:webHidden/>
              </w:rPr>
            </w:r>
            <w:r w:rsidR="00A92F56">
              <w:rPr>
                <w:noProof/>
                <w:webHidden/>
              </w:rPr>
              <w:fldChar w:fldCharType="separate"/>
            </w:r>
            <w:r w:rsidR="00A92F56">
              <w:rPr>
                <w:noProof/>
                <w:webHidden/>
              </w:rPr>
              <w:t>44</w:t>
            </w:r>
            <w:r w:rsidR="00A92F56">
              <w:rPr>
                <w:noProof/>
                <w:webHidden/>
              </w:rPr>
              <w:fldChar w:fldCharType="end"/>
            </w:r>
          </w:hyperlink>
        </w:p>
        <w:p w14:paraId="1EF104F2" w14:textId="017B7F5E" w:rsidR="00A92F56" w:rsidRDefault="001C71EF">
          <w:pPr>
            <w:pStyle w:val="TOC1"/>
            <w:tabs>
              <w:tab w:val="right" w:leader="dot" w:pos="9016"/>
            </w:tabs>
            <w:rPr>
              <w:rFonts w:asciiTheme="minorHAnsi" w:eastAsiaTheme="minorEastAsia" w:hAnsiTheme="minorHAnsi" w:cstheme="minorBidi"/>
              <w:noProof/>
              <w:szCs w:val="22"/>
            </w:rPr>
          </w:pPr>
          <w:hyperlink w:anchor="_Toc77603774" w:history="1">
            <w:r w:rsidR="00A92F56" w:rsidRPr="00575E77">
              <w:rPr>
                <w:rStyle w:val="Hyperlink"/>
                <w:noProof/>
              </w:rPr>
              <w:t>Cash Flow Statement</w:t>
            </w:r>
            <w:r w:rsidR="00A92F56">
              <w:rPr>
                <w:noProof/>
                <w:webHidden/>
              </w:rPr>
              <w:tab/>
            </w:r>
            <w:r w:rsidR="00A92F56">
              <w:rPr>
                <w:noProof/>
                <w:webHidden/>
              </w:rPr>
              <w:fldChar w:fldCharType="begin"/>
            </w:r>
            <w:r w:rsidR="00A92F56">
              <w:rPr>
                <w:noProof/>
                <w:webHidden/>
              </w:rPr>
              <w:instrText xml:space="preserve"> PAGEREF _Toc77603774 \h </w:instrText>
            </w:r>
            <w:r w:rsidR="00A92F56">
              <w:rPr>
                <w:noProof/>
                <w:webHidden/>
              </w:rPr>
            </w:r>
            <w:r w:rsidR="00A92F56">
              <w:rPr>
                <w:noProof/>
                <w:webHidden/>
              </w:rPr>
              <w:fldChar w:fldCharType="separate"/>
            </w:r>
            <w:r w:rsidR="00A92F56">
              <w:rPr>
                <w:noProof/>
                <w:webHidden/>
              </w:rPr>
              <w:t>45</w:t>
            </w:r>
            <w:r w:rsidR="00A92F56">
              <w:rPr>
                <w:noProof/>
                <w:webHidden/>
              </w:rPr>
              <w:fldChar w:fldCharType="end"/>
            </w:r>
          </w:hyperlink>
        </w:p>
        <w:p w14:paraId="1F57780E" w14:textId="55C6B066" w:rsidR="00A92F56" w:rsidRDefault="001C71EF">
          <w:pPr>
            <w:pStyle w:val="TOC1"/>
            <w:tabs>
              <w:tab w:val="right" w:leader="dot" w:pos="9016"/>
            </w:tabs>
            <w:rPr>
              <w:rFonts w:asciiTheme="minorHAnsi" w:eastAsiaTheme="minorEastAsia" w:hAnsiTheme="minorHAnsi" w:cstheme="minorBidi"/>
              <w:noProof/>
              <w:szCs w:val="22"/>
            </w:rPr>
          </w:pPr>
          <w:hyperlink w:anchor="_Toc77603775" w:history="1">
            <w:r w:rsidR="00A92F56" w:rsidRPr="00575E77">
              <w:rPr>
                <w:rStyle w:val="Hyperlink"/>
                <w:noProof/>
              </w:rPr>
              <w:t>Notes to the Main Financial Statements</w:t>
            </w:r>
            <w:r w:rsidR="00A92F56">
              <w:rPr>
                <w:noProof/>
                <w:webHidden/>
              </w:rPr>
              <w:tab/>
            </w:r>
            <w:r w:rsidR="00A92F56">
              <w:rPr>
                <w:noProof/>
                <w:webHidden/>
              </w:rPr>
              <w:fldChar w:fldCharType="begin"/>
            </w:r>
            <w:r w:rsidR="00A92F56">
              <w:rPr>
                <w:noProof/>
                <w:webHidden/>
              </w:rPr>
              <w:instrText xml:space="preserve"> PAGEREF _Toc77603775 \h </w:instrText>
            </w:r>
            <w:r w:rsidR="00A92F56">
              <w:rPr>
                <w:noProof/>
                <w:webHidden/>
              </w:rPr>
            </w:r>
            <w:r w:rsidR="00A92F56">
              <w:rPr>
                <w:noProof/>
                <w:webHidden/>
              </w:rPr>
              <w:fldChar w:fldCharType="separate"/>
            </w:r>
            <w:r w:rsidR="00A92F56">
              <w:rPr>
                <w:noProof/>
                <w:webHidden/>
              </w:rPr>
              <w:t>46</w:t>
            </w:r>
            <w:r w:rsidR="00A92F56">
              <w:rPr>
                <w:noProof/>
                <w:webHidden/>
              </w:rPr>
              <w:fldChar w:fldCharType="end"/>
            </w:r>
          </w:hyperlink>
        </w:p>
        <w:p w14:paraId="79A57724" w14:textId="6DF03C6F" w:rsidR="00A92F56" w:rsidRDefault="001C71EF">
          <w:pPr>
            <w:pStyle w:val="TOC2"/>
            <w:rPr>
              <w:rFonts w:asciiTheme="minorHAnsi" w:eastAsiaTheme="minorEastAsia" w:hAnsiTheme="minorHAnsi" w:cstheme="minorBidi"/>
              <w:noProof/>
              <w:szCs w:val="22"/>
            </w:rPr>
          </w:pPr>
          <w:hyperlink w:anchor="_Toc77603776" w:history="1">
            <w:r w:rsidR="00A92F56" w:rsidRPr="00575E77">
              <w:rPr>
                <w:rStyle w:val="Hyperlink"/>
                <w:noProof/>
              </w:rPr>
              <w:t>1.</w:t>
            </w:r>
            <w:r w:rsidR="00A92F56">
              <w:rPr>
                <w:rFonts w:asciiTheme="minorHAnsi" w:eastAsiaTheme="minorEastAsia" w:hAnsiTheme="minorHAnsi" w:cstheme="minorBidi"/>
                <w:noProof/>
                <w:szCs w:val="22"/>
              </w:rPr>
              <w:tab/>
            </w:r>
            <w:r w:rsidR="00A92F56" w:rsidRPr="00575E77">
              <w:rPr>
                <w:rStyle w:val="Hyperlink"/>
                <w:noProof/>
              </w:rPr>
              <w:t>Expenditure and Funding Analysis</w:t>
            </w:r>
            <w:r w:rsidR="00A92F56">
              <w:rPr>
                <w:noProof/>
                <w:webHidden/>
              </w:rPr>
              <w:tab/>
            </w:r>
            <w:r w:rsidR="00A92F56">
              <w:rPr>
                <w:noProof/>
                <w:webHidden/>
              </w:rPr>
              <w:fldChar w:fldCharType="begin"/>
            </w:r>
            <w:r w:rsidR="00A92F56">
              <w:rPr>
                <w:noProof/>
                <w:webHidden/>
              </w:rPr>
              <w:instrText xml:space="preserve"> PAGEREF _Toc77603776 \h </w:instrText>
            </w:r>
            <w:r w:rsidR="00A92F56">
              <w:rPr>
                <w:noProof/>
                <w:webHidden/>
              </w:rPr>
            </w:r>
            <w:r w:rsidR="00A92F56">
              <w:rPr>
                <w:noProof/>
                <w:webHidden/>
              </w:rPr>
              <w:fldChar w:fldCharType="separate"/>
            </w:r>
            <w:r w:rsidR="00A92F56">
              <w:rPr>
                <w:noProof/>
                <w:webHidden/>
              </w:rPr>
              <w:t>46</w:t>
            </w:r>
            <w:r w:rsidR="00A92F56">
              <w:rPr>
                <w:noProof/>
                <w:webHidden/>
              </w:rPr>
              <w:fldChar w:fldCharType="end"/>
            </w:r>
          </w:hyperlink>
        </w:p>
        <w:p w14:paraId="5BD899E9" w14:textId="7CE0AE3B" w:rsidR="00A92F56" w:rsidRDefault="001C71EF">
          <w:pPr>
            <w:pStyle w:val="TOC2"/>
            <w:rPr>
              <w:rFonts w:asciiTheme="minorHAnsi" w:eastAsiaTheme="minorEastAsia" w:hAnsiTheme="minorHAnsi" w:cstheme="minorBidi"/>
              <w:noProof/>
              <w:szCs w:val="22"/>
            </w:rPr>
          </w:pPr>
          <w:hyperlink w:anchor="_Toc77603777" w:history="1">
            <w:r w:rsidR="00A92F56" w:rsidRPr="00575E77">
              <w:rPr>
                <w:rStyle w:val="Hyperlink"/>
                <w:noProof/>
              </w:rPr>
              <w:t>2.</w:t>
            </w:r>
            <w:r w:rsidR="00A92F56">
              <w:rPr>
                <w:rFonts w:asciiTheme="minorHAnsi" w:eastAsiaTheme="minorEastAsia" w:hAnsiTheme="minorHAnsi" w:cstheme="minorBidi"/>
                <w:noProof/>
                <w:szCs w:val="22"/>
              </w:rPr>
              <w:tab/>
            </w:r>
            <w:r w:rsidR="00A92F56" w:rsidRPr="00575E77">
              <w:rPr>
                <w:rStyle w:val="Hyperlink"/>
                <w:noProof/>
              </w:rPr>
              <w:t>Accounting Policies</w:t>
            </w:r>
            <w:r w:rsidR="00A92F56">
              <w:rPr>
                <w:noProof/>
                <w:webHidden/>
              </w:rPr>
              <w:tab/>
            </w:r>
            <w:r w:rsidR="00A92F56">
              <w:rPr>
                <w:noProof/>
                <w:webHidden/>
              </w:rPr>
              <w:fldChar w:fldCharType="begin"/>
            </w:r>
            <w:r w:rsidR="00A92F56">
              <w:rPr>
                <w:noProof/>
                <w:webHidden/>
              </w:rPr>
              <w:instrText xml:space="preserve"> PAGEREF _Toc77603777 \h </w:instrText>
            </w:r>
            <w:r w:rsidR="00A92F56">
              <w:rPr>
                <w:noProof/>
                <w:webHidden/>
              </w:rPr>
            </w:r>
            <w:r w:rsidR="00A92F56">
              <w:rPr>
                <w:noProof/>
                <w:webHidden/>
              </w:rPr>
              <w:fldChar w:fldCharType="separate"/>
            </w:r>
            <w:r w:rsidR="00A92F56">
              <w:rPr>
                <w:noProof/>
                <w:webHidden/>
              </w:rPr>
              <w:t>47</w:t>
            </w:r>
            <w:r w:rsidR="00A92F56">
              <w:rPr>
                <w:noProof/>
                <w:webHidden/>
              </w:rPr>
              <w:fldChar w:fldCharType="end"/>
            </w:r>
          </w:hyperlink>
        </w:p>
        <w:p w14:paraId="1F9566F9" w14:textId="7274AB88" w:rsidR="00A92F56" w:rsidRDefault="001C71EF">
          <w:pPr>
            <w:pStyle w:val="TOC2"/>
            <w:rPr>
              <w:rFonts w:asciiTheme="minorHAnsi" w:eastAsiaTheme="minorEastAsia" w:hAnsiTheme="minorHAnsi" w:cstheme="minorBidi"/>
              <w:noProof/>
              <w:szCs w:val="22"/>
            </w:rPr>
          </w:pPr>
          <w:hyperlink w:anchor="_Toc77603778" w:history="1">
            <w:r w:rsidR="00A92F56" w:rsidRPr="00575E77">
              <w:rPr>
                <w:rStyle w:val="Hyperlink"/>
                <w:noProof/>
              </w:rPr>
              <w:t>3.</w:t>
            </w:r>
            <w:r w:rsidR="00A92F56">
              <w:rPr>
                <w:rFonts w:asciiTheme="minorHAnsi" w:eastAsiaTheme="minorEastAsia" w:hAnsiTheme="minorHAnsi" w:cstheme="minorBidi"/>
                <w:noProof/>
                <w:szCs w:val="22"/>
              </w:rPr>
              <w:tab/>
            </w:r>
            <w:r w:rsidR="00A92F56" w:rsidRPr="00575E77">
              <w:rPr>
                <w:rStyle w:val="Hyperlink"/>
                <w:noProof/>
              </w:rPr>
              <w:t>Accounting standards that have been issued but have not yet been adopted</w:t>
            </w:r>
            <w:r w:rsidR="00A92F56">
              <w:rPr>
                <w:noProof/>
                <w:webHidden/>
              </w:rPr>
              <w:tab/>
            </w:r>
            <w:r w:rsidR="00A92F56">
              <w:rPr>
                <w:noProof/>
                <w:webHidden/>
              </w:rPr>
              <w:fldChar w:fldCharType="begin"/>
            </w:r>
            <w:r w:rsidR="00A92F56">
              <w:rPr>
                <w:noProof/>
                <w:webHidden/>
              </w:rPr>
              <w:instrText xml:space="preserve"> PAGEREF _Toc77603778 \h </w:instrText>
            </w:r>
            <w:r w:rsidR="00A92F56">
              <w:rPr>
                <w:noProof/>
                <w:webHidden/>
              </w:rPr>
            </w:r>
            <w:r w:rsidR="00A92F56">
              <w:rPr>
                <w:noProof/>
                <w:webHidden/>
              </w:rPr>
              <w:fldChar w:fldCharType="separate"/>
            </w:r>
            <w:r w:rsidR="00A92F56">
              <w:rPr>
                <w:noProof/>
                <w:webHidden/>
              </w:rPr>
              <w:t>56</w:t>
            </w:r>
            <w:r w:rsidR="00A92F56">
              <w:rPr>
                <w:noProof/>
                <w:webHidden/>
              </w:rPr>
              <w:fldChar w:fldCharType="end"/>
            </w:r>
          </w:hyperlink>
        </w:p>
        <w:p w14:paraId="419C2471" w14:textId="7D2C8713" w:rsidR="00A92F56" w:rsidRDefault="001C71EF">
          <w:pPr>
            <w:pStyle w:val="TOC2"/>
            <w:rPr>
              <w:rFonts w:asciiTheme="minorHAnsi" w:eastAsiaTheme="minorEastAsia" w:hAnsiTheme="minorHAnsi" w:cstheme="minorBidi"/>
              <w:noProof/>
              <w:szCs w:val="22"/>
            </w:rPr>
          </w:pPr>
          <w:hyperlink w:anchor="_Toc77603779" w:history="1">
            <w:r w:rsidR="00A92F56" w:rsidRPr="00575E77">
              <w:rPr>
                <w:rStyle w:val="Hyperlink"/>
                <w:noProof/>
              </w:rPr>
              <w:t>4.</w:t>
            </w:r>
            <w:r w:rsidR="00A92F56">
              <w:rPr>
                <w:rFonts w:asciiTheme="minorHAnsi" w:eastAsiaTheme="minorEastAsia" w:hAnsiTheme="minorHAnsi" w:cstheme="minorBidi"/>
                <w:noProof/>
                <w:szCs w:val="22"/>
              </w:rPr>
              <w:tab/>
            </w:r>
            <w:r w:rsidR="00A92F56" w:rsidRPr="00575E77">
              <w:rPr>
                <w:rStyle w:val="Hyperlink"/>
                <w:noProof/>
              </w:rPr>
              <w:t>Critical judgements in applying accounting policies</w:t>
            </w:r>
            <w:r w:rsidR="00A92F56">
              <w:rPr>
                <w:noProof/>
                <w:webHidden/>
              </w:rPr>
              <w:tab/>
            </w:r>
            <w:r w:rsidR="00A92F56">
              <w:rPr>
                <w:noProof/>
                <w:webHidden/>
              </w:rPr>
              <w:fldChar w:fldCharType="begin"/>
            </w:r>
            <w:r w:rsidR="00A92F56">
              <w:rPr>
                <w:noProof/>
                <w:webHidden/>
              </w:rPr>
              <w:instrText xml:space="preserve"> PAGEREF _Toc77603779 \h </w:instrText>
            </w:r>
            <w:r w:rsidR="00A92F56">
              <w:rPr>
                <w:noProof/>
                <w:webHidden/>
              </w:rPr>
            </w:r>
            <w:r w:rsidR="00A92F56">
              <w:rPr>
                <w:noProof/>
                <w:webHidden/>
              </w:rPr>
              <w:fldChar w:fldCharType="separate"/>
            </w:r>
            <w:r w:rsidR="00A92F56">
              <w:rPr>
                <w:noProof/>
                <w:webHidden/>
              </w:rPr>
              <w:t>57</w:t>
            </w:r>
            <w:r w:rsidR="00A92F56">
              <w:rPr>
                <w:noProof/>
                <w:webHidden/>
              </w:rPr>
              <w:fldChar w:fldCharType="end"/>
            </w:r>
          </w:hyperlink>
        </w:p>
        <w:p w14:paraId="1E2ECF8E" w14:textId="7A758228" w:rsidR="00A92F56" w:rsidRDefault="001C71EF">
          <w:pPr>
            <w:pStyle w:val="TOC2"/>
            <w:rPr>
              <w:rFonts w:asciiTheme="minorHAnsi" w:eastAsiaTheme="minorEastAsia" w:hAnsiTheme="minorHAnsi" w:cstheme="minorBidi"/>
              <w:noProof/>
              <w:szCs w:val="22"/>
            </w:rPr>
          </w:pPr>
          <w:hyperlink w:anchor="_Toc77603780" w:history="1">
            <w:r w:rsidR="00A92F56" w:rsidRPr="00575E77">
              <w:rPr>
                <w:rStyle w:val="Hyperlink"/>
                <w:noProof/>
              </w:rPr>
              <w:t>5.</w:t>
            </w:r>
            <w:r w:rsidR="00A92F56">
              <w:rPr>
                <w:rFonts w:asciiTheme="minorHAnsi" w:eastAsiaTheme="minorEastAsia" w:hAnsiTheme="minorHAnsi" w:cstheme="minorBidi"/>
                <w:noProof/>
                <w:szCs w:val="22"/>
              </w:rPr>
              <w:tab/>
            </w:r>
            <w:r w:rsidR="00A92F56" w:rsidRPr="00575E77">
              <w:rPr>
                <w:rStyle w:val="Hyperlink"/>
                <w:noProof/>
              </w:rPr>
              <w:t>Assumptions about the future and other major sources of estimation uncertainty</w:t>
            </w:r>
            <w:r w:rsidR="00A92F56">
              <w:rPr>
                <w:noProof/>
                <w:webHidden/>
              </w:rPr>
              <w:tab/>
            </w:r>
            <w:r w:rsidR="00A92F56">
              <w:rPr>
                <w:noProof/>
                <w:webHidden/>
              </w:rPr>
              <w:fldChar w:fldCharType="begin"/>
            </w:r>
            <w:r w:rsidR="00A92F56">
              <w:rPr>
                <w:noProof/>
                <w:webHidden/>
              </w:rPr>
              <w:instrText xml:space="preserve"> PAGEREF _Toc77603780 \h </w:instrText>
            </w:r>
            <w:r w:rsidR="00A92F56">
              <w:rPr>
                <w:noProof/>
                <w:webHidden/>
              </w:rPr>
            </w:r>
            <w:r w:rsidR="00A92F56">
              <w:rPr>
                <w:noProof/>
                <w:webHidden/>
              </w:rPr>
              <w:fldChar w:fldCharType="separate"/>
            </w:r>
            <w:r w:rsidR="00A92F56">
              <w:rPr>
                <w:noProof/>
                <w:webHidden/>
              </w:rPr>
              <w:t>58</w:t>
            </w:r>
            <w:r w:rsidR="00A92F56">
              <w:rPr>
                <w:noProof/>
                <w:webHidden/>
              </w:rPr>
              <w:fldChar w:fldCharType="end"/>
            </w:r>
          </w:hyperlink>
        </w:p>
        <w:p w14:paraId="04DD3F86" w14:textId="44DE76BD" w:rsidR="00A92F56" w:rsidRDefault="001C71EF">
          <w:pPr>
            <w:pStyle w:val="TOC2"/>
            <w:rPr>
              <w:rFonts w:asciiTheme="minorHAnsi" w:eastAsiaTheme="minorEastAsia" w:hAnsiTheme="minorHAnsi" w:cstheme="minorBidi"/>
              <w:noProof/>
              <w:szCs w:val="22"/>
            </w:rPr>
          </w:pPr>
          <w:hyperlink w:anchor="_Toc77603781" w:history="1">
            <w:r w:rsidR="00A92F56" w:rsidRPr="00575E77">
              <w:rPr>
                <w:rStyle w:val="Hyperlink"/>
                <w:noProof/>
              </w:rPr>
              <w:t>6.</w:t>
            </w:r>
            <w:r w:rsidR="00A92F56">
              <w:rPr>
                <w:rFonts w:asciiTheme="minorHAnsi" w:eastAsiaTheme="minorEastAsia" w:hAnsiTheme="minorHAnsi" w:cstheme="minorBidi"/>
                <w:noProof/>
                <w:szCs w:val="22"/>
              </w:rPr>
              <w:tab/>
            </w:r>
            <w:r w:rsidR="00A92F56" w:rsidRPr="00575E77">
              <w:rPr>
                <w:rStyle w:val="Hyperlink"/>
                <w:noProof/>
              </w:rPr>
              <w:t>Material items of income and expense</w:t>
            </w:r>
            <w:r w:rsidR="00A92F56">
              <w:rPr>
                <w:noProof/>
                <w:webHidden/>
              </w:rPr>
              <w:tab/>
            </w:r>
            <w:r w:rsidR="00A92F56">
              <w:rPr>
                <w:noProof/>
                <w:webHidden/>
              </w:rPr>
              <w:fldChar w:fldCharType="begin"/>
            </w:r>
            <w:r w:rsidR="00A92F56">
              <w:rPr>
                <w:noProof/>
                <w:webHidden/>
              </w:rPr>
              <w:instrText xml:space="preserve"> PAGEREF _Toc77603781 \h </w:instrText>
            </w:r>
            <w:r w:rsidR="00A92F56">
              <w:rPr>
                <w:noProof/>
                <w:webHidden/>
              </w:rPr>
            </w:r>
            <w:r w:rsidR="00A92F56">
              <w:rPr>
                <w:noProof/>
                <w:webHidden/>
              </w:rPr>
              <w:fldChar w:fldCharType="separate"/>
            </w:r>
            <w:r w:rsidR="00A92F56">
              <w:rPr>
                <w:noProof/>
                <w:webHidden/>
              </w:rPr>
              <w:t>61</w:t>
            </w:r>
            <w:r w:rsidR="00A92F56">
              <w:rPr>
                <w:noProof/>
                <w:webHidden/>
              </w:rPr>
              <w:fldChar w:fldCharType="end"/>
            </w:r>
          </w:hyperlink>
        </w:p>
        <w:p w14:paraId="36DAAF5A" w14:textId="6AC1895D" w:rsidR="00A92F56" w:rsidRDefault="001C71EF">
          <w:pPr>
            <w:pStyle w:val="TOC2"/>
            <w:rPr>
              <w:rFonts w:asciiTheme="minorHAnsi" w:eastAsiaTheme="minorEastAsia" w:hAnsiTheme="minorHAnsi" w:cstheme="minorBidi"/>
              <w:noProof/>
              <w:szCs w:val="22"/>
            </w:rPr>
          </w:pPr>
          <w:hyperlink w:anchor="_Toc77603782" w:history="1">
            <w:r w:rsidR="00A92F56" w:rsidRPr="00575E77">
              <w:rPr>
                <w:rStyle w:val="Hyperlink"/>
                <w:noProof/>
              </w:rPr>
              <w:t>7.</w:t>
            </w:r>
            <w:r w:rsidR="00A92F56">
              <w:rPr>
                <w:rFonts w:asciiTheme="minorHAnsi" w:eastAsiaTheme="minorEastAsia" w:hAnsiTheme="minorHAnsi" w:cstheme="minorBidi"/>
                <w:noProof/>
                <w:szCs w:val="22"/>
              </w:rPr>
              <w:tab/>
            </w:r>
            <w:r w:rsidR="00A92F56" w:rsidRPr="00575E77">
              <w:rPr>
                <w:rStyle w:val="Hyperlink"/>
                <w:noProof/>
              </w:rPr>
              <w:t>Events after the reporting period</w:t>
            </w:r>
            <w:r w:rsidR="00A92F56">
              <w:rPr>
                <w:noProof/>
                <w:webHidden/>
              </w:rPr>
              <w:tab/>
            </w:r>
            <w:r w:rsidR="00A92F56">
              <w:rPr>
                <w:noProof/>
                <w:webHidden/>
              </w:rPr>
              <w:fldChar w:fldCharType="begin"/>
            </w:r>
            <w:r w:rsidR="00A92F56">
              <w:rPr>
                <w:noProof/>
                <w:webHidden/>
              </w:rPr>
              <w:instrText xml:space="preserve"> PAGEREF _Toc77603782 \h </w:instrText>
            </w:r>
            <w:r w:rsidR="00A92F56">
              <w:rPr>
                <w:noProof/>
                <w:webHidden/>
              </w:rPr>
            </w:r>
            <w:r w:rsidR="00A92F56">
              <w:rPr>
                <w:noProof/>
                <w:webHidden/>
              </w:rPr>
              <w:fldChar w:fldCharType="separate"/>
            </w:r>
            <w:r w:rsidR="00A92F56">
              <w:rPr>
                <w:noProof/>
                <w:webHidden/>
              </w:rPr>
              <w:t>61</w:t>
            </w:r>
            <w:r w:rsidR="00A92F56">
              <w:rPr>
                <w:noProof/>
                <w:webHidden/>
              </w:rPr>
              <w:fldChar w:fldCharType="end"/>
            </w:r>
          </w:hyperlink>
        </w:p>
        <w:p w14:paraId="7E85E7F5" w14:textId="6005AEA4" w:rsidR="00A92F56" w:rsidRDefault="001C71EF">
          <w:pPr>
            <w:pStyle w:val="TOC2"/>
            <w:rPr>
              <w:rFonts w:asciiTheme="minorHAnsi" w:eastAsiaTheme="minorEastAsia" w:hAnsiTheme="minorHAnsi" w:cstheme="minorBidi"/>
              <w:noProof/>
              <w:szCs w:val="22"/>
            </w:rPr>
          </w:pPr>
          <w:hyperlink w:anchor="_Toc77603783" w:history="1">
            <w:r w:rsidR="00A92F56" w:rsidRPr="00575E77">
              <w:rPr>
                <w:rStyle w:val="Hyperlink"/>
                <w:noProof/>
              </w:rPr>
              <w:t>8.</w:t>
            </w:r>
            <w:r w:rsidR="00A92F56">
              <w:rPr>
                <w:rFonts w:asciiTheme="minorHAnsi" w:eastAsiaTheme="minorEastAsia" w:hAnsiTheme="minorHAnsi" w:cstheme="minorBidi"/>
                <w:noProof/>
                <w:szCs w:val="22"/>
              </w:rPr>
              <w:tab/>
            </w:r>
            <w:r w:rsidR="00A92F56" w:rsidRPr="00575E77">
              <w:rPr>
                <w:rStyle w:val="Hyperlink"/>
                <w:noProof/>
              </w:rPr>
              <w:t>Note to the Expenditure and Funding Analysis</w:t>
            </w:r>
            <w:r w:rsidR="00A92F56">
              <w:rPr>
                <w:noProof/>
                <w:webHidden/>
              </w:rPr>
              <w:tab/>
            </w:r>
            <w:r w:rsidR="00A92F56">
              <w:rPr>
                <w:noProof/>
                <w:webHidden/>
              </w:rPr>
              <w:fldChar w:fldCharType="begin"/>
            </w:r>
            <w:r w:rsidR="00A92F56">
              <w:rPr>
                <w:noProof/>
                <w:webHidden/>
              </w:rPr>
              <w:instrText xml:space="preserve"> PAGEREF _Toc77603783 \h </w:instrText>
            </w:r>
            <w:r w:rsidR="00A92F56">
              <w:rPr>
                <w:noProof/>
                <w:webHidden/>
              </w:rPr>
            </w:r>
            <w:r w:rsidR="00A92F56">
              <w:rPr>
                <w:noProof/>
                <w:webHidden/>
              </w:rPr>
              <w:fldChar w:fldCharType="separate"/>
            </w:r>
            <w:r w:rsidR="00A92F56">
              <w:rPr>
                <w:noProof/>
                <w:webHidden/>
              </w:rPr>
              <w:t>62</w:t>
            </w:r>
            <w:r w:rsidR="00A92F56">
              <w:rPr>
                <w:noProof/>
                <w:webHidden/>
              </w:rPr>
              <w:fldChar w:fldCharType="end"/>
            </w:r>
          </w:hyperlink>
        </w:p>
        <w:p w14:paraId="7220A128" w14:textId="629D9DFD" w:rsidR="00A92F56" w:rsidRDefault="001C71EF">
          <w:pPr>
            <w:pStyle w:val="TOC2"/>
            <w:rPr>
              <w:rFonts w:asciiTheme="minorHAnsi" w:eastAsiaTheme="minorEastAsia" w:hAnsiTheme="minorHAnsi" w:cstheme="minorBidi"/>
              <w:noProof/>
              <w:szCs w:val="22"/>
            </w:rPr>
          </w:pPr>
          <w:hyperlink w:anchor="_Toc77603784" w:history="1">
            <w:r w:rsidR="00A92F56" w:rsidRPr="00575E77">
              <w:rPr>
                <w:rStyle w:val="Hyperlink"/>
                <w:noProof/>
              </w:rPr>
              <w:t>9.</w:t>
            </w:r>
            <w:r w:rsidR="00A92F56">
              <w:rPr>
                <w:rFonts w:asciiTheme="minorHAnsi" w:eastAsiaTheme="minorEastAsia" w:hAnsiTheme="minorHAnsi" w:cstheme="minorBidi"/>
                <w:noProof/>
                <w:szCs w:val="22"/>
              </w:rPr>
              <w:tab/>
            </w:r>
            <w:r w:rsidR="00A92F56" w:rsidRPr="00575E77">
              <w:rPr>
                <w:rStyle w:val="Hyperlink"/>
                <w:noProof/>
              </w:rPr>
              <w:t>Expenditure and Income Analysed By Nature</w:t>
            </w:r>
            <w:r w:rsidR="00A92F56">
              <w:rPr>
                <w:noProof/>
                <w:webHidden/>
              </w:rPr>
              <w:tab/>
            </w:r>
            <w:r w:rsidR="00A92F56">
              <w:rPr>
                <w:noProof/>
                <w:webHidden/>
              </w:rPr>
              <w:fldChar w:fldCharType="begin"/>
            </w:r>
            <w:r w:rsidR="00A92F56">
              <w:rPr>
                <w:noProof/>
                <w:webHidden/>
              </w:rPr>
              <w:instrText xml:space="preserve"> PAGEREF _Toc77603784 \h </w:instrText>
            </w:r>
            <w:r w:rsidR="00A92F56">
              <w:rPr>
                <w:noProof/>
                <w:webHidden/>
              </w:rPr>
            </w:r>
            <w:r w:rsidR="00A92F56">
              <w:rPr>
                <w:noProof/>
                <w:webHidden/>
              </w:rPr>
              <w:fldChar w:fldCharType="separate"/>
            </w:r>
            <w:r w:rsidR="00A92F56">
              <w:rPr>
                <w:noProof/>
                <w:webHidden/>
              </w:rPr>
              <w:t>64</w:t>
            </w:r>
            <w:r w:rsidR="00A92F56">
              <w:rPr>
                <w:noProof/>
                <w:webHidden/>
              </w:rPr>
              <w:fldChar w:fldCharType="end"/>
            </w:r>
          </w:hyperlink>
        </w:p>
        <w:p w14:paraId="68D35ECF" w14:textId="68245B34" w:rsidR="00A92F56" w:rsidRDefault="001C71EF">
          <w:pPr>
            <w:pStyle w:val="TOC2"/>
            <w:rPr>
              <w:rFonts w:asciiTheme="minorHAnsi" w:eastAsiaTheme="minorEastAsia" w:hAnsiTheme="minorHAnsi" w:cstheme="minorBidi"/>
              <w:noProof/>
              <w:szCs w:val="22"/>
            </w:rPr>
          </w:pPr>
          <w:hyperlink w:anchor="_Toc77603785" w:history="1">
            <w:r w:rsidR="00A92F56" w:rsidRPr="00575E77">
              <w:rPr>
                <w:rStyle w:val="Hyperlink"/>
                <w:noProof/>
              </w:rPr>
              <w:t>10.</w:t>
            </w:r>
            <w:r w:rsidR="00A92F56">
              <w:rPr>
                <w:rFonts w:asciiTheme="minorHAnsi" w:eastAsiaTheme="minorEastAsia" w:hAnsiTheme="minorHAnsi" w:cstheme="minorBidi"/>
                <w:noProof/>
                <w:szCs w:val="22"/>
              </w:rPr>
              <w:tab/>
            </w:r>
            <w:r w:rsidR="00A92F56" w:rsidRPr="00575E77">
              <w:rPr>
                <w:rStyle w:val="Hyperlink"/>
                <w:noProof/>
              </w:rPr>
              <w:t>Adjustments between accounting basis and funding basis under regulations</w:t>
            </w:r>
            <w:r w:rsidR="00A92F56">
              <w:rPr>
                <w:noProof/>
                <w:webHidden/>
              </w:rPr>
              <w:tab/>
            </w:r>
            <w:r w:rsidR="00A92F56">
              <w:rPr>
                <w:noProof/>
                <w:webHidden/>
              </w:rPr>
              <w:fldChar w:fldCharType="begin"/>
            </w:r>
            <w:r w:rsidR="00A92F56">
              <w:rPr>
                <w:noProof/>
                <w:webHidden/>
              </w:rPr>
              <w:instrText xml:space="preserve"> PAGEREF _Toc77603785 \h </w:instrText>
            </w:r>
            <w:r w:rsidR="00A92F56">
              <w:rPr>
                <w:noProof/>
                <w:webHidden/>
              </w:rPr>
            </w:r>
            <w:r w:rsidR="00A92F56">
              <w:rPr>
                <w:noProof/>
                <w:webHidden/>
              </w:rPr>
              <w:fldChar w:fldCharType="separate"/>
            </w:r>
            <w:r w:rsidR="00A92F56">
              <w:rPr>
                <w:noProof/>
                <w:webHidden/>
              </w:rPr>
              <w:t>65</w:t>
            </w:r>
            <w:r w:rsidR="00A92F56">
              <w:rPr>
                <w:noProof/>
                <w:webHidden/>
              </w:rPr>
              <w:fldChar w:fldCharType="end"/>
            </w:r>
          </w:hyperlink>
        </w:p>
        <w:p w14:paraId="0FE91EF7" w14:textId="77556504" w:rsidR="00A92F56" w:rsidRDefault="001C71EF">
          <w:pPr>
            <w:pStyle w:val="TOC2"/>
            <w:rPr>
              <w:rFonts w:asciiTheme="minorHAnsi" w:eastAsiaTheme="minorEastAsia" w:hAnsiTheme="minorHAnsi" w:cstheme="minorBidi"/>
              <w:noProof/>
              <w:szCs w:val="22"/>
            </w:rPr>
          </w:pPr>
          <w:hyperlink w:anchor="_Toc77603786" w:history="1">
            <w:r w:rsidR="00A92F56" w:rsidRPr="00575E77">
              <w:rPr>
                <w:rStyle w:val="Hyperlink"/>
                <w:noProof/>
              </w:rPr>
              <w:t>11.</w:t>
            </w:r>
            <w:r w:rsidR="00A92F56">
              <w:rPr>
                <w:rFonts w:asciiTheme="minorHAnsi" w:eastAsiaTheme="minorEastAsia" w:hAnsiTheme="minorHAnsi" w:cstheme="minorBidi"/>
                <w:noProof/>
                <w:szCs w:val="22"/>
              </w:rPr>
              <w:tab/>
            </w:r>
            <w:r w:rsidR="00A92F56" w:rsidRPr="00575E77">
              <w:rPr>
                <w:rStyle w:val="Hyperlink"/>
                <w:noProof/>
              </w:rPr>
              <w:t>Transfers to / from earmarked reserves</w:t>
            </w:r>
            <w:r w:rsidR="00A92F56">
              <w:rPr>
                <w:noProof/>
                <w:webHidden/>
              </w:rPr>
              <w:tab/>
            </w:r>
            <w:r w:rsidR="00A92F56">
              <w:rPr>
                <w:noProof/>
                <w:webHidden/>
              </w:rPr>
              <w:fldChar w:fldCharType="begin"/>
            </w:r>
            <w:r w:rsidR="00A92F56">
              <w:rPr>
                <w:noProof/>
                <w:webHidden/>
              </w:rPr>
              <w:instrText xml:space="preserve"> PAGEREF _Toc77603786 \h </w:instrText>
            </w:r>
            <w:r w:rsidR="00A92F56">
              <w:rPr>
                <w:noProof/>
                <w:webHidden/>
              </w:rPr>
            </w:r>
            <w:r w:rsidR="00A92F56">
              <w:rPr>
                <w:noProof/>
                <w:webHidden/>
              </w:rPr>
              <w:fldChar w:fldCharType="separate"/>
            </w:r>
            <w:r w:rsidR="00A92F56">
              <w:rPr>
                <w:noProof/>
                <w:webHidden/>
              </w:rPr>
              <w:t>68</w:t>
            </w:r>
            <w:r w:rsidR="00A92F56">
              <w:rPr>
                <w:noProof/>
                <w:webHidden/>
              </w:rPr>
              <w:fldChar w:fldCharType="end"/>
            </w:r>
          </w:hyperlink>
        </w:p>
        <w:p w14:paraId="7D55B58E" w14:textId="7624FEE5" w:rsidR="00A92F56" w:rsidRDefault="001C71EF">
          <w:pPr>
            <w:pStyle w:val="TOC2"/>
            <w:rPr>
              <w:rFonts w:asciiTheme="minorHAnsi" w:eastAsiaTheme="minorEastAsia" w:hAnsiTheme="minorHAnsi" w:cstheme="minorBidi"/>
              <w:noProof/>
              <w:szCs w:val="22"/>
            </w:rPr>
          </w:pPr>
          <w:hyperlink w:anchor="_Toc77603787" w:history="1">
            <w:r w:rsidR="00A92F56" w:rsidRPr="00575E77">
              <w:rPr>
                <w:rStyle w:val="Hyperlink"/>
                <w:noProof/>
              </w:rPr>
              <w:t>12.</w:t>
            </w:r>
            <w:r w:rsidR="00A92F56">
              <w:rPr>
                <w:rFonts w:asciiTheme="minorHAnsi" w:eastAsiaTheme="minorEastAsia" w:hAnsiTheme="minorHAnsi" w:cstheme="minorBidi"/>
                <w:noProof/>
                <w:szCs w:val="22"/>
              </w:rPr>
              <w:tab/>
            </w:r>
            <w:r w:rsidR="00A92F56" w:rsidRPr="00575E77">
              <w:rPr>
                <w:rStyle w:val="Hyperlink"/>
                <w:noProof/>
              </w:rPr>
              <w:t>Other operating expenditure</w:t>
            </w:r>
            <w:r w:rsidR="00A92F56">
              <w:rPr>
                <w:noProof/>
                <w:webHidden/>
              </w:rPr>
              <w:tab/>
            </w:r>
            <w:r w:rsidR="00A92F56">
              <w:rPr>
                <w:noProof/>
                <w:webHidden/>
              </w:rPr>
              <w:fldChar w:fldCharType="begin"/>
            </w:r>
            <w:r w:rsidR="00A92F56">
              <w:rPr>
                <w:noProof/>
                <w:webHidden/>
              </w:rPr>
              <w:instrText xml:space="preserve"> PAGEREF _Toc77603787 \h </w:instrText>
            </w:r>
            <w:r w:rsidR="00A92F56">
              <w:rPr>
                <w:noProof/>
                <w:webHidden/>
              </w:rPr>
            </w:r>
            <w:r w:rsidR="00A92F56">
              <w:rPr>
                <w:noProof/>
                <w:webHidden/>
              </w:rPr>
              <w:fldChar w:fldCharType="separate"/>
            </w:r>
            <w:r w:rsidR="00A92F56">
              <w:rPr>
                <w:noProof/>
                <w:webHidden/>
              </w:rPr>
              <w:t>71</w:t>
            </w:r>
            <w:r w:rsidR="00A92F56">
              <w:rPr>
                <w:noProof/>
                <w:webHidden/>
              </w:rPr>
              <w:fldChar w:fldCharType="end"/>
            </w:r>
          </w:hyperlink>
        </w:p>
        <w:p w14:paraId="5C2301E5" w14:textId="34022863" w:rsidR="00A92F56" w:rsidRDefault="001C71EF">
          <w:pPr>
            <w:pStyle w:val="TOC2"/>
            <w:rPr>
              <w:rFonts w:asciiTheme="minorHAnsi" w:eastAsiaTheme="minorEastAsia" w:hAnsiTheme="minorHAnsi" w:cstheme="minorBidi"/>
              <w:noProof/>
              <w:szCs w:val="22"/>
            </w:rPr>
          </w:pPr>
          <w:hyperlink w:anchor="_Toc77603788" w:history="1">
            <w:r w:rsidR="00A92F56" w:rsidRPr="00575E77">
              <w:rPr>
                <w:rStyle w:val="Hyperlink"/>
                <w:noProof/>
              </w:rPr>
              <w:t>13.</w:t>
            </w:r>
            <w:r w:rsidR="00A92F56">
              <w:rPr>
                <w:rFonts w:asciiTheme="minorHAnsi" w:eastAsiaTheme="minorEastAsia" w:hAnsiTheme="minorHAnsi" w:cstheme="minorBidi"/>
                <w:noProof/>
                <w:szCs w:val="22"/>
              </w:rPr>
              <w:tab/>
            </w:r>
            <w:r w:rsidR="00A92F56" w:rsidRPr="00575E77">
              <w:rPr>
                <w:rStyle w:val="Hyperlink"/>
                <w:noProof/>
              </w:rPr>
              <w:t>Financing and investment income and expenditure</w:t>
            </w:r>
            <w:r w:rsidR="00A92F56">
              <w:rPr>
                <w:noProof/>
                <w:webHidden/>
              </w:rPr>
              <w:tab/>
            </w:r>
            <w:r w:rsidR="00A92F56">
              <w:rPr>
                <w:noProof/>
                <w:webHidden/>
              </w:rPr>
              <w:fldChar w:fldCharType="begin"/>
            </w:r>
            <w:r w:rsidR="00A92F56">
              <w:rPr>
                <w:noProof/>
                <w:webHidden/>
              </w:rPr>
              <w:instrText xml:space="preserve"> PAGEREF _Toc77603788 \h </w:instrText>
            </w:r>
            <w:r w:rsidR="00A92F56">
              <w:rPr>
                <w:noProof/>
                <w:webHidden/>
              </w:rPr>
            </w:r>
            <w:r w:rsidR="00A92F56">
              <w:rPr>
                <w:noProof/>
                <w:webHidden/>
              </w:rPr>
              <w:fldChar w:fldCharType="separate"/>
            </w:r>
            <w:r w:rsidR="00A92F56">
              <w:rPr>
                <w:noProof/>
                <w:webHidden/>
              </w:rPr>
              <w:t>71</w:t>
            </w:r>
            <w:r w:rsidR="00A92F56">
              <w:rPr>
                <w:noProof/>
                <w:webHidden/>
              </w:rPr>
              <w:fldChar w:fldCharType="end"/>
            </w:r>
          </w:hyperlink>
        </w:p>
        <w:p w14:paraId="460C8B07" w14:textId="1DC860EC" w:rsidR="00A92F56" w:rsidRDefault="001C71EF">
          <w:pPr>
            <w:pStyle w:val="TOC2"/>
            <w:rPr>
              <w:rFonts w:asciiTheme="minorHAnsi" w:eastAsiaTheme="minorEastAsia" w:hAnsiTheme="minorHAnsi" w:cstheme="minorBidi"/>
              <w:noProof/>
              <w:szCs w:val="22"/>
            </w:rPr>
          </w:pPr>
          <w:hyperlink w:anchor="_Toc77603789" w:history="1">
            <w:r w:rsidR="00A92F56" w:rsidRPr="00575E77">
              <w:rPr>
                <w:rStyle w:val="Hyperlink"/>
                <w:noProof/>
              </w:rPr>
              <w:t>14.</w:t>
            </w:r>
            <w:r w:rsidR="00A92F56">
              <w:rPr>
                <w:rFonts w:asciiTheme="minorHAnsi" w:eastAsiaTheme="minorEastAsia" w:hAnsiTheme="minorHAnsi" w:cstheme="minorBidi"/>
                <w:noProof/>
                <w:szCs w:val="22"/>
              </w:rPr>
              <w:tab/>
            </w:r>
            <w:r w:rsidR="00A92F56" w:rsidRPr="00575E77">
              <w:rPr>
                <w:rStyle w:val="Hyperlink"/>
                <w:noProof/>
              </w:rPr>
              <w:t>Taxation and non-specific grant income and expenditure</w:t>
            </w:r>
            <w:r w:rsidR="00A92F56">
              <w:rPr>
                <w:noProof/>
                <w:webHidden/>
              </w:rPr>
              <w:tab/>
            </w:r>
            <w:r w:rsidR="00A92F56">
              <w:rPr>
                <w:noProof/>
                <w:webHidden/>
              </w:rPr>
              <w:fldChar w:fldCharType="begin"/>
            </w:r>
            <w:r w:rsidR="00A92F56">
              <w:rPr>
                <w:noProof/>
                <w:webHidden/>
              </w:rPr>
              <w:instrText xml:space="preserve"> PAGEREF _Toc77603789 \h </w:instrText>
            </w:r>
            <w:r w:rsidR="00A92F56">
              <w:rPr>
                <w:noProof/>
                <w:webHidden/>
              </w:rPr>
            </w:r>
            <w:r w:rsidR="00A92F56">
              <w:rPr>
                <w:noProof/>
                <w:webHidden/>
              </w:rPr>
              <w:fldChar w:fldCharType="separate"/>
            </w:r>
            <w:r w:rsidR="00A92F56">
              <w:rPr>
                <w:noProof/>
                <w:webHidden/>
              </w:rPr>
              <w:t>72</w:t>
            </w:r>
            <w:r w:rsidR="00A92F56">
              <w:rPr>
                <w:noProof/>
                <w:webHidden/>
              </w:rPr>
              <w:fldChar w:fldCharType="end"/>
            </w:r>
          </w:hyperlink>
        </w:p>
        <w:p w14:paraId="6A3E6767" w14:textId="46DF9E06" w:rsidR="00A92F56" w:rsidRDefault="001C71EF">
          <w:pPr>
            <w:pStyle w:val="TOC2"/>
            <w:rPr>
              <w:rFonts w:asciiTheme="minorHAnsi" w:eastAsiaTheme="minorEastAsia" w:hAnsiTheme="minorHAnsi" w:cstheme="minorBidi"/>
              <w:noProof/>
              <w:szCs w:val="22"/>
            </w:rPr>
          </w:pPr>
          <w:hyperlink w:anchor="_Toc77603790" w:history="1">
            <w:r w:rsidR="00A92F56" w:rsidRPr="00575E77">
              <w:rPr>
                <w:rStyle w:val="Hyperlink"/>
                <w:noProof/>
              </w:rPr>
              <w:t>15.</w:t>
            </w:r>
            <w:r w:rsidR="00A92F56">
              <w:rPr>
                <w:rFonts w:asciiTheme="minorHAnsi" w:eastAsiaTheme="minorEastAsia" w:hAnsiTheme="minorHAnsi" w:cstheme="minorBidi"/>
                <w:noProof/>
                <w:szCs w:val="22"/>
              </w:rPr>
              <w:tab/>
            </w:r>
            <w:r w:rsidR="00A92F56" w:rsidRPr="00575E77">
              <w:rPr>
                <w:rStyle w:val="Hyperlink"/>
                <w:noProof/>
              </w:rPr>
              <w:t>Property, plant and equipment</w:t>
            </w:r>
            <w:r w:rsidR="00A92F56">
              <w:rPr>
                <w:noProof/>
                <w:webHidden/>
              </w:rPr>
              <w:tab/>
            </w:r>
            <w:r w:rsidR="00A92F56">
              <w:rPr>
                <w:noProof/>
                <w:webHidden/>
              </w:rPr>
              <w:fldChar w:fldCharType="begin"/>
            </w:r>
            <w:r w:rsidR="00A92F56">
              <w:rPr>
                <w:noProof/>
                <w:webHidden/>
              </w:rPr>
              <w:instrText xml:space="preserve"> PAGEREF _Toc77603790 \h </w:instrText>
            </w:r>
            <w:r w:rsidR="00A92F56">
              <w:rPr>
                <w:noProof/>
                <w:webHidden/>
              </w:rPr>
            </w:r>
            <w:r w:rsidR="00A92F56">
              <w:rPr>
                <w:noProof/>
                <w:webHidden/>
              </w:rPr>
              <w:fldChar w:fldCharType="separate"/>
            </w:r>
            <w:r w:rsidR="00A92F56">
              <w:rPr>
                <w:noProof/>
                <w:webHidden/>
              </w:rPr>
              <w:t>74</w:t>
            </w:r>
            <w:r w:rsidR="00A92F56">
              <w:rPr>
                <w:noProof/>
                <w:webHidden/>
              </w:rPr>
              <w:fldChar w:fldCharType="end"/>
            </w:r>
          </w:hyperlink>
        </w:p>
        <w:p w14:paraId="7711CEC7" w14:textId="2874E223" w:rsidR="00A92F56" w:rsidRDefault="001C71EF">
          <w:pPr>
            <w:pStyle w:val="TOC2"/>
            <w:rPr>
              <w:rFonts w:asciiTheme="minorHAnsi" w:eastAsiaTheme="minorEastAsia" w:hAnsiTheme="minorHAnsi" w:cstheme="minorBidi"/>
              <w:noProof/>
              <w:szCs w:val="22"/>
            </w:rPr>
          </w:pPr>
          <w:hyperlink w:anchor="_Toc77603791" w:history="1">
            <w:r w:rsidR="00A92F56" w:rsidRPr="00575E77">
              <w:rPr>
                <w:rStyle w:val="Hyperlink"/>
                <w:noProof/>
              </w:rPr>
              <w:t>16.</w:t>
            </w:r>
            <w:r w:rsidR="00A92F56">
              <w:rPr>
                <w:rFonts w:asciiTheme="minorHAnsi" w:eastAsiaTheme="minorEastAsia" w:hAnsiTheme="minorHAnsi" w:cstheme="minorBidi"/>
                <w:noProof/>
                <w:szCs w:val="22"/>
              </w:rPr>
              <w:tab/>
            </w:r>
            <w:r w:rsidR="00A92F56" w:rsidRPr="00575E77">
              <w:rPr>
                <w:rStyle w:val="Hyperlink"/>
                <w:noProof/>
              </w:rPr>
              <w:t>Investment properties</w:t>
            </w:r>
            <w:r w:rsidR="00A92F56">
              <w:rPr>
                <w:noProof/>
                <w:webHidden/>
              </w:rPr>
              <w:tab/>
            </w:r>
            <w:r w:rsidR="00A92F56">
              <w:rPr>
                <w:noProof/>
                <w:webHidden/>
              </w:rPr>
              <w:fldChar w:fldCharType="begin"/>
            </w:r>
            <w:r w:rsidR="00A92F56">
              <w:rPr>
                <w:noProof/>
                <w:webHidden/>
              </w:rPr>
              <w:instrText xml:space="preserve"> PAGEREF _Toc77603791 \h </w:instrText>
            </w:r>
            <w:r w:rsidR="00A92F56">
              <w:rPr>
                <w:noProof/>
                <w:webHidden/>
              </w:rPr>
            </w:r>
            <w:r w:rsidR="00A92F56">
              <w:rPr>
                <w:noProof/>
                <w:webHidden/>
              </w:rPr>
              <w:fldChar w:fldCharType="separate"/>
            </w:r>
            <w:r w:rsidR="00A92F56">
              <w:rPr>
                <w:noProof/>
                <w:webHidden/>
              </w:rPr>
              <w:t>77</w:t>
            </w:r>
            <w:r w:rsidR="00A92F56">
              <w:rPr>
                <w:noProof/>
                <w:webHidden/>
              </w:rPr>
              <w:fldChar w:fldCharType="end"/>
            </w:r>
          </w:hyperlink>
        </w:p>
        <w:p w14:paraId="0136ABDF" w14:textId="522B947E" w:rsidR="00A92F56" w:rsidRDefault="001C71EF">
          <w:pPr>
            <w:pStyle w:val="TOC2"/>
            <w:rPr>
              <w:rFonts w:asciiTheme="minorHAnsi" w:eastAsiaTheme="minorEastAsia" w:hAnsiTheme="minorHAnsi" w:cstheme="minorBidi"/>
              <w:noProof/>
              <w:szCs w:val="22"/>
            </w:rPr>
          </w:pPr>
          <w:hyperlink w:anchor="_Toc77603792" w:history="1">
            <w:r w:rsidR="00A92F56" w:rsidRPr="00575E77">
              <w:rPr>
                <w:rStyle w:val="Hyperlink"/>
                <w:noProof/>
              </w:rPr>
              <w:t>17.</w:t>
            </w:r>
            <w:r w:rsidR="00A92F56">
              <w:rPr>
                <w:rFonts w:asciiTheme="minorHAnsi" w:eastAsiaTheme="minorEastAsia" w:hAnsiTheme="minorHAnsi" w:cstheme="minorBidi"/>
                <w:noProof/>
                <w:szCs w:val="22"/>
              </w:rPr>
              <w:tab/>
            </w:r>
            <w:r w:rsidR="00A92F56" w:rsidRPr="00575E77">
              <w:rPr>
                <w:rStyle w:val="Hyperlink"/>
                <w:noProof/>
              </w:rPr>
              <w:t>Intangible assets</w:t>
            </w:r>
            <w:r w:rsidR="00A92F56">
              <w:rPr>
                <w:noProof/>
                <w:webHidden/>
              </w:rPr>
              <w:tab/>
            </w:r>
            <w:r w:rsidR="00A92F56">
              <w:rPr>
                <w:noProof/>
                <w:webHidden/>
              </w:rPr>
              <w:fldChar w:fldCharType="begin"/>
            </w:r>
            <w:r w:rsidR="00A92F56">
              <w:rPr>
                <w:noProof/>
                <w:webHidden/>
              </w:rPr>
              <w:instrText xml:space="preserve"> PAGEREF _Toc77603792 \h </w:instrText>
            </w:r>
            <w:r w:rsidR="00A92F56">
              <w:rPr>
                <w:noProof/>
                <w:webHidden/>
              </w:rPr>
            </w:r>
            <w:r w:rsidR="00A92F56">
              <w:rPr>
                <w:noProof/>
                <w:webHidden/>
              </w:rPr>
              <w:fldChar w:fldCharType="separate"/>
            </w:r>
            <w:r w:rsidR="00A92F56">
              <w:rPr>
                <w:noProof/>
                <w:webHidden/>
              </w:rPr>
              <w:t>78</w:t>
            </w:r>
            <w:r w:rsidR="00A92F56">
              <w:rPr>
                <w:noProof/>
                <w:webHidden/>
              </w:rPr>
              <w:fldChar w:fldCharType="end"/>
            </w:r>
          </w:hyperlink>
        </w:p>
        <w:p w14:paraId="296C3BFE" w14:textId="30D5AE80" w:rsidR="00A92F56" w:rsidRDefault="001C71EF">
          <w:pPr>
            <w:pStyle w:val="TOC2"/>
            <w:rPr>
              <w:rFonts w:asciiTheme="minorHAnsi" w:eastAsiaTheme="minorEastAsia" w:hAnsiTheme="minorHAnsi" w:cstheme="minorBidi"/>
              <w:noProof/>
              <w:szCs w:val="22"/>
            </w:rPr>
          </w:pPr>
          <w:hyperlink w:anchor="_Toc77603793" w:history="1">
            <w:r w:rsidR="00A92F56" w:rsidRPr="00575E77">
              <w:rPr>
                <w:rStyle w:val="Hyperlink"/>
                <w:noProof/>
              </w:rPr>
              <w:t>18.</w:t>
            </w:r>
            <w:r w:rsidR="00A92F56">
              <w:rPr>
                <w:rFonts w:asciiTheme="minorHAnsi" w:eastAsiaTheme="minorEastAsia" w:hAnsiTheme="minorHAnsi" w:cstheme="minorBidi"/>
                <w:noProof/>
                <w:szCs w:val="22"/>
              </w:rPr>
              <w:tab/>
            </w:r>
            <w:r w:rsidR="00A92F56" w:rsidRPr="00575E77">
              <w:rPr>
                <w:rStyle w:val="Hyperlink"/>
                <w:noProof/>
              </w:rPr>
              <w:t>Financial instruments</w:t>
            </w:r>
            <w:r w:rsidR="00A92F56">
              <w:rPr>
                <w:noProof/>
                <w:webHidden/>
              </w:rPr>
              <w:tab/>
            </w:r>
            <w:r w:rsidR="00A92F56">
              <w:rPr>
                <w:noProof/>
                <w:webHidden/>
              </w:rPr>
              <w:fldChar w:fldCharType="begin"/>
            </w:r>
            <w:r w:rsidR="00A92F56">
              <w:rPr>
                <w:noProof/>
                <w:webHidden/>
              </w:rPr>
              <w:instrText xml:space="preserve"> PAGEREF _Toc77603793 \h </w:instrText>
            </w:r>
            <w:r w:rsidR="00A92F56">
              <w:rPr>
                <w:noProof/>
                <w:webHidden/>
              </w:rPr>
            </w:r>
            <w:r w:rsidR="00A92F56">
              <w:rPr>
                <w:noProof/>
                <w:webHidden/>
              </w:rPr>
              <w:fldChar w:fldCharType="separate"/>
            </w:r>
            <w:r w:rsidR="00A92F56">
              <w:rPr>
                <w:noProof/>
                <w:webHidden/>
              </w:rPr>
              <w:t>79</w:t>
            </w:r>
            <w:r w:rsidR="00A92F56">
              <w:rPr>
                <w:noProof/>
                <w:webHidden/>
              </w:rPr>
              <w:fldChar w:fldCharType="end"/>
            </w:r>
          </w:hyperlink>
        </w:p>
        <w:p w14:paraId="384638AC" w14:textId="2EF4A966" w:rsidR="00A92F56" w:rsidRDefault="001C71EF">
          <w:pPr>
            <w:pStyle w:val="TOC2"/>
            <w:rPr>
              <w:rFonts w:asciiTheme="minorHAnsi" w:eastAsiaTheme="minorEastAsia" w:hAnsiTheme="minorHAnsi" w:cstheme="minorBidi"/>
              <w:noProof/>
              <w:szCs w:val="22"/>
            </w:rPr>
          </w:pPr>
          <w:hyperlink w:anchor="_Toc77603794" w:history="1">
            <w:r w:rsidR="00A92F56" w:rsidRPr="00575E77">
              <w:rPr>
                <w:rStyle w:val="Hyperlink"/>
                <w:noProof/>
              </w:rPr>
              <w:t>19.</w:t>
            </w:r>
            <w:r w:rsidR="00A92F56">
              <w:rPr>
                <w:rFonts w:asciiTheme="minorHAnsi" w:eastAsiaTheme="minorEastAsia" w:hAnsiTheme="minorHAnsi" w:cstheme="minorBidi"/>
                <w:noProof/>
                <w:szCs w:val="22"/>
              </w:rPr>
              <w:tab/>
            </w:r>
            <w:r w:rsidR="00A92F56" w:rsidRPr="00575E77">
              <w:rPr>
                <w:rStyle w:val="Hyperlink"/>
                <w:noProof/>
              </w:rPr>
              <w:t>Inventories</w:t>
            </w:r>
            <w:r w:rsidR="00A92F56">
              <w:rPr>
                <w:noProof/>
                <w:webHidden/>
              </w:rPr>
              <w:tab/>
            </w:r>
            <w:r w:rsidR="00A92F56">
              <w:rPr>
                <w:noProof/>
                <w:webHidden/>
              </w:rPr>
              <w:fldChar w:fldCharType="begin"/>
            </w:r>
            <w:r w:rsidR="00A92F56">
              <w:rPr>
                <w:noProof/>
                <w:webHidden/>
              </w:rPr>
              <w:instrText xml:space="preserve"> PAGEREF _Toc77603794 \h </w:instrText>
            </w:r>
            <w:r w:rsidR="00A92F56">
              <w:rPr>
                <w:noProof/>
                <w:webHidden/>
              </w:rPr>
            </w:r>
            <w:r w:rsidR="00A92F56">
              <w:rPr>
                <w:noProof/>
                <w:webHidden/>
              </w:rPr>
              <w:fldChar w:fldCharType="separate"/>
            </w:r>
            <w:r w:rsidR="00A92F56">
              <w:rPr>
                <w:noProof/>
                <w:webHidden/>
              </w:rPr>
              <w:t>84</w:t>
            </w:r>
            <w:r w:rsidR="00A92F56">
              <w:rPr>
                <w:noProof/>
                <w:webHidden/>
              </w:rPr>
              <w:fldChar w:fldCharType="end"/>
            </w:r>
          </w:hyperlink>
        </w:p>
        <w:p w14:paraId="78F8E2B4" w14:textId="14566ECB" w:rsidR="00A92F56" w:rsidRDefault="001C71EF">
          <w:pPr>
            <w:pStyle w:val="TOC2"/>
            <w:rPr>
              <w:rFonts w:asciiTheme="minorHAnsi" w:eastAsiaTheme="minorEastAsia" w:hAnsiTheme="minorHAnsi" w:cstheme="minorBidi"/>
              <w:noProof/>
              <w:szCs w:val="22"/>
            </w:rPr>
          </w:pPr>
          <w:hyperlink w:anchor="_Toc77603795" w:history="1">
            <w:r w:rsidR="00A92F56" w:rsidRPr="00575E77">
              <w:rPr>
                <w:rStyle w:val="Hyperlink"/>
                <w:noProof/>
              </w:rPr>
              <w:t>20.</w:t>
            </w:r>
            <w:r w:rsidR="00A92F56">
              <w:rPr>
                <w:rFonts w:asciiTheme="minorHAnsi" w:eastAsiaTheme="minorEastAsia" w:hAnsiTheme="minorHAnsi" w:cstheme="minorBidi"/>
                <w:noProof/>
                <w:szCs w:val="22"/>
              </w:rPr>
              <w:tab/>
            </w:r>
            <w:r w:rsidR="00A92F56" w:rsidRPr="00575E77">
              <w:rPr>
                <w:rStyle w:val="Hyperlink"/>
                <w:noProof/>
              </w:rPr>
              <w:t>Short term debtors</w:t>
            </w:r>
            <w:r w:rsidR="00A92F56">
              <w:rPr>
                <w:noProof/>
                <w:webHidden/>
              </w:rPr>
              <w:tab/>
            </w:r>
            <w:r w:rsidR="00A92F56">
              <w:rPr>
                <w:noProof/>
                <w:webHidden/>
              </w:rPr>
              <w:fldChar w:fldCharType="begin"/>
            </w:r>
            <w:r w:rsidR="00A92F56">
              <w:rPr>
                <w:noProof/>
                <w:webHidden/>
              </w:rPr>
              <w:instrText xml:space="preserve"> PAGEREF _Toc77603795 \h </w:instrText>
            </w:r>
            <w:r w:rsidR="00A92F56">
              <w:rPr>
                <w:noProof/>
                <w:webHidden/>
              </w:rPr>
            </w:r>
            <w:r w:rsidR="00A92F56">
              <w:rPr>
                <w:noProof/>
                <w:webHidden/>
              </w:rPr>
              <w:fldChar w:fldCharType="separate"/>
            </w:r>
            <w:r w:rsidR="00A92F56">
              <w:rPr>
                <w:noProof/>
                <w:webHidden/>
              </w:rPr>
              <w:t>84</w:t>
            </w:r>
            <w:r w:rsidR="00A92F56">
              <w:rPr>
                <w:noProof/>
                <w:webHidden/>
              </w:rPr>
              <w:fldChar w:fldCharType="end"/>
            </w:r>
          </w:hyperlink>
        </w:p>
        <w:p w14:paraId="7F1E0F2B" w14:textId="4C7CE6FA" w:rsidR="00A92F56" w:rsidRDefault="001C71EF">
          <w:pPr>
            <w:pStyle w:val="TOC2"/>
            <w:rPr>
              <w:rFonts w:asciiTheme="minorHAnsi" w:eastAsiaTheme="minorEastAsia" w:hAnsiTheme="minorHAnsi" w:cstheme="minorBidi"/>
              <w:noProof/>
              <w:szCs w:val="22"/>
            </w:rPr>
          </w:pPr>
          <w:hyperlink w:anchor="_Toc77603796" w:history="1">
            <w:r w:rsidR="00A92F56" w:rsidRPr="00575E77">
              <w:rPr>
                <w:rStyle w:val="Hyperlink"/>
                <w:noProof/>
              </w:rPr>
              <w:t>21.</w:t>
            </w:r>
            <w:r w:rsidR="00A92F56">
              <w:rPr>
                <w:rFonts w:asciiTheme="minorHAnsi" w:eastAsiaTheme="minorEastAsia" w:hAnsiTheme="minorHAnsi" w:cstheme="minorBidi"/>
                <w:noProof/>
                <w:szCs w:val="22"/>
              </w:rPr>
              <w:tab/>
            </w:r>
            <w:r w:rsidR="00A92F56" w:rsidRPr="00575E77">
              <w:rPr>
                <w:rStyle w:val="Hyperlink"/>
                <w:noProof/>
              </w:rPr>
              <w:t>Cash and cash equivalents</w:t>
            </w:r>
            <w:r w:rsidR="00A92F56">
              <w:rPr>
                <w:noProof/>
                <w:webHidden/>
              </w:rPr>
              <w:tab/>
            </w:r>
            <w:r w:rsidR="00A92F56">
              <w:rPr>
                <w:noProof/>
                <w:webHidden/>
              </w:rPr>
              <w:fldChar w:fldCharType="begin"/>
            </w:r>
            <w:r w:rsidR="00A92F56">
              <w:rPr>
                <w:noProof/>
                <w:webHidden/>
              </w:rPr>
              <w:instrText xml:space="preserve"> PAGEREF _Toc77603796 \h </w:instrText>
            </w:r>
            <w:r w:rsidR="00A92F56">
              <w:rPr>
                <w:noProof/>
                <w:webHidden/>
              </w:rPr>
            </w:r>
            <w:r w:rsidR="00A92F56">
              <w:rPr>
                <w:noProof/>
                <w:webHidden/>
              </w:rPr>
              <w:fldChar w:fldCharType="separate"/>
            </w:r>
            <w:r w:rsidR="00A92F56">
              <w:rPr>
                <w:noProof/>
                <w:webHidden/>
              </w:rPr>
              <w:t>84</w:t>
            </w:r>
            <w:r w:rsidR="00A92F56">
              <w:rPr>
                <w:noProof/>
                <w:webHidden/>
              </w:rPr>
              <w:fldChar w:fldCharType="end"/>
            </w:r>
          </w:hyperlink>
        </w:p>
        <w:p w14:paraId="3F38E785" w14:textId="437A3B35" w:rsidR="00A92F56" w:rsidRDefault="001C71EF">
          <w:pPr>
            <w:pStyle w:val="TOC2"/>
            <w:rPr>
              <w:rFonts w:asciiTheme="minorHAnsi" w:eastAsiaTheme="minorEastAsia" w:hAnsiTheme="minorHAnsi" w:cstheme="minorBidi"/>
              <w:noProof/>
              <w:szCs w:val="22"/>
            </w:rPr>
          </w:pPr>
          <w:hyperlink w:anchor="_Toc77603797" w:history="1">
            <w:r w:rsidR="00A92F56" w:rsidRPr="00575E77">
              <w:rPr>
                <w:rStyle w:val="Hyperlink"/>
                <w:noProof/>
              </w:rPr>
              <w:t>22.</w:t>
            </w:r>
            <w:r w:rsidR="00A92F56">
              <w:rPr>
                <w:rFonts w:asciiTheme="minorHAnsi" w:eastAsiaTheme="minorEastAsia" w:hAnsiTheme="minorHAnsi" w:cstheme="minorBidi"/>
                <w:noProof/>
                <w:szCs w:val="22"/>
              </w:rPr>
              <w:tab/>
            </w:r>
            <w:r w:rsidR="00A92F56" w:rsidRPr="00575E77">
              <w:rPr>
                <w:rStyle w:val="Hyperlink"/>
                <w:noProof/>
              </w:rPr>
              <w:t>Short term creditors</w:t>
            </w:r>
            <w:r w:rsidR="00A92F56">
              <w:rPr>
                <w:noProof/>
                <w:webHidden/>
              </w:rPr>
              <w:tab/>
            </w:r>
            <w:r w:rsidR="00A92F56">
              <w:rPr>
                <w:noProof/>
                <w:webHidden/>
              </w:rPr>
              <w:fldChar w:fldCharType="begin"/>
            </w:r>
            <w:r w:rsidR="00A92F56">
              <w:rPr>
                <w:noProof/>
                <w:webHidden/>
              </w:rPr>
              <w:instrText xml:space="preserve"> PAGEREF _Toc77603797 \h </w:instrText>
            </w:r>
            <w:r w:rsidR="00A92F56">
              <w:rPr>
                <w:noProof/>
                <w:webHidden/>
              </w:rPr>
            </w:r>
            <w:r w:rsidR="00A92F56">
              <w:rPr>
                <w:noProof/>
                <w:webHidden/>
              </w:rPr>
              <w:fldChar w:fldCharType="separate"/>
            </w:r>
            <w:r w:rsidR="00A92F56">
              <w:rPr>
                <w:noProof/>
                <w:webHidden/>
              </w:rPr>
              <w:t>85</w:t>
            </w:r>
            <w:r w:rsidR="00A92F56">
              <w:rPr>
                <w:noProof/>
                <w:webHidden/>
              </w:rPr>
              <w:fldChar w:fldCharType="end"/>
            </w:r>
          </w:hyperlink>
        </w:p>
        <w:p w14:paraId="0516BFBF" w14:textId="5EB9C9FE" w:rsidR="00A92F56" w:rsidRDefault="001C71EF">
          <w:pPr>
            <w:pStyle w:val="TOC2"/>
            <w:rPr>
              <w:rFonts w:asciiTheme="minorHAnsi" w:eastAsiaTheme="minorEastAsia" w:hAnsiTheme="minorHAnsi" w:cstheme="minorBidi"/>
              <w:noProof/>
              <w:szCs w:val="22"/>
            </w:rPr>
          </w:pPr>
          <w:hyperlink w:anchor="_Toc77603798" w:history="1">
            <w:r w:rsidR="00A92F56" w:rsidRPr="00575E77">
              <w:rPr>
                <w:rStyle w:val="Hyperlink"/>
                <w:noProof/>
              </w:rPr>
              <w:t>23.</w:t>
            </w:r>
            <w:r w:rsidR="00A92F56">
              <w:rPr>
                <w:rFonts w:asciiTheme="minorHAnsi" w:eastAsiaTheme="minorEastAsia" w:hAnsiTheme="minorHAnsi" w:cstheme="minorBidi"/>
                <w:noProof/>
                <w:szCs w:val="22"/>
              </w:rPr>
              <w:tab/>
            </w:r>
            <w:r w:rsidR="00A92F56" w:rsidRPr="00575E77">
              <w:rPr>
                <w:rStyle w:val="Hyperlink"/>
                <w:noProof/>
              </w:rPr>
              <w:t>Provisions</w:t>
            </w:r>
            <w:r w:rsidR="00A92F56">
              <w:rPr>
                <w:noProof/>
                <w:webHidden/>
              </w:rPr>
              <w:tab/>
            </w:r>
            <w:r w:rsidR="00A92F56">
              <w:rPr>
                <w:noProof/>
                <w:webHidden/>
              </w:rPr>
              <w:fldChar w:fldCharType="begin"/>
            </w:r>
            <w:r w:rsidR="00A92F56">
              <w:rPr>
                <w:noProof/>
                <w:webHidden/>
              </w:rPr>
              <w:instrText xml:space="preserve"> PAGEREF _Toc77603798 \h </w:instrText>
            </w:r>
            <w:r w:rsidR="00A92F56">
              <w:rPr>
                <w:noProof/>
                <w:webHidden/>
              </w:rPr>
            </w:r>
            <w:r w:rsidR="00A92F56">
              <w:rPr>
                <w:noProof/>
                <w:webHidden/>
              </w:rPr>
              <w:fldChar w:fldCharType="separate"/>
            </w:r>
            <w:r w:rsidR="00A92F56">
              <w:rPr>
                <w:noProof/>
                <w:webHidden/>
              </w:rPr>
              <w:t>85</w:t>
            </w:r>
            <w:r w:rsidR="00A92F56">
              <w:rPr>
                <w:noProof/>
                <w:webHidden/>
              </w:rPr>
              <w:fldChar w:fldCharType="end"/>
            </w:r>
          </w:hyperlink>
        </w:p>
        <w:p w14:paraId="54C6C17A" w14:textId="6EED1C2E" w:rsidR="00A92F56" w:rsidRDefault="001C71EF">
          <w:pPr>
            <w:pStyle w:val="TOC2"/>
            <w:rPr>
              <w:rFonts w:asciiTheme="minorHAnsi" w:eastAsiaTheme="minorEastAsia" w:hAnsiTheme="minorHAnsi" w:cstheme="minorBidi"/>
              <w:noProof/>
              <w:szCs w:val="22"/>
            </w:rPr>
          </w:pPr>
          <w:hyperlink w:anchor="_Toc77603799" w:history="1">
            <w:r w:rsidR="00A92F56" w:rsidRPr="00575E77">
              <w:rPr>
                <w:rStyle w:val="Hyperlink"/>
                <w:noProof/>
              </w:rPr>
              <w:t>24.</w:t>
            </w:r>
            <w:r w:rsidR="00A92F56">
              <w:rPr>
                <w:rFonts w:asciiTheme="minorHAnsi" w:eastAsiaTheme="minorEastAsia" w:hAnsiTheme="minorHAnsi" w:cstheme="minorBidi"/>
                <w:noProof/>
                <w:szCs w:val="22"/>
              </w:rPr>
              <w:tab/>
            </w:r>
            <w:r w:rsidR="00A92F56" w:rsidRPr="00575E77">
              <w:rPr>
                <w:rStyle w:val="Hyperlink"/>
                <w:noProof/>
              </w:rPr>
              <w:t>Usable reserves</w:t>
            </w:r>
            <w:r w:rsidR="00A92F56">
              <w:rPr>
                <w:noProof/>
                <w:webHidden/>
              </w:rPr>
              <w:tab/>
            </w:r>
            <w:r w:rsidR="00A92F56">
              <w:rPr>
                <w:noProof/>
                <w:webHidden/>
              </w:rPr>
              <w:fldChar w:fldCharType="begin"/>
            </w:r>
            <w:r w:rsidR="00A92F56">
              <w:rPr>
                <w:noProof/>
                <w:webHidden/>
              </w:rPr>
              <w:instrText xml:space="preserve"> PAGEREF _Toc77603799 \h </w:instrText>
            </w:r>
            <w:r w:rsidR="00A92F56">
              <w:rPr>
                <w:noProof/>
                <w:webHidden/>
              </w:rPr>
            </w:r>
            <w:r w:rsidR="00A92F56">
              <w:rPr>
                <w:noProof/>
                <w:webHidden/>
              </w:rPr>
              <w:fldChar w:fldCharType="separate"/>
            </w:r>
            <w:r w:rsidR="00A92F56">
              <w:rPr>
                <w:noProof/>
                <w:webHidden/>
              </w:rPr>
              <w:t>86</w:t>
            </w:r>
            <w:r w:rsidR="00A92F56">
              <w:rPr>
                <w:noProof/>
                <w:webHidden/>
              </w:rPr>
              <w:fldChar w:fldCharType="end"/>
            </w:r>
          </w:hyperlink>
        </w:p>
        <w:p w14:paraId="67F93CE9" w14:textId="59113D32" w:rsidR="00A92F56" w:rsidRDefault="001C71EF">
          <w:pPr>
            <w:pStyle w:val="TOC2"/>
            <w:rPr>
              <w:rFonts w:asciiTheme="minorHAnsi" w:eastAsiaTheme="minorEastAsia" w:hAnsiTheme="minorHAnsi" w:cstheme="minorBidi"/>
              <w:noProof/>
              <w:szCs w:val="22"/>
            </w:rPr>
          </w:pPr>
          <w:hyperlink w:anchor="_Toc77603800" w:history="1">
            <w:r w:rsidR="00A92F56" w:rsidRPr="00575E77">
              <w:rPr>
                <w:rStyle w:val="Hyperlink"/>
                <w:noProof/>
              </w:rPr>
              <w:t>25.</w:t>
            </w:r>
            <w:r w:rsidR="00A92F56">
              <w:rPr>
                <w:rFonts w:asciiTheme="minorHAnsi" w:eastAsiaTheme="minorEastAsia" w:hAnsiTheme="minorHAnsi" w:cstheme="minorBidi"/>
                <w:noProof/>
                <w:szCs w:val="22"/>
              </w:rPr>
              <w:tab/>
            </w:r>
            <w:r w:rsidR="00A92F56" w:rsidRPr="00575E77">
              <w:rPr>
                <w:rStyle w:val="Hyperlink"/>
                <w:noProof/>
              </w:rPr>
              <w:t>Unusable reserves</w:t>
            </w:r>
            <w:r w:rsidR="00A92F56">
              <w:rPr>
                <w:noProof/>
                <w:webHidden/>
              </w:rPr>
              <w:tab/>
            </w:r>
            <w:r w:rsidR="00A92F56">
              <w:rPr>
                <w:noProof/>
                <w:webHidden/>
              </w:rPr>
              <w:fldChar w:fldCharType="begin"/>
            </w:r>
            <w:r w:rsidR="00A92F56">
              <w:rPr>
                <w:noProof/>
                <w:webHidden/>
              </w:rPr>
              <w:instrText xml:space="preserve"> PAGEREF _Toc77603800 \h </w:instrText>
            </w:r>
            <w:r w:rsidR="00A92F56">
              <w:rPr>
                <w:noProof/>
                <w:webHidden/>
              </w:rPr>
            </w:r>
            <w:r w:rsidR="00A92F56">
              <w:rPr>
                <w:noProof/>
                <w:webHidden/>
              </w:rPr>
              <w:fldChar w:fldCharType="separate"/>
            </w:r>
            <w:r w:rsidR="00A92F56">
              <w:rPr>
                <w:noProof/>
                <w:webHidden/>
              </w:rPr>
              <w:t>86</w:t>
            </w:r>
            <w:r w:rsidR="00A92F56">
              <w:rPr>
                <w:noProof/>
                <w:webHidden/>
              </w:rPr>
              <w:fldChar w:fldCharType="end"/>
            </w:r>
          </w:hyperlink>
        </w:p>
        <w:p w14:paraId="5FA29D72" w14:textId="51C2613F" w:rsidR="00A92F56" w:rsidRDefault="001C71EF">
          <w:pPr>
            <w:pStyle w:val="TOC2"/>
            <w:rPr>
              <w:rFonts w:asciiTheme="minorHAnsi" w:eastAsiaTheme="minorEastAsia" w:hAnsiTheme="minorHAnsi" w:cstheme="minorBidi"/>
              <w:noProof/>
              <w:szCs w:val="22"/>
            </w:rPr>
          </w:pPr>
          <w:hyperlink w:anchor="_Toc77603801" w:history="1">
            <w:r w:rsidR="00A92F56" w:rsidRPr="00575E77">
              <w:rPr>
                <w:rStyle w:val="Hyperlink"/>
                <w:noProof/>
              </w:rPr>
              <w:t>26.</w:t>
            </w:r>
            <w:r w:rsidR="00A92F56">
              <w:rPr>
                <w:rFonts w:asciiTheme="minorHAnsi" w:eastAsiaTheme="minorEastAsia" w:hAnsiTheme="minorHAnsi" w:cstheme="minorBidi"/>
                <w:noProof/>
                <w:szCs w:val="22"/>
              </w:rPr>
              <w:tab/>
            </w:r>
            <w:r w:rsidR="00A92F56" w:rsidRPr="00575E77">
              <w:rPr>
                <w:rStyle w:val="Hyperlink"/>
                <w:noProof/>
              </w:rPr>
              <w:t>Cash flow statement – operating activities</w:t>
            </w:r>
            <w:r w:rsidR="00A92F56">
              <w:rPr>
                <w:noProof/>
                <w:webHidden/>
              </w:rPr>
              <w:tab/>
            </w:r>
            <w:r w:rsidR="00A92F56">
              <w:rPr>
                <w:noProof/>
                <w:webHidden/>
              </w:rPr>
              <w:fldChar w:fldCharType="begin"/>
            </w:r>
            <w:r w:rsidR="00A92F56">
              <w:rPr>
                <w:noProof/>
                <w:webHidden/>
              </w:rPr>
              <w:instrText xml:space="preserve"> PAGEREF _Toc77603801 \h </w:instrText>
            </w:r>
            <w:r w:rsidR="00A92F56">
              <w:rPr>
                <w:noProof/>
                <w:webHidden/>
              </w:rPr>
            </w:r>
            <w:r w:rsidR="00A92F56">
              <w:rPr>
                <w:noProof/>
                <w:webHidden/>
              </w:rPr>
              <w:fldChar w:fldCharType="separate"/>
            </w:r>
            <w:r w:rsidR="00A92F56">
              <w:rPr>
                <w:noProof/>
                <w:webHidden/>
              </w:rPr>
              <w:t>90</w:t>
            </w:r>
            <w:r w:rsidR="00A92F56">
              <w:rPr>
                <w:noProof/>
                <w:webHidden/>
              </w:rPr>
              <w:fldChar w:fldCharType="end"/>
            </w:r>
          </w:hyperlink>
        </w:p>
        <w:p w14:paraId="7C7F0058" w14:textId="25E89B20" w:rsidR="00A92F56" w:rsidRDefault="001C71EF">
          <w:pPr>
            <w:pStyle w:val="TOC2"/>
            <w:rPr>
              <w:rFonts w:asciiTheme="minorHAnsi" w:eastAsiaTheme="minorEastAsia" w:hAnsiTheme="minorHAnsi" w:cstheme="minorBidi"/>
              <w:noProof/>
              <w:szCs w:val="22"/>
            </w:rPr>
          </w:pPr>
          <w:hyperlink w:anchor="_Toc77603802" w:history="1">
            <w:r w:rsidR="00A92F56" w:rsidRPr="00575E77">
              <w:rPr>
                <w:rStyle w:val="Hyperlink"/>
                <w:noProof/>
              </w:rPr>
              <w:t>27.</w:t>
            </w:r>
            <w:r w:rsidR="00A92F56">
              <w:rPr>
                <w:rFonts w:asciiTheme="minorHAnsi" w:eastAsiaTheme="minorEastAsia" w:hAnsiTheme="minorHAnsi" w:cstheme="minorBidi"/>
                <w:noProof/>
                <w:szCs w:val="22"/>
              </w:rPr>
              <w:tab/>
            </w:r>
            <w:r w:rsidR="00A92F56" w:rsidRPr="00575E77">
              <w:rPr>
                <w:rStyle w:val="Hyperlink"/>
                <w:noProof/>
              </w:rPr>
              <w:t>Cash Flow Statement – investing activities</w:t>
            </w:r>
            <w:r w:rsidR="00A92F56">
              <w:rPr>
                <w:noProof/>
                <w:webHidden/>
              </w:rPr>
              <w:tab/>
            </w:r>
            <w:r w:rsidR="00A92F56">
              <w:rPr>
                <w:noProof/>
                <w:webHidden/>
              </w:rPr>
              <w:fldChar w:fldCharType="begin"/>
            </w:r>
            <w:r w:rsidR="00A92F56">
              <w:rPr>
                <w:noProof/>
                <w:webHidden/>
              </w:rPr>
              <w:instrText xml:space="preserve"> PAGEREF _Toc77603802 \h </w:instrText>
            </w:r>
            <w:r w:rsidR="00A92F56">
              <w:rPr>
                <w:noProof/>
                <w:webHidden/>
              </w:rPr>
            </w:r>
            <w:r w:rsidR="00A92F56">
              <w:rPr>
                <w:noProof/>
                <w:webHidden/>
              </w:rPr>
              <w:fldChar w:fldCharType="separate"/>
            </w:r>
            <w:r w:rsidR="00A92F56">
              <w:rPr>
                <w:noProof/>
                <w:webHidden/>
              </w:rPr>
              <w:t>91</w:t>
            </w:r>
            <w:r w:rsidR="00A92F56">
              <w:rPr>
                <w:noProof/>
                <w:webHidden/>
              </w:rPr>
              <w:fldChar w:fldCharType="end"/>
            </w:r>
          </w:hyperlink>
        </w:p>
        <w:p w14:paraId="2F3D1952" w14:textId="4EAE3645" w:rsidR="00A92F56" w:rsidRDefault="001C71EF">
          <w:pPr>
            <w:pStyle w:val="TOC2"/>
            <w:rPr>
              <w:rFonts w:asciiTheme="minorHAnsi" w:eastAsiaTheme="minorEastAsia" w:hAnsiTheme="minorHAnsi" w:cstheme="minorBidi"/>
              <w:noProof/>
              <w:szCs w:val="22"/>
            </w:rPr>
          </w:pPr>
          <w:hyperlink w:anchor="_Toc77603803" w:history="1">
            <w:r w:rsidR="00A92F56" w:rsidRPr="00575E77">
              <w:rPr>
                <w:rStyle w:val="Hyperlink"/>
                <w:noProof/>
              </w:rPr>
              <w:t>28.</w:t>
            </w:r>
            <w:r w:rsidR="00A92F56">
              <w:rPr>
                <w:rFonts w:asciiTheme="minorHAnsi" w:eastAsiaTheme="minorEastAsia" w:hAnsiTheme="minorHAnsi" w:cstheme="minorBidi"/>
                <w:noProof/>
                <w:szCs w:val="22"/>
              </w:rPr>
              <w:tab/>
            </w:r>
            <w:r w:rsidR="00A92F56" w:rsidRPr="00575E77">
              <w:rPr>
                <w:rStyle w:val="Hyperlink"/>
                <w:noProof/>
              </w:rPr>
              <w:t>Cash Flow Statement – financing activities</w:t>
            </w:r>
            <w:r w:rsidR="00A92F56">
              <w:rPr>
                <w:noProof/>
                <w:webHidden/>
              </w:rPr>
              <w:tab/>
            </w:r>
            <w:r w:rsidR="00A92F56">
              <w:rPr>
                <w:noProof/>
                <w:webHidden/>
              </w:rPr>
              <w:fldChar w:fldCharType="begin"/>
            </w:r>
            <w:r w:rsidR="00A92F56">
              <w:rPr>
                <w:noProof/>
                <w:webHidden/>
              </w:rPr>
              <w:instrText xml:space="preserve"> PAGEREF _Toc77603803 \h </w:instrText>
            </w:r>
            <w:r w:rsidR="00A92F56">
              <w:rPr>
                <w:noProof/>
                <w:webHidden/>
              </w:rPr>
            </w:r>
            <w:r w:rsidR="00A92F56">
              <w:rPr>
                <w:noProof/>
                <w:webHidden/>
              </w:rPr>
              <w:fldChar w:fldCharType="separate"/>
            </w:r>
            <w:r w:rsidR="00A92F56">
              <w:rPr>
                <w:noProof/>
                <w:webHidden/>
              </w:rPr>
              <w:t>91</w:t>
            </w:r>
            <w:r w:rsidR="00A92F56">
              <w:rPr>
                <w:noProof/>
                <w:webHidden/>
              </w:rPr>
              <w:fldChar w:fldCharType="end"/>
            </w:r>
          </w:hyperlink>
        </w:p>
        <w:p w14:paraId="56012140" w14:textId="34BEAB85" w:rsidR="00A92F56" w:rsidRDefault="001C71EF">
          <w:pPr>
            <w:pStyle w:val="TOC2"/>
            <w:rPr>
              <w:rFonts w:asciiTheme="minorHAnsi" w:eastAsiaTheme="minorEastAsia" w:hAnsiTheme="minorHAnsi" w:cstheme="minorBidi"/>
              <w:noProof/>
              <w:szCs w:val="22"/>
            </w:rPr>
          </w:pPr>
          <w:hyperlink w:anchor="_Toc77603804" w:history="1">
            <w:r w:rsidR="00A92F56" w:rsidRPr="00575E77">
              <w:rPr>
                <w:rStyle w:val="Hyperlink"/>
                <w:noProof/>
              </w:rPr>
              <w:t>29.</w:t>
            </w:r>
            <w:r w:rsidR="00A92F56">
              <w:rPr>
                <w:rFonts w:asciiTheme="minorHAnsi" w:eastAsiaTheme="minorEastAsia" w:hAnsiTheme="minorHAnsi" w:cstheme="minorBidi"/>
                <w:noProof/>
                <w:szCs w:val="22"/>
              </w:rPr>
              <w:tab/>
            </w:r>
            <w:r w:rsidR="00A92F56" w:rsidRPr="00575E77">
              <w:rPr>
                <w:rStyle w:val="Hyperlink"/>
                <w:noProof/>
              </w:rPr>
              <w:t>Trading operations</w:t>
            </w:r>
            <w:r w:rsidR="00A92F56">
              <w:rPr>
                <w:noProof/>
                <w:webHidden/>
              </w:rPr>
              <w:tab/>
            </w:r>
            <w:r w:rsidR="00A92F56">
              <w:rPr>
                <w:noProof/>
                <w:webHidden/>
              </w:rPr>
              <w:fldChar w:fldCharType="begin"/>
            </w:r>
            <w:r w:rsidR="00A92F56">
              <w:rPr>
                <w:noProof/>
                <w:webHidden/>
              </w:rPr>
              <w:instrText xml:space="preserve"> PAGEREF _Toc77603804 \h </w:instrText>
            </w:r>
            <w:r w:rsidR="00A92F56">
              <w:rPr>
                <w:noProof/>
                <w:webHidden/>
              </w:rPr>
            </w:r>
            <w:r w:rsidR="00A92F56">
              <w:rPr>
                <w:noProof/>
                <w:webHidden/>
              </w:rPr>
              <w:fldChar w:fldCharType="separate"/>
            </w:r>
            <w:r w:rsidR="00A92F56">
              <w:rPr>
                <w:noProof/>
                <w:webHidden/>
              </w:rPr>
              <w:t>92</w:t>
            </w:r>
            <w:r w:rsidR="00A92F56">
              <w:rPr>
                <w:noProof/>
                <w:webHidden/>
              </w:rPr>
              <w:fldChar w:fldCharType="end"/>
            </w:r>
          </w:hyperlink>
        </w:p>
        <w:p w14:paraId="04657284" w14:textId="4AD3F98A" w:rsidR="00A92F56" w:rsidRDefault="001C71EF">
          <w:pPr>
            <w:pStyle w:val="TOC2"/>
            <w:rPr>
              <w:rFonts w:asciiTheme="minorHAnsi" w:eastAsiaTheme="minorEastAsia" w:hAnsiTheme="minorHAnsi" w:cstheme="minorBidi"/>
              <w:noProof/>
              <w:szCs w:val="22"/>
            </w:rPr>
          </w:pPr>
          <w:hyperlink w:anchor="_Toc77603805" w:history="1">
            <w:r w:rsidR="00A92F56" w:rsidRPr="00575E77">
              <w:rPr>
                <w:rStyle w:val="Hyperlink"/>
                <w:noProof/>
              </w:rPr>
              <w:t>30.</w:t>
            </w:r>
            <w:r w:rsidR="00A92F56">
              <w:rPr>
                <w:rFonts w:asciiTheme="minorHAnsi" w:eastAsiaTheme="minorEastAsia" w:hAnsiTheme="minorHAnsi" w:cstheme="minorBidi"/>
                <w:noProof/>
                <w:szCs w:val="22"/>
              </w:rPr>
              <w:tab/>
            </w:r>
            <w:r w:rsidR="00A92F56" w:rsidRPr="00575E77">
              <w:rPr>
                <w:rStyle w:val="Hyperlink"/>
                <w:noProof/>
              </w:rPr>
              <w:t>Members allowances</w:t>
            </w:r>
            <w:r w:rsidR="00A92F56">
              <w:rPr>
                <w:noProof/>
                <w:webHidden/>
              </w:rPr>
              <w:tab/>
            </w:r>
            <w:r w:rsidR="00A92F56">
              <w:rPr>
                <w:noProof/>
                <w:webHidden/>
              </w:rPr>
              <w:fldChar w:fldCharType="begin"/>
            </w:r>
            <w:r w:rsidR="00A92F56">
              <w:rPr>
                <w:noProof/>
                <w:webHidden/>
              </w:rPr>
              <w:instrText xml:space="preserve"> PAGEREF _Toc77603805 \h </w:instrText>
            </w:r>
            <w:r w:rsidR="00A92F56">
              <w:rPr>
                <w:noProof/>
                <w:webHidden/>
              </w:rPr>
            </w:r>
            <w:r w:rsidR="00A92F56">
              <w:rPr>
                <w:noProof/>
                <w:webHidden/>
              </w:rPr>
              <w:fldChar w:fldCharType="separate"/>
            </w:r>
            <w:r w:rsidR="00A92F56">
              <w:rPr>
                <w:noProof/>
                <w:webHidden/>
              </w:rPr>
              <w:t>92</w:t>
            </w:r>
            <w:r w:rsidR="00A92F56">
              <w:rPr>
                <w:noProof/>
                <w:webHidden/>
              </w:rPr>
              <w:fldChar w:fldCharType="end"/>
            </w:r>
          </w:hyperlink>
        </w:p>
        <w:p w14:paraId="42E6D266" w14:textId="20B33AD9" w:rsidR="00A92F56" w:rsidRDefault="001C71EF">
          <w:pPr>
            <w:pStyle w:val="TOC2"/>
            <w:rPr>
              <w:rFonts w:asciiTheme="minorHAnsi" w:eastAsiaTheme="minorEastAsia" w:hAnsiTheme="minorHAnsi" w:cstheme="minorBidi"/>
              <w:noProof/>
              <w:szCs w:val="22"/>
            </w:rPr>
          </w:pPr>
          <w:hyperlink w:anchor="_Toc77603806" w:history="1">
            <w:r w:rsidR="00A92F56" w:rsidRPr="00575E77">
              <w:rPr>
                <w:rStyle w:val="Hyperlink"/>
                <w:noProof/>
              </w:rPr>
              <w:t>31.</w:t>
            </w:r>
            <w:r w:rsidR="00A92F56">
              <w:rPr>
                <w:rFonts w:asciiTheme="minorHAnsi" w:eastAsiaTheme="minorEastAsia" w:hAnsiTheme="minorHAnsi" w:cstheme="minorBidi"/>
                <w:noProof/>
                <w:szCs w:val="22"/>
              </w:rPr>
              <w:tab/>
            </w:r>
            <w:r w:rsidR="00A92F56" w:rsidRPr="00575E77">
              <w:rPr>
                <w:rStyle w:val="Hyperlink"/>
                <w:noProof/>
              </w:rPr>
              <w:t>Officers remuneration</w:t>
            </w:r>
            <w:r w:rsidR="00A92F56">
              <w:rPr>
                <w:noProof/>
                <w:webHidden/>
              </w:rPr>
              <w:tab/>
            </w:r>
            <w:r w:rsidR="00A92F56">
              <w:rPr>
                <w:noProof/>
                <w:webHidden/>
              </w:rPr>
              <w:fldChar w:fldCharType="begin"/>
            </w:r>
            <w:r w:rsidR="00A92F56">
              <w:rPr>
                <w:noProof/>
                <w:webHidden/>
              </w:rPr>
              <w:instrText xml:space="preserve"> PAGEREF _Toc77603806 \h </w:instrText>
            </w:r>
            <w:r w:rsidR="00A92F56">
              <w:rPr>
                <w:noProof/>
                <w:webHidden/>
              </w:rPr>
            </w:r>
            <w:r w:rsidR="00A92F56">
              <w:rPr>
                <w:noProof/>
                <w:webHidden/>
              </w:rPr>
              <w:fldChar w:fldCharType="separate"/>
            </w:r>
            <w:r w:rsidR="00A92F56">
              <w:rPr>
                <w:noProof/>
                <w:webHidden/>
              </w:rPr>
              <w:t>93</w:t>
            </w:r>
            <w:r w:rsidR="00A92F56">
              <w:rPr>
                <w:noProof/>
                <w:webHidden/>
              </w:rPr>
              <w:fldChar w:fldCharType="end"/>
            </w:r>
          </w:hyperlink>
        </w:p>
        <w:p w14:paraId="2C225F7C" w14:textId="5B4E8227" w:rsidR="00A92F56" w:rsidRDefault="001C71EF">
          <w:pPr>
            <w:pStyle w:val="TOC2"/>
            <w:rPr>
              <w:rFonts w:asciiTheme="minorHAnsi" w:eastAsiaTheme="minorEastAsia" w:hAnsiTheme="minorHAnsi" w:cstheme="minorBidi"/>
              <w:noProof/>
              <w:szCs w:val="22"/>
            </w:rPr>
          </w:pPr>
          <w:hyperlink w:anchor="_Toc77603807" w:history="1">
            <w:r w:rsidR="00A92F56" w:rsidRPr="00575E77">
              <w:rPr>
                <w:rStyle w:val="Hyperlink"/>
                <w:noProof/>
              </w:rPr>
              <w:t>32.</w:t>
            </w:r>
            <w:r w:rsidR="00A92F56">
              <w:rPr>
                <w:rFonts w:asciiTheme="minorHAnsi" w:eastAsiaTheme="minorEastAsia" w:hAnsiTheme="minorHAnsi" w:cstheme="minorBidi"/>
                <w:noProof/>
                <w:szCs w:val="22"/>
              </w:rPr>
              <w:tab/>
            </w:r>
            <w:r w:rsidR="00A92F56" w:rsidRPr="00575E77">
              <w:rPr>
                <w:rStyle w:val="Hyperlink"/>
                <w:noProof/>
              </w:rPr>
              <w:t>External audit costs</w:t>
            </w:r>
            <w:r w:rsidR="00A92F56">
              <w:rPr>
                <w:noProof/>
                <w:webHidden/>
              </w:rPr>
              <w:tab/>
            </w:r>
            <w:r w:rsidR="00A92F56">
              <w:rPr>
                <w:noProof/>
                <w:webHidden/>
              </w:rPr>
              <w:fldChar w:fldCharType="begin"/>
            </w:r>
            <w:r w:rsidR="00A92F56">
              <w:rPr>
                <w:noProof/>
                <w:webHidden/>
              </w:rPr>
              <w:instrText xml:space="preserve"> PAGEREF _Toc77603807 \h </w:instrText>
            </w:r>
            <w:r w:rsidR="00A92F56">
              <w:rPr>
                <w:noProof/>
                <w:webHidden/>
              </w:rPr>
            </w:r>
            <w:r w:rsidR="00A92F56">
              <w:rPr>
                <w:noProof/>
                <w:webHidden/>
              </w:rPr>
              <w:fldChar w:fldCharType="separate"/>
            </w:r>
            <w:r w:rsidR="00A92F56">
              <w:rPr>
                <w:noProof/>
                <w:webHidden/>
              </w:rPr>
              <w:t>96</w:t>
            </w:r>
            <w:r w:rsidR="00A92F56">
              <w:rPr>
                <w:noProof/>
                <w:webHidden/>
              </w:rPr>
              <w:fldChar w:fldCharType="end"/>
            </w:r>
          </w:hyperlink>
        </w:p>
        <w:p w14:paraId="3DB5D603" w14:textId="25FA8173" w:rsidR="00A92F56" w:rsidRDefault="001C71EF">
          <w:pPr>
            <w:pStyle w:val="TOC2"/>
            <w:rPr>
              <w:rFonts w:asciiTheme="minorHAnsi" w:eastAsiaTheme="minorEastAsia" w:hAnsiTheme="minorHAnsi" w:cstheme="minorBidi"/>
              <w:noProof/>
              <w:szCs w:val="22"/>
            </w:rPr>
          </w:pPr>
          <w:hyperlink w:anchor="_Toc77603808" w:history="1">
            <w:r w:rsidR="00A92F56" w:rsidRPr="00575E77">
              <w:rPr>
                <w:rStyle w:val="Hyperlink"/>
                <w:noProof/>
              </w:rPr>
              <w:t>33.</w:t>
            </w:r>
            <w:r w:rsidR="00A92F56">
              <w:rPr>
                <w:rFonts w:asciiTheme="minorHAnsi" w:eastAsiaTheme="minorEastAsia" w:hAnsiTheme="minorHAnsi" w:cstheme="minorBidi"/>
                <w:noProof/>
                <w:szCs w:val="22"/>
              </w:rPr>
              <w:tab/>
            </w:r>
            <w:r w:rsidR="00A92F56" w:rsidRPr="00575E77">
              <w:rPr>
                <w:rStyle w:val="Hyperlink"/>
                <w:noProof/>
              </w:rPr>
              <w:t>Grant income</w:t>
            </w:r>
            <w:r w:rsidR="00A92F56">
              <w:rPr>
                <w:noProof/>
                <w:webHidden/>
              </w:rPr>
              <w:tab/>
            </w:r>
            <w:r w:rsidR="00A92F56">
              <w:rPr>
                <w:noProof/>
                <w:webHidden/>
              </w:rPr>
              <w:fldChar w:fldCharType="begin"/>
            </w:r>
            <w:r w:rsidR="00A92F56">
              <w:rPr>
                <w:noProof/>
                <w:webHidden/>
              </w:rPr>
              <w:instrText xml:space="preserve"> PAGEREF _Toc77603808 \h </w:instrText>
            </w:r>
            <w:r w:rsidR="00A92F56">
              <w:rPr>
                <w:noProof/>
                <w:webHidden/>
              </w:rPr>
            </w:r>
            <w:r w:rsidR="00A92F56">
              <w:rPr>
                <w:noProof/>
                <w:webHidden/>
              </w:rPr>
              <w:fldChar w:fldCharType="separate"/>
            </w:r>
            <w:r w:rsidR="00A92F56">
              <w:rPr>
                <w:noProof/>
                <w:webHidden/>
              </w:rPr>
              <w:t>96</w:t>
            </w:r>
            <w:r w:rsidR="00A92F56">
              <w:rPr>
                <w:noProof/>
                <w:webHidden/>
              </w:rPr>
              <w:fldChar w:fldCharType="end"/>
            </w:r>
          </w:hyperlink>
        </w:p>
        <w:p w14:paraId="03E01340" w14:textId="06CE181E" w:rsidR="00A92F56" w:rsidRDefault="001C71EF">
          <w:pPr>
            <w:pStyle w:val="TOC2"/>
            <w:rPr>
              <w:rFonts w:asciiTheme="minorHAnsi" w:eastAsiaTheme="minorEastAsia" w:hAnsiTheme="minorHAnsi" w:cstheme="minorBidi"/>
              <w:noProof/>
              <w:szCs w:val="22"/>
            </w:rPr>
          </w:pPr>
          <w:hyperlink w:anchor="_Toc77603809" w:history="1">
            <w:r w:rsidR="00A92F56" w:rsidRPr="00575E77">
              <w:rPr>
                <w:rStyle w:val="Hyperlink"/>
                <w:noProof/>
              </w:rPr>
              <w:t>34.</w:t>
            </w:r>
            <w:r w:rsidR="00A92F56">
              <w:rPr>
                <w:rFonts w:asciiTheme="minorHAnsi" w:eastAsiaTheme="minorEastAsia" w:hAnsiTheme="minorHAnsi" w:cstheme="minorBidi"/>
                <w:noProof/>
                <w:szCs w:val="22"/>
              </w:rPr>
              <w:tab/>
            </w:r>
            <w:r w:rsidR="00A92F56" w:rsidRPr="00575E77">
              <w:rPr>
                <w:rStyle w:val="Hyperlink"/>
                <w:noProof/>
              </w:rPr>
              <w:t>Related parties</w:t>
            </w:r>
            <w:r w:rsidR="00A92F56">
              <w:rPr>
                <w:noProof/>
                <w:webHidden/>
              </w:rPr>
              <w:tab/>
            </w:r>
            <w:r w:rsidR="00A92F56">
              <w:rPr>
                <w:noProof/>
                <w:webHidden/>
              </w:rPr>
              <w:fldChar w:fldCharType="begin"/>
            </w:r>
            <w:r w:rsidR="00A92F56">
              <w:rPr>
                <w:noProof/>
                <w:webHidden/>
              </w:rPr>
              <w:instrText xml:space="preserve"> PAGEREF _Toc77603809 \h </w:instrText>
            </w:r>
            <w:r w:rsidR="00A92F56">
              <w:rPr>
                <w:noProof/>
                <w:webHidden/>
              </w:rPr>
            </w:r>
            <w:r w:rsidR="00A92F56">
              <w:rPr>
                <w:noProof/>
                <w:webHidden/>
              </w:rPr>
              <w:fldChar w:fldCharType="separate"/>
            </w:r>
            <w:r w:rsidR="00A92F56">
              <w:rPr>
                <w:noProof/>
                <w:webHidden/>
              </w:rPr>
              <w:t>97</w:t>
            </w:r>
            <w:r w:rsidR="00A92F56">
              <w:rPr>
                <w:noProof/>
                <w:webHidden/>
              </w:rPr>
              <w:fldChar w:fldCharType="end"/>
            </w:r>
          </w:hyperlink>
        </w:p>
        <w:p w14:paraId="464F2FC7" w14:textId="45285446" w:rsidR="00A92F56" w:rsidRDefault="001C71EF">
          <w:pPr>
            <w:pStyle w:val="TOC2"/>
            <w:rPr>
              <w:rFonts w:asciiTheme="minorHAnsi" w:eastAsiaTheme="minorEastAsia" w:hAnsiTheme="minorHAnsi" w:cstheme="minorBidi"/>
              <w:noProof/>
              <w:szCs w:val="22"/>
            </w:rPr>
          </w:pPr>
          <w:hyperlink w:anchor="_Toc77603810" w:history="1">
            <w:r w:rsidR="00A92F56" w:rsidRPr="00575E77">
              <w:rPr>
                <w:rStyle w:val="Hyperlink"/>
                <w:noProof/>
              </w:rPr>
              <w:t>35.</w:t>
            </w:r>
            <w:r w:rsidR="00A92F56">
              <w:rPr>
                <w:rFonts w:asciiTheme="minorHAnsi" w:eastAsiaTheme="minorEastAsia" w:hAnsiTheme="minorHAnsi" w:cstheme="minorBidi"/>
                <w:noProof/>
                <w:szCs w:val="22"/>
              </w:rPr>
              <w:tab/>
            </w:r>
            <w:r w:rsidR="00A92F56" w:rsidRPr="00575E77">
              <w:rPr>
                <w:rStyle w:val="Hyperlink"/>
                <w:noProof/>
              </w:rPr>
              <w:t>Capital expenditure and financing</w:t>
            </w:r>
            <w:r w:rsidR="00A92F56">
              <w:rPr>
                <w:noProof/>
                <w:webHidden/>
              </w:rPr>
              <w:tab/>
            </w:r>
            <w:r w:rsidR="00A92F56">
              <w:rPr>
                <w:noProof/>
                <w:webHidden/>
              </w:rPr>
              <w:fldChar w:fldCharType="begin"/>
            </w:r>
            <w:r w:rsidR="00A92F56">
              <w:rPr>
                <w:noProof/>
                <w:webHidden/>
              </w:rPr>
              <w:instrText xml:space="preserve"> PAGEREF _Toc77603810 \h </w:instrText>
            </w:r>
            <w:r w:rsidR="00A92F56">
              <w:rPr>
                <w:noProof/>
                <w:webHidden/>
              </w:rPr>
            </w:r>
            <w:r w:rsidR="00A92F56">
              <w:rPr>
                <w:noProof/>
                <w:webHidden/>
              </w:rPr>
              <w:fldChar w:fldCharType="separate"/>
            </w:r>
            <w:r w:rsidR="00A92F56">
              <w:rPr>
                <w:noProof/>
                <w:webHidden/>
              </w:rPr>
              <w:t>99</w:t>
            </w:r>
            <w:r w:rsidR="00A92F56">
              <w:rPr>
                <w:noProof/>
                <w:webHidden/>
              </w:rPr>
              <w:fldChar w:fldCharType="end"/>
            </w:r>
          </w:hyperlink>
        </w:p>
        <w:p w14:paraId="66E8C19A" w14:textId="3C60D835" w:rsidR="00A92F56" w:rsidRDefault="001C71EF">
          <w:pPr>
            <w:pStyle w:val="TOC2"/>
            <w:rPr>
              <w:rFonts w:asciiTheme="minorHAnsi" w:eastAsiaTheme="minorEastAsia" w:hAnsiTheme="minorHAnsi" w:cstheme="minorBidi"/>
              <w:noProof/>
              <w:szCs w:val="22"/>
            </w:rPr>
          </w:pPr>
          <w:hyperlink w:anchor="_Toc77603811" w:history="1">
            <w:r w:rsidR="00A92F56" w:rsidRPr="00575E77">
              <w:rPr>
                <w:rStyle w:val="Hyperlink"/>
                <w:noProof/>
              </w:rPr>
              <w:t>36.</w:t>
            </w:r>
            <w:r w:rsidR="00A92F56">
              <w:rPr>
                <w:rFonts w:asciiTheme="minorHAnsi" w:eastAsiaTheme="minorEastAsia" w:hAnsiTheme="minorHAnsi" w:cstheme="minorBidi"/>
                <w:noProof/>
                <w:szCs w:val="22"/>
              </w:rPr>
              <w:tab/>
            </w:r>
            <w:r w:rsidR="00A92F56" w:rsidRPr="00575E77">
              <w:rPr>
                <w:rStyle w:val="Hyperlink"/>
                <w:noProof/>
              </w:rPr>
              <w:t>Leases</w:t>
            </w:r>
            <w:r w:rsidR="00A92F56">
              <w:rPr>
                <w:noProof/>
                <w:webHidden/>
              </w:rPr>
              <w:tab/>
            </w:r>
            <w:r w:rsidR="00A92F56">
              <w:rPr>
                <w:noProof/>
                <w:webHidden/>
              </w:rPr>
              <w:fldChar w:fldCharType="begin"/>
            </w:r>
            <w:r w:rsidR="00A92F56">
              <w:rPr>
                <w:noProof/>
                <w:webHidden/>
              </w:rPr>
              <w:instrText xml:space="preserve"> PAGEREF _Toc77603811 \h </w:instrText>
            </w:r>
            <w:r w:rsidR="00A92F56">
              <w:rPr>
                <w:noProof/>
                <w:webHidden/>
              </w:rPr>
            </w:r>
            <w:r w:rsidR="00A92F56">
              <w:rPr>
                <w:noProof/>
                <w:webHidden/>
              </w:rPr>
              <w:fldChar w:fldCharType="separate"/>
            </w:r>
            <w:r w:rsidR="00A92F56">
              <w:rPr>
                <w:noProof/>
                <w:webHidden/>
              </w:rPr>
              <w:t>100</w:t>
            </w:r>
            <w:r w:rsidR="00A92F56">
              <w:rPr>
                <w:noProof/>
                <w:webHidden/>
              </w:rPr>
              <w:fldChar w:fldCharType="end"/>
            </w:r>
          </w:hyperlink>
        </w:p>
        <w:p w14:paraId="0A5828C2" w14:textId="79A7B90D" w:rsidR="00A92F56" w:rsidRDefault="001C71EF">
          <w:pPr>
            <w:pStyle w:val="TOC2"/>
            <w:rPr>
              <w:rFonts w:asciiTheme="minorHAnsi" w:eastAsiaTheme="minorEastAsia" w:hAnsiTheme="minorHAnsi" w:cstheme="minorBidi"/>
              <w:noProof/>
              <w:szCs w:val="22"/>
            </w:rPr>
          </w:pPr>
          <w:hyperlink w:anchor="_Toc77603812" w:history="1">
            <w:r w:rsidR="00A92F56" w:rsidRPr="00575E77">
              <w:rPr>
                <w:rStyle w:val="Hyperlink"/>
                <w:noProof/>
              </w:rPr>
              <w:t>37.</w:t>
            </w:r>
            <w:r w:rsidR="00A92F56">
              <w:rPr>
                <w:rFonts w:asciiTheme="minorHAnsi" w:eastAsiaTheme="minorEastAsia" w:hAnsiTheme="minorHAnsi" w:cstheme="minorBidi"/>
                <w:noProof/>
                <w:szCs w:val="22"/>
              </w:rPr>
              <w:tab/>
            </w:r>
            <w:r w:rsidR="00A92F56" w:rsidRPr="00575E77">
              <w:rPr>
                <w:rStyle w:val="Hyperlink"/>
                <w:noProof/>
              </w:rPr>
              <w:t>Defined benefit pension scheme</w:t>
            </w:r>
            <w:r w:rsidR="00A92F56">
              <w:rPr>
                <w:noProof/>
                <w:webHidden/>
              </w:rPr>
              <w:tab/>
            </w:r>
            <w:r w:rsidR="00A92F56">
              <w:rPr>
                <w:noProof/>
                <w:webHidden/>
              </w:rPr>
              <w:fldChar w:fldCharType="begin"/>
            </w:r>
            <w:r w:rsidR="00A92F56">
              <w:rPr>
                <w:noProof/>
                <w:webHidden/>
              </w:rPr>
              <w:instrText xml:space="preserve"> PAGEREF _Toc77603812 \h </w:instrText>
            </w:r>
            <w:r w:rsidR="00A92F56">
              <w:rPr>
                <w:noProof/>
                <w:webHidden/>
              </w:rPr>
            </w:r>
            <w:r w:rsidR="00A92F56">
              <w:rPr>
                <w:noProof/>
                <w:webHidden/>
              </w:rPr>
              <w:fldChar w:fldCharType="separate"/>
            </w:r>
            <w:r w:rsidR="00A92F56">
              <w:rPr>
                <w:noProof/>
                <w:webHidden/>
              </w:rPr>
              <w:t>102</w:t>
            </w:r>
            <w:r w:rsidR="00A92F56">
              <w:rPr>
                <w:noProof/>
                <w:webHidden/>
              </w:rPr>
              <w:fldChar w:fldCharType="end"/>
            </w:r>
          </w:hyperlink>
        </w:p>
        <w:p w14:paraId="73205EF5" w14:textId="7175D2E1" w:rsidR="00A92F56" w:rsidRDefault="001C71EF">
          <w:pPr>
            <w:pStyle w:val="TOC2"/>
            <w:rPr>
              <w:rFonts w:asciiTheme="minorHAnsi" w:eastAsiaTheme="minorEastAsia" w:hAnsiTheme="minorHAnsi" w:cstheme="minorBidi"/>
              <w:noProof/>
              <w:szCs w:val="22"/>
            </w:rPr>
          </w:pPr>
          <w:hyperlink w:anchor="_Toc77603813" w:history="1">
            <w:r w:rsidR="00A92F56" w:rsidRPr="00575E77">
              <w:rPr>
                <w:rStyle w:val="Hyperlink"/>
                <w:rFonts w:eastAsia="Calibri"/>
                <w:noProof/>
              </w:rPr>
              <w:t>38.</w:t>
            </w:r>
            <w:r w:rsidR="00A92F56">
              <w:rPr>
                <w:rFonts w:asciiTheme="minorHAnsi" w:eastAsiaTheme="minorEastAsia" w:hAnsiTheme="minorHAnsi" w:cstheme="minorBidi"/>
                <w:noProof/>
                <w:szCs w:val="22"/>
              </w:rPr>
              <w:tab/>
            </w:r>
            <w:r w:rsidR="00A92F56" w:rsidRPr="00575E77">
              <w:rPr>
                <w:rStyle w:val="Hyperlink"/>
                <w:rFonts w:eastAsia="Calibri"/>
                <w:noProof/>
              </w:rPr>
              <w:t>Contingent assets and liabilities</w:t>
            </w:r>
            <w:r w:rsidR="00A92F56">
              <w:rPr>
                <w:noProof/>
                <w:webHidden/>
              </w:rPr>
              <w:tab/>
            </w:r>
            <w:r w:rsidR="00A92F56">
              <w:rPr>
                <w:noProof/>
                <w:webHidden/>
              </w:rPr>
              <w:fldChar w:fldCharType="begin"/>
            </w:r>
            <w:r w:rsidR="00A92F56">
              <w:rPr>
                <w:noProof/>
                <w:webHidden/>
              </w:rPr>
              <w:instrText xml:space="preserve"> PAGEREF _Toc77603813 \h </w:instrText>
            </w:r>
            <w:r w:rsidR="00A92F56">
              <w:rPr>
                <w:noProof/>
                <w:webHidden/>
              </w:rPr>
            </w:r>
            <w:r w:rsidR="00A92F56">
              <w:rPr>
                <w:noProof/>
                <w:webHidden/>
              </w:rPr>
              <w:fldChar w:fldCharType="separate"/>
            </w:r>
            <w:r w:rsidR="00A92F56">
              <w:rPr>
                <w:noProof/>
                <w:webHidden/>
              </w:rPr>
              <w:t>108</w:t>
            </w:r>
            <w:r w:rsidR="00A92F56">
              <w:rPr>
                <w:noProof/>
                <w:webHidden/>
              </w:rPr>
              <w:fldChar w:fldCharType="end"/>
            </w:r>
          </w:hyperlink>
        </w:p>
        <w:p w14:paraId="3BE7DDF5" w14:textId="4A5AAD47" w:rsidR="00A92F56" w:rsidRDefault="001C71EF">
          <w:pPr>
            <w:pStyle w:val="TOC1"/>
            <w:tabs>
              <w:tab w:val="right" w:leader="dot" w:pos="9016"/>
            </w:tabs>
            <w:rPr>
              <w:rFonts w:asciiTheme="minorHAnsi" w:eastAsiaTheme="minorEastAsia" w:hAnsiTheme="minorHAnsi" w:cstheme="minorBidi"/>
              <w:noProof/>
              <w:szCs w:val="22"/>
            </w:rPr>
          </w:pPr>
          <w:hyperlink w:anchor="_Toc77603814" w:history="1">
            <w:r w:rsidR="00A92F56" w:rsidRPr="00575E77">
              <w:rPr>
                <w:rStyle w:val="Hyperlink"/>
                <w:noProof/>
              </w:rPr>
              <w:t>Collection Fund Statement</w:t>
            </w:r>
            <w:r w:rsidR="00A92F56">
              <w:rPr>
                <w:noProof/>
                <w:webHidden/>
              </w:rPr>
              <w:tab/>
            </w:r>
            <w:r w:rsidR="00A92F56">
              <w:rPr>
                <w:noProof/>
                <w:webHidden/>
              </w:rPr>
              <w:fldChar w:fldCharType="begin"/>
            </w:r>
            <w:r w:rsidR="00A92F56">
              <w:rPr>
                <w:noProof/>
                <w:webHidden/>
              </w:rPr>
              <w:instrText xml:space="preserve"> PAGEREF _Toc77603814 \h </w:instrText>
            </w:r>
            <w:r w:rsidR="00A92F56">
              <w:rPr>
                <w:noProof/>
                <w:webHidden/>
              </w:rPr>
            </w:r>
            <w:r w:rsidR="00A92F56">
              <w:rPr>
                <w:noProof/>
                <w:webHidden/>
              </w:rPr>
              <w:fldChar w:fldCharType="separate"/>
            </w:r>
            <w:r w:rsidR="00A92F56">
              <w:rPr>
                <w:noProof/>
                <w:webHidden/>
              </w:rPr>
              <w:t>109</w:t>
            </w:r>
            <w:r w:rsidR="00A92F56">
              <w:rPr>
                <w:noProof/>
                <w:webHidden/>
              </w:rPr>
              <w:fldChar w:fldCharType="end"/>
            </w:r>
          </w:hyperlink>
        </w:p>
        <w:p w14:paraId="493ACAB5" w14:textId="4CFB33B5" w:rsidR="00A92F56" w:rsidRDefault="001C71EF">
          <w:pPr>
            <w:pStyle w:val="TOC1"/>
            <w:tabs>
              <w:tab w:val="right" w:leader="dot" w:pos="9016"/>
            </w:tabs>
            <w:rPr>
              <w:rFonts w:asciiTheme="minorHAnsi" w:eastAsiaTheme="minorEastAsia" w:hAnsiTheme="minorHAnsi" w:cstheme="minorBidi"/>
              <w:noProof/>
              <w:szCs w:val="22"/>
            </w:rPr>
          </w:pPr>
          <w:hyperlink w:anchor="_Toc77603815" w:history="1">
            <w:r w:rsidR="00A92F56" w:rsidRPr="00575E77">
              <w:rPr>
                <w:rStyle w:val="Hyperlink"/>
                <w:noProof/>
              </w:rPr>
              <w:t>Notes to the Collection Fund</w:t>
            </w:r>
            <w:r w:rsidR="00A92F56">
              <w:rPr>
                <w:noProof/>
                <w:webHidden/>
              </w:rPr>
              <w:tab/>
            </w:r>
            <w:r w:rsidR="00A92F56">
              <w:rPr>
                <w:noProof/>
                <w:webHidden/>
              </w:rPr>
              <w:fldChar w:fldCharType="begin"/>
            </w:r>
            <w:r w:rsidR="00A92F56">
              <w:rPr>
                <w:noProof/>
                <w:webHidden/>
              </w:rPr>
              <w:instrText xml:space="preserve"> PAGEREF _Toc77603815 \h </w:instrText>
            </w:r>
            <w:r w:rsidR="00A92F56">
              <w:rPr>
                <w:noProof/>
                <w:webHidden/>
              </w:rPr>
            </w:r>
            <w:r w:rsidR="00A92F56">
              <w:rPr>
                <w:noProof/>
                <w:webHidden/>
              </w:rPr>
              <w:fldChar w:fldCharType="separate"/>
            </w:r>
            <w:r w:rsidR="00A92F56">
              <w:rPr>
                <w:noProof/>
                <w:webHidden/>
              </w:rPr>
              <w:t>110</w:t>
            </w:r>
            <w:r w:rsidR="00A92F56">
              <w:rPr>
                <w:noProof/>
                <w:webHidden/>
              </w:rPr>
              <w:fldChar w:fldCharType="end"/>
            </w:r>
          </w:hyperlink>
        </w:p>
        <w:p w14:paraId="6F7F5F43" w14:textId="78A2F4BC" w:rsidR="00A92F56" w:rsidRDefault="001C71EF">
          <w:pPr>
            <w:pStyle w:val="TOC2"/>
            <w:rPr>
              <w:rFonts w:asciiTheme="minorHAnsi" w:eastAsiaTheme="minorEastAsia" w:hAnsiTheme="minorHAnsi" w:cstheme="minorBidi"/>
              <w:noProof/>
              <w:szCs w:val="22"/>
            </w:rPr>
          </w:pPr>
          <w:hyperlink w:anchor="_Toc77603816" w:history="1">
            <w:r w:rsidR="00A92F56" w:rsidRPr="00575E77">
              <w:rPr>
                <w:rStyle w:val="Hyperlink"/>
                <w:noProof/>
              </w:rPr>
              <w:t>1.</w:t>
            </w:r>
            <w:r w:rsidR="00A92F56">
              <w:rPr>
                <w:rFonts w:asciiTheme="minorHAnsi" w:eastAsiaTheme="minorEastAsia" w:hAnsiTheme="minorHAnsi" w:cstheme="minorBidi"/>
                <w:noProof/>
                <w:szCs w:val="22"/>
              </w:rPr>
              <w:tab/>
            </w:r>
            <w:r w:rsidR="00A92F56" w:rsidRPr="00575E77">
              <w:rPr>
                <w:rStyle w:val="Hyperlink"/>
                <w:noProof/>
              </w:rPr>
              <w:t>Accounting for Council Tax</w:t>
            </w:r>
            <w:r w:rsidR="00A92F56">
              <w:rPr>
                <w:noProof/>
                <w:webHidden/>
              </w:rPr>
              <w:tab/>
            </w:r>
            <w:r w:rsidR="00A92F56">
              <w:rPr>
                <w:noProof/>
                <w:webHidden/>
              </w:rPr>
              <w:fldChar w:fldCharType="begin"/>
            </w:r>
            <w:r w:rsidR="00A92F56">
              <w:rPr>
                <w:noProof/>
                <w:webHidden/>
              </w:rPr>
              <w:instrText xml:space="preserve"> PAGEREF _Toc77603816 \h </w:instrText>
            </w:r>
            <w:r w:rsidR="00A92F56">
              <w:rPr>
                <w:noProof/>
                <w:webHidden/>
              </w:rPr>
            </w:r>
            <w:r w:rsidR="00A92F56">
              <w:rPr>
                <w:noProof/>
                <w:webHidden/>
              </w:rPr>
              <w:fldChar w:fldCharType="separate"/>
            </w:r>
            <w:r w:rsidR="00A92F56">
              <w:rPr>
                <w:noProof/>
                <w:webHidden/>
              </w:rPr>
              <w:t>110</w:t>
            </w:r>
            <w:r w:rsidR="00A92F56">
              <w:rPr>
                <w:noProof/>
                <w:webHidden/>
              </w:rPr>
              <w:fldChar w:fldCharType="end"/>
            </w:r>
          </w:hyperlink>
        </w:p>
        <w:p w14:paraId="0476818F" w14:textId="4D9982B7" w:rsidR="00A92F56" w:rsidRDefault="001C71EF">
          <w:pPr>
            <w:pStyle w:val="TOC2"/>
            <w:rPr>
              <w:rFonts w:asciiTheme="minorHAnsi" w:eastAsiaTheme="minorEastAsia" w:hAnsiTheme="minorHAnsi" w:cstheme="minorBidi"/>
              <w:noProof/>
              <w:szCs w:val="22"/>
            </w:rPr>
          </w:pPr>
          <w:hyperlink w:anchor="_Toc77603817" w:history="1">
            <w:r w:rsidR="00A92F56" w:rsidRPr="00575E77">
              <w:rPr>
                <w:rStyle w:val="Hyperlink"/>
                <w:noProof/>
              </w:rPr>
              <w:t>2.</w:t>
            </w:r>
            <w:r w:rsidR="00A92F56">
              <w:rPr>
                <w:rFonts w:asciiTheme="minorHAnsi" w:eastAsiaTheme="minorEastAsia" w:hAnsiTheme="minorHAnsi" w:cstheme="minorBidi"/>
                <w:noProof/>
                <w:szCs w:val="22"/>
              </w:rPr>
              <w:tab/>
            </w:r>
            <w:r w:rsidR="00A92F56" w:rsidRPr="00575E77">
              <w:rPr>
                <w:rStyle w:val="Hyperlink"/>
                <w:noProof/>
              </w:rPr>
              <w:t>Council Tax details of charge</w:t>
            </w:r>
            <w:r w:rsidR="00A92F56">
              <w:rPr>
                <w:noProof/>
                <w:webHidden/>
              </w:rPr>
              <w:tab/>
            </w:r>
            <w:r w:rsidR="00A92F56">
              <w:rPr>
                <w:noProof/>
                <w:webHidden/>
              </w:rPr>
              <w:fldChar w:fldCharType="begin"/>
            </w:r>
            <w:r w:rsidR="00A92F56">
              <w:rPr>
                <w:noProof/>
                <w:webHidden/>
              </w:rPr>
              <w:instrText xml:space="preserve"> PAGEREF _Toc77603817 \h </w:instrText>
            </w:r>
            <w:r w:rsidR="00A92F56">
              <w:rPr>
                <w:noProof/>
                <w:webHidden/>
              </w:rPr>
            </w:r>
            <w:r w:rsidR="00A92F56">
              <w:rPr>
                <w:noProof/>
                <w:webHidden/>
              </w:rPr>
              <w:fldChar w:fldCharType="separate"/>
            </w:r>
            <w:r w:rsidR="00A92F56">
              <w:rPr>
                <w:noProof/>
                <w:webHidden/>
              </w:rPr>
              <w:t>110</w:t>
            </w:r>
            <w:r w:rsidR="00A92F56">
              <w:rPr>
                <w:noProof/>
                <w:webHidden/>
              </w:rPr>
              <w:fldChar w:fldCharType="end"/>
            </w:r>
          </w:hyperlink>
        </w:p>
        <w:p w14:paraId="5154F3EF" w14:textId="0DC53C44" w:rsidR="00A92F56" w:rsidRDefault="001C71EF">
          <w:pPr>
            <w:pStyle w:val="TOC2"/>
            <w:rPr>
              <w:rFonts w:asciiTheme="minorHAnsi" w:eastAsiaTheme="minorEastAsia" w:hAnsiTheme="minorHAnsi" w:cstheme="minorBidi"/>
              <w:noProof/>
              <w:szCs w:val="22"/>
            </w:rPr>
          </w:pPr>
          <w:hyperlink w:anchor="_Toc77603818" w:history="1">
            <w:r w:rsidR="00A92F56" w:rsidRPr="00575E77">
              <w:rPr>
                <w:rStyle w:val="Hyperlink"/>
                <w:noProof/>
              </w:rPr>
              <w:t>3.</w:t>
            </w:r>
            <w:r w:rsidR="00A92F56">
              <w:rPr>
                <w:rFonts w:asciiTheme="minorHAnsi" w:eastAsiaTheme="minorEastAsia" w:hAnsiTheme="minorHAnsi" w:cstheme="minorBidi"/>
                <w:noProof/>
                <w:szCs w:val="22"/>
              </w:rPr>
              <w:tab/>
            </w:r>
            <w:r w:rsidR="00A92F56" w:rsidRPr="00575E77">
              <w:rPr>
                <w:rStyle w:val="Hyperlink"/>
                <w:noProof/>
              </w:rPr>
              <w:t>Accounting for business rates</w:t>
            </w:r>
            <w:r w:rsidR="00A92F56">
              <w:rPr>
                <w:noProof/>
                <w:webHidden/>
              </w:rPr>
              <w:tab/>
            </w:r>
            <w:r w:rsidR="00A92F56">
              <w:rPr>
                <w:noProof/>
                <w:webHidden/>
              </w:rPr>
              <w:fldChar w:fldCharType="begin"/>
            </w:r>
            <w:r w:rsidR="00A92F56">
              <w:rPr>
                <w:noProof/>
                <w:webHidden/>
              </w:rPr>
              <w:instrText xml:space="preserve"> PAGEREF _Toc77603818 \h </w:instrText>
            </w:r>
            <w:r w:rsidR="00A92F56">
              <w:rPr>
                <w:noProof/>
                <w:webHidden/>
              </w:rPr>
            </w:r>
            <w:r w:rsidR="00A92F56">
              <w:rPr>
                <w:noProof/>
                <w:webHidden/>
              </w:rPr>
              <w:fldChar w:fldCharType="separate"/>
            </w:r>
            <w:r w:rsidR="00A92F56">
              <w:rPr>
                <w:noProof/>
                <w:webHidden/>
              </w:rPr>
              <w:t>111</w:t>
            </w:r>
            <w:r w:rsidR="00A92F56">
              <w:rPr>
                <w:noProof/>
                <w:webHidden/>
              </w:rPr>
              <w:fldChar w:fldCharType="end"/>
            </w:r>
          </w:hyperlink>
        </w:p>
        <w:p w14:paraId="431EFF60" w14:textId="4CBFB348" w:rsidR="00A92F56" w:rsidRDefault="001C71EF">
          <w:pPr>
            <w:pStyle w:val="TOC2"/>
            <w:rPr>
              <w:rFonts w:asciiTheme="minorHAnsi" w:eastAsiaTheme="minorEastAsia" w:hAnsiTheme="minorHAnsi" w:cstheme="minorBidi"/>
              <w:noProof/>
              <w:szCs w:val="22"/>
            </w:rPr>
          </w:pPr>
          <w:hyperlink w:anchor="_Toc77603819" w:history="1">
            <w:r w:rsidR="00A92F56" w:rsidRPr="00575E77">
              <w:rPr>
                <w:rStyle w:val="Hyperlink"/>
                <w:noProof/>
              </w:rPr>
              <w:t>4.</w:t>
            </w:r>
            <w:r w:rsidR="00A92F56">
              <w:rPr>
                <w:rFonts w:asciiTheme="minorHAnsi" w:eastAsiaTheme="minorEastAsia" w:hAnsiTheme="minorHAnsi" w:cstheme="minorBidi"/>
                <w:noProof/>
                <w:szCs w:val="22"/>
              </w:rPr>
              <w:tab/>
            </w:r>
            <w:r w:rsidR="00A92F56" w:rsidRPr="00575E77">
              <w:rPr>
                <w:rStyle w:val="Hyperlink"/>
                <w:noProof/>
              </w:rPr>
              <w:t>Business rates details of charge</w:t>
            </w:r>
            <w:r w:rsidR="00A92F56">
              <w:rPr>
                <w:noProof/>
                <w:webHidden/>
              </w:rPr>
              <w:tab/>
            </w:r>
            <w:r w:rsidR="00A92F56">
              <w:rPr>
                <w:noProof/>
                <w:webHidden/>
              </w:rPr>
              <w:fldChar w:fldCharType="begin"/>
            </w:r>
            <w:r w:rsidR="00A92F56">
              <w:rPr>
                <w:noProof/>
                <w:webHidden/>
              </w:rPr>
              <w:instrText xml:space="preserve"> PAGEREF _Toc77603819 \h </w:instrText>
            </w:r>
            <w:r w:rsidR="00A92F56">
              <w:rPr>
                <w:noProof/>
                <w:webHidden/>
              </w:rPr>
            </w:r>
            <w:r w:rsidR="00A92F56">
              <w:rPr>
                <w:noProof/>
                <w:webHidden/>
              </w:rPr>
              <w:fldChar w:fldCharType="separate"/>
            </w:r>
            <w:r w:rsidR="00A92F56">
              <w:rPr>
                <w:noProof/>
                <w:webHidden/>
              </w:rPr>
              <w:t>112</w:t>
            </w:r>
            <w:r w:rsidR="00A92F56">
              <w:rPr>
                <w:noProof/>
                <w:webHidden/>
              </w:rPr>
              <w:fldChar w:fldCharType="end"/>
            </w:r>
          </w:hyperlink>
        </w:p>
        <w:p w14:paraId="1737E0C4" w14:textId="333418A4" w:rsidR="00A92F56" w:rsidRDefault="001C71EF">
          <w:pPr>
            <w:pStyle w:val="TOC1"/>
            <w:tabs>
              <w:tab w:val="right" w:leader="dot" w:pos="9016"/>
            </w:tabs>
            <w:rPr>
              <w:rFonts w:asciiTheme="minorHAnsi" w:eastAsiaTheme="minorEastAsia" w:hAnsiTheme="minorHAnsi" w:cstheme="minorBidi"/>
              <w:noProof/>
              <w:szCs w:val="22"/>
            </w:rPr>
          </w:pPr>
          <w:hyperlink w:anchor="_Toc77603820" w:history="1">
            <w:r w:rsidR="00A92F56" w:rsidRPr="00575E77">
              <w:rPr>
                <w:rStyle w:val="Hyperlink"/>
                <w:rFonts w:eastAsia="Century Gothic" w:cs="Arial"/>
                <w:bCs/>
                <w:noProof/>
              </w:rPr>
              <w:t>Annual Governance Statement 2020/21</w:t>
            </w:r>
            <w:r w:rsidR="00A92F56">
              <w:rPr>
                <w:noProof/>
                <w:webHidden/>
              </w:rPr>
              <w:tab/>
            </w:r>
            <w:r w:rsidR="00A92F56">
              <w:rPr>
                <w:noProof/>
                <w:webHidden/>
              </w:rPr>
              <w:fldChar w:fldCharType="begin"/>
            </w:r>
            <w:r w:rsidR="00A92F56">
              <w:rPr>
                <w:noProof/>
                <w:webHidden/>
              </w:rPr>
              <w:instrText xml:space="preserve"> PAGEREF _Toc77603820 \h </w:instrText>
            </w:r>
            <w:r w:rsidR="00A92F56">
              <w:rPr>
                <w:noProof/>
                <w:webHidden/>
              </w:rPr>
            </w:r>
            <w:r w:rsidR="00A92F56">
              <w:rPr>
                <w:noProof/>
                <w:webHidden/>
              </w:rPr>
              <w:fldChar w:fldCharType="separate"/>
            </w:r>
            <w:r w:rsidR="00A92F56">
              <w:rPr>
                <w:noProof/>
                <w:webHidden/>
              </w:rPr>
              <w:t>113</w:t>
            </w:r>
            <w:r w:rsidR="00A92F56">
              <w:rPr>
                <w:noProof/>
                <w:webHidden/>
              </w:rPr>
              <w:fldChar w:fldCharType="end"/>
            </w:r>
          </w:hyperlink>
        </w:p>
        <w:p w14:paraId="55B67F57" w14:textId="3D08AA72" w:rsidR="00A92F56" w:rsidRDefault="001C71EF">
          <w:pPr>
            <w:pStyle w:val="TOC1"/>
            <w:tabs>
              <w:tab w:val="right" w:leader="dot" w:pos="9016"/>
            </w:tabs>
            <w:rPr>
              <w:rFonts w:asciiTheme="minorHAnsi" w:eastAsiaTheme="minorEastAsia" w:hAnsiTheme="minorHAnsi" w:cstheme="minorBidi"/>
              <w:noProof/>
              <w:szCs w:val="22"/>
            </w:rPr>
          </w:pPr>
          <w:hyperlink w:anchor="_Toc77603821" w:history="1">
            <w:r w:rsidR="00A92F56" w:rsidRPr="00575E77">
              <w:rPr>
                <w:rStyle w:val="Hyperlink"/>
                <w:noProof/>
              </w:rPr>
              <w:t>Glossary of Terms</w:t>
            </w:r>
            <w:r w:rsidR="00A92F56">
              <w:rPr>
                <w:noProof/>
                <w:webHidden/>
              </w:rPr>
              <w:tab/>
            </w:r>
            <w:r w:rsidR="00A92F56">
              <w:rPr>
                <w:noProof/>
                <w:webHidden/>
              </w:rPr>
              <w:fldChar w:fldCharType="begin"/>
            </w:r>
            <w:r w:rsidR="00A92F56">
              <w:rPr>
                <w:noProof/>
                <w:webHidden/>
              </w:rPr>
              <w:instrText xml:space="preserve"> PAGEREF _Toc77603821 \h </w:instrText>
            </w:r>
            <w:r w:rsidR="00A92F56">
              <w:rPr>
                <w:noProof/>
                <w:webHidden/>
              </w:rPr>
            </w:r>
            <w:r w:rsidR="00A92F56">
              <w:rPr>
                <w:noProof/>
                <w:webHidden/>
              </w:rPr>
              <w:fldChar w:fldCharType="separate"/>
            </w:r>
            <w:r w:rsidR="00A92F56">
              <w:rPr>
                <w:noProof/>
                <w:webHidden/>
              </w:rPr>
              <w:t>130</w:t>
            </w:r>
            <w:r w:rsidR="00A92F56">
              <w:rPr>
                <w:noProof/>
                <w:webHidden/>
              </w:rPr>
              <w:fldChar w:fldCharType="end"/>
            </w:r>
          </w:hyperlink>
        </w:p>
        <w:p w14:paraId="6C39679C" w14:textId="55401907" w:rsidR="00D02225" w:rsidRPr="00EC06E7" w:rsidRDefault="005A74CC">
          <w:r w:rsidRPr="00EC06E7">
            <w:fldChar w:fldCharType="end"/>
          </w:r>
        </w:p>
      </w:sdtContent>
    </w:sdt>
    <w:p w14:paraId="7148C2BB" w14:textId="77777777" w:rsidR="0054126A" w:rsidRPr="00EC06E7" w:rsidRDefault="00A14C52">
      <w:pPr>
        <w:rPr>
          <w:b/>
          <w:lang w:eastAsia="en-US"/>
        </w:rPr>
      </w:pPr>
      <w:r w:rsidRPr="00EC06E7">
        <w:rPr>
          <w:b/>
          <w:lang w:eastAsia="en-US"/>
        </w:rPr>
        <w:br w:type="page"/>
      </w:r>
    </w:p>
    <w:p w14:paraId="0F6371E7" w14:textId="77777777" w:rsidR="00C3492A" w:rsidRPr="00EC06E7" w:rsidRDefault="00C3492A" w:rsidP="00C3492A">
      <w:pPr>
        <w:pStyle w:val="Heading1"/>
        <w:rPr>
          <w:lang w:eastAsia="en-US"/>
        </w:rPr>
      </w:pPr>
      <w:bookmarkStart w:id="1" w:name="_Toc10192162"/>
      <w:bookmarkStart w:id="2" w:name="_Toc77603766"/>
      <w:r w:rsidRPr="00EC06E7">
        <w:rPr>
          <w:lang w:eastAsia="en-US"/>
        </w:rPr>
        <w:lastRenderedPageBreak/>
        <w:t>Narrative</w:t>
      </w:r>
      <w:r w:rsidRPr="00EC06E7">
        <w:rPr>
          <w:sz w:val="16"/>
          <w:szCs w:val="16"/>
          <w:lang w:eastAsia="en-US"/>
        </w:rPr>
        <w:t xml:space="preserve"> </w:t>
      </w:r>
      <w:r w:rsidRPr="00EC06E7">
        <w:rPr>
          <w:lang w:eastAsia="en-US"/>
        </w:rPr>
        <w:t xml:space="preserve">Report of the </w:t>
      </w:r>
      <w:r w:rsidRPr="00247966">
        <w:rPr>
          <w:lang w:eastAsia="en-US"/>
        </w:rPr>
        <w:t xml:space="preserve">Chief </w:t>
      </w:r>
      <w:r>
        <w:rPr>
          <w:lang w:eastAsia="en-US"/>
        </w:rPr>
        <w:t>Financial Officer</w:t>
      </w:r>
      <w:bookmarkEnd w:id="1"/>
      <w:bookmarkEnd w:id="2"/>
    </w:p>
    <w:p w14:paraId="75156908" w14:textId="77777777" w:rsidR="00C3492A" w:rsidRPr="00EC06E7" w:rsidRDefault="00C3492A" w:rsidP="00C3492A">
      <w:pPr>
        <w:ind w:right="395"/>
        <w:rPr>
          <w:rFonts w:cs="Arial"/>
          <w:szCs w:val="22"/>
          <w:lang w:eastAsia="en-US"/>
        </w:rPr>
      </w:pPr>
    </w:p>
    <w:p w14:paraId="1D464A92" w14:textId="77777777" w:rsidR="007F5DB3" w:rsidRPr="00AC4D7B" w:rsidRDefault="007F5DB3" w:rsidP="007F5DB3">
      <w:pPr>
        <w:pStyle w:val="Heading3"/>
        <w:rPr>
          <w:noProof w:val="0"/>
        </w:rPr>
      </w:pPr>
      <w:r w:rsidRPr="00AC4D7B">
        <w:rPr>
          <w:noProof w:val="0"/>
        </w:rPr>
        <w:t>Introduction</w:t>
      </w:r>
    </w:p>
    <w:p w14:paraId="2CA783A1" w14:textId="77777777" w:rsidR="007F5DB3" w:rsidRPr="00AC4D7B" w:rsidRDefault="007F5DB3" w:rsidP="007F5DB3">
      <w:pPr>
        <w:rPr>
          <w:snapToGrid w:val="0"/>
          <w:lang w:eastAsia="en-US"/>
        </w:rPr>
      </w:pPr>
    </w:p>
    <w:p w14:paraId="317180FF" w14:textId="77777777" w:rsidR="007F5DB3" w:rsidRPr="00AC4D7B" w:rsidRDefault="007F5DB3" w:rsidP="007F5DB3">
      <w:pPr>
        <w:rPr>
          <w:snapToGrid w:val="0"/>
          <w:lang w:eastAsia="en-US"/>
        </w:rPr>
      </w:pPr>
    </w:p>
    <w:p w14:paraId="6A6E7161" w14:textId="77777777" w:rsidR="007F5DB3" w:rsidRPr="00AC4D7B" w:rsidRDefault="007F5DB3" w:rsidP="007F5DB3">
      <w:pPr>
        <w:rPr>
          <w:snapToGrid w:val="0"/>
          <w:lang w:eastAsia="en-US"/>
        </w:rPr>
      </w:pPr>
      <w:r w:rsidRPr="00AC4D7B">
        <w:rPr>
          <w:snapToGrid w:val="0"/>
          <w:lang w:eastAsia="en-US"/>
        </w:rPr>
        <w:t xml:space="preserve">I am pleased to introduce the Statement of Accounts for the 2020/21 financial year for South </w:t>
      </w:r>
      <w:proofErr w:type="spellStart"/>
      <w:r w:rsidRPr="00AC4D7B">
        <w:rPr>
          <w:snapToGrid w:val="0"/>
          <w:lang w:eastAsia="en-US"/>
        </w:rPr>
        <w:t>Ribble</w:t>
      </w:r>
      <w:proofErr w:type="spellEnd"/>
      <w:r w:rsidRPr="00AC4D7B">
        <w:rPr>
          <w:snapToGrid w:val="0"/>
          <w:lang w:eastAsia="en-US"/>
        </w:rPr>
        <w:t xml:space="preserve"> Borough Council. The accounts are produced annually to give electors, local taxpayers, members of the Council, employees and other interested parties clear information on the Council’s finances and the financial outlook for the future. </w:t>
      </w:r>
    </w:p>
    <w:p w14:paraId="2A007FAA" w14:textId="77777777" w:rsidR="007F5DB3" w:rsidRPr="00AC4D7B" w:rsidRDefault="007F5DB3" w:rsidP="007F5DB3">
      <w:pPr>
        <w:rPr>
          <w:snapToGrid w:val="0"/>
          <w:lang w:eastAsia="en-US"/>
        </w:rPr>
      </w:pPr>
    </w:p>
    <w:p w14:paraId="702E6609" w14:textId="77777777" w:rsidR="007F5DB3" w:rsidRPr="00AC4D7B" w:rsidRDefault="007F5DB3" w:rsidP="007F5DB3">
      <w:pPr>
        <w:rPr>
          <w:snapToGrid w:val="0"/>
          <w:lang w:eastAsia="en-US"/>
        </w:rPr>
      </w:pPr>
      <w:r w:rsidRPr="00AC4D7B">
        <w:rPr>
          <w:snapToGrid w:val="0"/>
          <w:lang w:eastAsia="en-US"/>
        </w:rPr>
        <w:t xml:space="preserve">The accounts must be completed by law and in accordance with the requirements of the Code of Practice on Local Authority Accounting.  The accounts provide all of the financial information for the 2020/21 financial year and there is a narrative that provides a high level overview of the key issues that affect the accounts including information on the </w:t>
      </w:r>
      <w:r w:rsidRPr="00AC4D7B">
        <w:rPr>
          <w:snapToGrid w:val="0"/>
          <w:lang w:eastAsia="en-US"/>
        </w:rPr>
        <w:lastRenderedPageBreak/>
        <w:t xml:space="preserve">Council’s achievements during the year and a section that looks at the outlook for the future. </w:t>
      </w:r>
    </w:p>
    <w:p w14:paraId="3F0D59D6" w14:textId="77777777" w:rsidR="007F5DB3" w:rsidRPr="00AC4D7B" w:rsidRDefault="007F5DB3" w:rsidP="007F5DB3">
      <w:pPr>
        <w:rPr>
          <w:snapToGrid w:val="0"/>
          <w:lang w:eastAsia="en-US"/>
        </w:rPr>
      </w:pPr>
    </w:p>
    <w:p w14:paraId="7E3C363D" w14:textId="77777777" w:rsidR="007F5DB3" w:rsidRPr="00AC4D7B" w:rsidRDefault="007F5DB3" w:rsidP="007F5DB3">
      <w:pPr>
        <w:rPr>
          <w:snapToGrid w:val="0"/>
          <w:lang w:eastAsia="en-US"/>
        </w:rPr>
      </w:pPr>
      <w:r w:rsidRPr="00AC4D7B">
        <w:rPr>
          <w:snapToGrid w:val="0"/>
          <w:lang w:eastAsia="en-US"/>
        </w:rPr>
        <w:t xml:space="preserve">The last financial year has been extraordinary and has placed new pressures on the Council’s services. I am extremely proud of the staff at South </w:t>
      </w:r>
      <w:proofErr w:type="spellStart"/>
      <w:r w:rsidRPr="00AC4D7B">
        <w:rPr>
          <w:snapToGrid w:val="0"/>
          <w:lang w:eastAsia="en-US"/>
        </w:rPr>
        <w:t>Ribble</w:t>
      </w:r>
      <w:proofErr w:type="spellEnd"/>
      <w:r w:rsidRPr="00AC4D7B">
        <w:rPr>
          <w:snapToGrid w:val="0"/>
          <w:lang w:eastAsia="en-US"/>
        </w:rPr>
        <w:t xml:space="preserve"> Council as they have responded to these new demands. Through their hard work and dedication, they have ensured the Council has supported its residents and businesses whilst continuing to deliver its Corporate Strategy priorities.</w:t>
      </w:r>
    </w:p>
    <w:p w14:paraId="66F9B7A5" w14:textId="77777777" w:rsidR="007F5DB3" w:rsidRPr="00AC4D7B" w:rsidRDefault="007F5DB3" w:rsidP="007F5DB3">
      <w:pPr>
        <w:rPr>
          <w:snapToGrid w:val="0"/>
          <w:lang w:eastAsia="en-US"/>
        </w:rPr>
      </w:pPr>
    </w:p>
    <w:p w14:paraId="15072DF4" w14:textId="77777777" w:rsidR="007F5DB3" w:rsidRPr="00AC4D7B" w:rsidRDefault="007F5DB3" w:rsidP="007F5DB3">
      <w:pPr>
        <w:rPr>
          <w:snapToGrid w:val="0"/>
          <w:lang w:eastAsia="en-US"/>
        </w:rPr>
      </w:pPr>
      <w:r w:rsidRPr="00AC4D7B">
        <w:rPr>
          <w:snapToGrid w:val="0"/>
          <w:lang w:eastAsia="en-US"/>
        </w:rPr>
        <w:t>Additional financial support from central government assisted the Council in meeting the financial impact arising from the pandemic. This included approximately £27m of funding that was paid via the Council to its local businesses. The Council set up Community Hubs to help support its residents and increased its support for the homeless. The Council has and will continue to support the Government’s test and trace programme</w:t>
      </w:r>
      <w:r>
        <w:rPr>
          <w:snapToGrid w:val="0"/>
          <w:lang w:eastAsia="en-US"/>
        </w:rPr>
        <w:t>,</w:t>
      </w:r>
      <w:r w:rsidRPr="00AC4D7B">
        <w:rPr>
          <w:snapToGrid w:val="0"/>
          <w:lang w:eastAsia="en-US"/>
        </w:rPr>
        <w:t xml:space="preserve"> as well as supporting residents that claim local council tax support.</w:t>
      </w:r>
    </w:p>
    <w:p w14:paraId="4F7AAA87" w14:textId="77777777" w:rsidR="007F5DB3" w:rsidRPr="00AC4D7B" w:rsidRDefault="007F5DB3" w:rsidP="007F5DB3">
      <w:pPr>
        <w:rPr>
          <w:snapToGrid w:val="0"/>
          <w:lang w:eastAsia="en-US"/>
        </w:rPr>
      </w:pPr>
    </w:p>
    <w:p w14:paraId="2FECE26C" w14:textId="77777777" w:rsidR="007F5DB3" w:rsidRPr="00AC4D7B" w:rsidRDefault="007F5DB3" w:rsidP="007F5DB3">
      <w:pPr>
        <w:rPr>
          <w:snapToGrid w:val="0"/>
          <w:lang w:eastAsia="en-US"/>
        </w:rPr>
      </w:pPr>
      <w:r w:rsidRPr="00AC4D7B">
        <w:rPr>
          <w:snapToGrid w:val="0"/>
          <w:lang w:eastAsia="en-US"/>
        </w:rPr>
        <w:t xml:space="preserve">The Council faces a continued challenge </w:t>
      </w:r>
      <w:r>
        <w:rPr>
          <w:snapToGrid w:val="0"/>
          <w:lang w:eastAsia="en-US"/>
        </w:rPr>
        <w:t xml:space="preserve">as a result of </w:t>
      </w:r>
      <w:r w:rsidRPr="00AC4D7B">
        <w:rPr>
          <w:snapToGrid w:val="0"/>
          <w:lang w:eastAsia="en-US"/>
        </w:rPr>
        <w:t>the pandemic</w:t>
      </w:r>
      <w:r>
        <w:rPr>
          <w:snapToGrid w:val="0"/>
          <w:lang w:eastAsia="en-US"/>
        </w:rPr>
        <w:t>,</w:t>
      </w:r>
      <w:r w:rsidRPr="00AC4D7B">
        <w:rPr>
          <w:snapToGrid w:val="0"/>
          <w:lang w:eastAsia="en-US"/>
        </w:rPr>
        <w:t xml:space="preserve"> </w:t>
      </w:r>
      <w:r>
        <w:rPr>
          <w:snapToGrid w:val="0"/>
          <w:lang w:eastAsia="en-US"/>
        </w:rPr>
        <w:t>and also due to the fact that it is operating in</w:t>
      </w:r>
      <w:r w:rsidRPr="00AC4D7B">
        <w:rPr>
          <w:snapToGrid w:val="0"/>
          <w:lang w:eastAsia="en-US"/>
        </w:rPr>
        <w:t xml:space="preserve"> an environment where the costs and demands on services are growing each year</w:t>
      </w:r>
      <w:r>
        <w:rPr>
          <w:snapToGrid w:val="0"/>
          <w:lang w:eastAsia="en-US"/>
        </w:rPr>
        <w:t>,</w:t>
      </w:r>
      <w:r w:rsidRPr="00AC4D7B">
        <w:rPr>
          <w:snapToGrid w:val="0"/>
          <w:lang w:eastAsia="en-US"/>
        </w:rPr>
        <w:t xml:space="preserve"> </w:t>
      </w:r>
      <w:r>
        <w:rPr>
          <w:snapToGrid w:val="0"/>
          <w:lang w:eastAsia="en-US"/>
        </w:rPr>
        <w:t>whilst</w:t>
      </w:r>
      <w:r w:rsidRPr="00AC4D7B">
        <w:rPr>
          <w:snapToGrid w:val="0"/>
          <w:lang w:eastAsia="en-US"/>
        </w:rPr>
        <w:t xml:space="preserve"> resources are finite. The effects of the pandemic brings uncertainty over future costs and funding for the authority, but I am confident</w:t>
      </w:r>
      <w:r>
        <w:rPr>
          <w:snapToGrid w:val="0"/>
          <w:lang w:eastAsia="en-US"/>
        </w:rPr>
        <w:t>,</w:t>
      </w:r>
      <w:r w:rsidRPr="00AC4D7B">
        <w:rPr>
          <w:snapToGrid w:val="0"/>
          <w:lang w:eastAsia="en-US"/>
        </w:rPr>
        <w:t xml:space="preserve"> </w:t>
      </w:r>
      <w:r>
        <w:rPr>
          <w:snapToGrid w:val="0"/>
          <w:lang w:eastAsia="en-US"/>
        </w:rPr>
        <w:t>given</w:t>
      </w:r>
      <w:r w:rsidRPr="00AC4D7B">
        <w:rPr>
          <w:snapToGrid w:val="0"/>
          <w:lang w:eastAsia="en-US"/>
        </w:rPr>
        <w:t xml:space="preserve"> </w:t>
      </w:r>
      <w:r>
        <w:rPr>
          <w:snapToGrid w:val="0"/>
          <w:lang w:eastAsia="en-US"/>
        </w:rPr>
        <w:t>the way in which</w:t>
      </w:r>
      <w:r w:rsidRPr="00AC4D7B">
        <w:rPr>
          <w:snapToGrid w:val="0"/>
          <w:lang w:eastAsia="en-US"/>
        </w:rPr>
        <w:t xml:space="preserve"> our staff have met these challenges to date</w:t>
      </w:r>
      <w:r>
        <w:rPr>
          <w:snapToGrid w:val="0"/>
          <w:lang w:eastAsia="en-US"/>
        </w:rPr>
        <w:t>,</w:t>
      </w:r>
      <w:r w:rsidRPr="00AC4D7B">
        <w:rPr>
          <w:snapToGrid w:val="0"/>
          <w:lang w:eastAsia="en-US"/>
        </w:rPr>
        <w:t xml:space="preserve"> </w:t>
      </w:r>
      <w:r w:rsidRPr="008027D1">
        <w:rPr>
          <w:snapToGrid w:val="0"/>
          <w:lang w:eastAsia="en-US"/>
        </w:rPr>
        <w:t xml:space="preserve">that the authority will continue to meet and manage </w:t>
      </w:r>
      <w:r w:rsidRPr="00402840">
        <w:rPr>
          <w:snapToGrid w:val="0"/>
          <w:lang w:eastAsia="en-US"/>
        </w:rPr>
        <w:t>these challenges in</w:t>
      </w:r>
      <w:r w:rsidRPr="00312C5A">
        <w:rPr>
          <w:snapToGrid w:val="0"/>
          <w:lang w:eastAsia="en-US"/>
        </w:rPr>
        <w:t>t</w:t>
      </w:r>
      <w:r w:rsidRPr="00296D15">
        <w:rPr>
          <w:snapToGrid w:val="0"/>
          <w:lang w:eastAsia="en-US"/>
        </w:rPr>
        <w:t>o the future on behalf of all our lo</w:t>
      </w:r>
      <w:r w:rsidRPr="008027D1">
        <w:rPr>
          <w:snapToGrid w:val="0"/>
          <w:lang w:eastAsia="en-US"/>
        </w:rPr>
        <w:t>cal residents.</w:t>
      </w:r>
      <w:r w:rsidRPr="00AC4D7B">
        <w:rPr>
          <w:snapToGrid w:val="0"/>
          <w:lang w:eastAsia="en-US"/>
        </w:rPr>
        <w:t xml:space="preserve"> </w:t>
      </w:r>
    </w:p>
    <w:p w14:paraId="2DB719DC" w14:textId="77777777" w:rsidR="007F5DB3" w:rsidRPr="00AC4D7B" w:rsidRDefault="007F5DB3" w:rsidP="007F5DB3">
      <w:pPr>
        <w:rPr>
          <w:snapToGrid w:val="0"/>
          <w:lang w:eastAsia="en-US"/>
        </w:rPr>
      </w:pPr>
    </w:p>
    <w:p w14:paraId="6467D17B" w14:textId="77777777" w:rsidR="007F5DB3" w:rsidRPr="00AC4D7B" w:rsidRDefault="007F5DB3" w:rsidP="007F5DB3">
      <w:pPr>
        <w:rPr>
          <w:snapToGrid w:val="0"/>
          <w:lang w:eastAsia="en-US"/>
        </w:rPr>
      </w:pPr>
      <w:r w:rsidRPr="00AC4D7B">
        <w:rPr>
          <w:snapToGrid w:val="0"/>
          <w:lang w:eastAsia="en-US"/>
        </w:rPr>
        <w:t>I hope you find this report and the Statement of Accounts useful in understanding the Council’s financial position and performance for the year.</w:t>
      </w:r>
    </w:p>
    <w:p w14:paraId="7DDC3D3D" w14:textId="77777777" w:rsidR="007F5DB3" w:rsidRPr="00AC4D7B" w:rsidRDefault="007F5DB3" w:rsidP="007F5DB3">
      <w:pPr>
        <w:rPr>
          <w:snapToGrid w:val="0"/>
          <w:lang w:eastAsia="en-US"/>
        </w:rPr>
      </w:pPr>
    </w:p>
    <w:p w14:paraId="05263A09" w14:textId="77777777" w:rsidR="007F5DB3" w:rsidRPr="00AC4D7B" w:rsidRDefault="007F5DB3" w:rsidP="007F5DB3">
      <w:pPr>
        <w:rPr>
          <w:snapToGrid w:val="0"/>
          <w:lang w:eastAsia="en-US"/>
        </w:rPr>
      </w:pPr>
      <w:r w:rsidRPr="00AC4D7B">
        <w:rPr>
          <w:snapToGrid w:val="0"/>
          <w:lang w:eastAsia="en-US"/>
        </w:rPr>
        <w:t xml:space="preserve">I’d also like to express my thanks for the hard work and dedication of staff across the whole of the Council who have worked to consolidate the financial stability of the Council and ensure the production of the Statement of Accounts in </w:t>
      </w:r>
      <w:r>
        <w:rPr>
          <w:snapToGrid w:val="0"/>
          <w:lang w:eastAsia="en-US"/>
        </w:rPr>
        <w:t xml:space="preserve">what are </w:t>
      </w:r>
      <w:r w:rsidRPr="00AC4D7B">
        <w:rPr>
          <w:snapToGrid w:val="0"/>
          <w:lang w:eastAsia="en-US"/>
        </w:rPr>
        <w:t>very unusual and difficult circumstances.</w:t>
      </w:r>
    </w:p>
    <w:p w14:paraId="268D1BE6" w14:textId="77777777" w:rsidR="007F5DB3" w:rsidRPr="00AC4D7B" w:rsidRDefault="007F5DB3" w:rsidP="007F5DB3">
      <w:pPr>
        <w:rPr>
          <w:snapToGrid w:val="0"/>
          <w:lang w:eastAsia="en-US"/>
        </w:rPr>
      </w:pPr>
    </w:p>
    <w:p w14:paraId="0E741BFA" w14:textId="77777777" w:rsidR="007F5DB3" w:rsidRPr="00AC4D7B" w:rsidRDefault="007F5DB3" w:rsidP="007F5DB3">
      <w:pPr>
        <w:rPr>
          <w:snapToGrid w:val="0"/>
          <w:lang w:eastAsia="en-US"/>
        </w:rPr>
      </w:pPr>
    </w:p>
    <w:p w14:paraId="1761FBFF" w14:textId="77777777" w:rsidR="007F5DB3" w:rsidRPr="00AC4D7B" w:rsidRDefault="007F5DB3" w:rsidP="007F5DB3">
      <w:pPr>
        <w:rPr>
          <w:snapToGrid w:val="0"/>
          <w:lang w:eastAsia="en-US"/>
        </w:rPr>
      </w:pPr>
    </w:p>
    <w:p w14:paraId="250D25A1" w14:textId="77777777" w:rsidR="007F5DB3" w:rsidRPr="00AC4D7B" w:rsidRDefault="007F5DB3" w:rsidP="007F5DB3">
      <w:pPr>
        <w:rPr>
          <w:snapToGrid w:val="0"/>
          <w:lang w:eastAsia="en-US"/>
        </w:rPr>
      </w:pPr>
    </w:p>
    <w:p w14:paraId="0469499D" w14:textId="77777777" w:rsidR="007F5DB3" w:rsidRPr="00AC4D7B" w:rsidRDefault="007F5DB3" w:rsidP="007F5DB3">
      <w:pPr>
        <w:rPr>
          <w:snapToGrid w:val="0"/>
          <w:lang w:eastAsia="en-US"/>
        </w:rPr>
      </w:pPr>
    </w:p>
    <w:p w14:paraId="5639C162" w14:textId="77777777" w:rsidR="007F5DB3" w:rsidRPr="00AC4D7B" w:rsidRDefault="007F5DB3" w:rsidP="007F5DB3">
      <w:pPr>
        <w:rPr>
          <w:snapToGrid w:val="0"/>
          <w:lang w:eastAsia="en-US"/>
        </w:rPr>
      </w:pPr>
      <w:r w:rsidRPr="00AC4D7B">
        <w:rPr>
          <w:snapToGrid w:val="0"/>
          <w:lang w:eastAsia="en-US"/>
        </w:rPr>
        <w:t xml:space="preserve">Louise Mattinson </w:t>
      </w:r>
      <w:r>
        <w:rPr>
          <w:snapToGrid w:val="0"/>
          <w:lang w:eastAsia="en-US"/>
        </w:rPr>
        <w:t>ACA</w:t>
      </w:r>
    </w:p>
    <w:p w14:paraId="00BCB308" w14:textId="3AAACE69" w:rsidR="007F5DB3" w:rsidRDefault="007F5DB3" w:rsidP="007F5DB3">
      <w:pPr>
        <w:rPr>
          <w:snapToGrid w:val="0"/>
          <w:lang w:eastAsia="en-US"/>
        </w:rPr>
      </w:pPr>
      <w:r w:rsidRPr="00AC4D7B">
        <w:rPr>
          <w:snapToGrid w:val="0"/>
          <w:lang w:eastAsia="en-US"/>
        </w:rPr>
        <w:t>Director of Finance/Section 151 Officer</w:t>
      </w:r>
    </w:p>
    <w:p w14:paraId="45BD5428" w14:textId="0B525D59" w:rsidR="00254922" w:rsidRDefault="00254922" w:rsidP="007F5DB3">
      <w:pPr>
        <w:rPr>
          <w:snapToGrid w:val="0"/>
          <w:lang w:eastAsia="en-US"/>
        </w:rPr>
      </w:pPr>
    </w:p>
    <w:p w14:paraId="71D3D880" w14:textId="77777777" w:rsidR="00254922" w:rsidRPr="00AC4D7B" w:rsidRDefault="00254922" w:rsidP="007F5DB3">
      <w:pPr>
        <w:rPr>
          <w:snapToGrid w:val="0"/>
          <w:lang w:eastAsia="en-US"/>
        </w:rPr>
      </w:pPr>
    </w:p>
    <w:p w14:paraId="2820543E" w14:textId="77777777" w:rsidR="00254922" w:rsidRDefault="00254922">
      <w:pPr>
        <w:jc w:val="left"/>
        <w:rPr>
          <w:rFonts w:cs="Arial"/>
          <w:b/>
          <w:szCs w:val="22"/>
          <w:lang w:eastAsia="en-US"/>
        </w:rPr>
      </w:pPr>
      <w:r>
        <w:rPr>
          <w:lang w:eastAsia="en-US"/>
        </w:rPr>
        <w:br w:type="page"/>
      </w:r>
    </w:p>
    <w:p w14:paraId="622CF8FE" w14:textId="6725970A" w:rsidR="007F5DB3" w:rsidRPr="00AC4D7B" w:rsidRDefault="007F5DB3" w:rsidP="007F5DB3">
      <w:pPr>
        <w:pStyle w:val="Heading3"/>
        <w:rPr>
          <w:noProof w:val="0"/>
          <w:lang w:eastAsia="en-US"/>
        </w:rPr>
      </w:pPr>
      <w:r w:rsidRPr="00AC4D7B">
        <w:rPr>
          <w:noProof w:val="0"/>
          <w:lang w:eastAsia="en-US"/>
        </w:rPr>
        <w:lastRenderedPageBreak/>
        <w:t xml:space="preserve">South </w:t>
      </w:r>
      <w:proofErr w:type="spellStart"/>
      <w:r w:rsidRPr="00AC4D7B">
        <w:rPr>
          <w:noProof w:val="0"/>
          <w:lang w:eastAsia="en-US"/>
        </w:rPr>
        <w:t>Ribble</w:t>
      </w:r>
      <w:proofErr w:type="spellEnd"/>
    </w:p>
    <w:p w14:paraId="7259263A" w14:textId="77777777" w:rsidR="007F5DB3" w:rsidRPr="00AC4D7B" w:rsidRDefault="007F5DB3" w:rsidP="007F5DB3">
      <w:pPr>
        <w:rPr>
          <w:snapToGrid w:val="0"/>
          <w:lang w:eastAsia="en-US"/>
        </w:rPr>
      </w:pPr>
    </w:p>
    <w:p w14:paraId="611C7156" w14:textId="77777777" w:rsidR="007F5DB3" w:rsidRPr="00AC4D7B" w:rsidRDefault="007F5DB3" w:rsidP="007F5DB3">
      <w:pPr>
        <w:rPr>
          <w:snapToGrid w:val="0"/>
          <w:lang w:eastAsia="en-US"/>
        </w:rPr>
      </w:pPr>
      <w:r w:rsidRPr="00AC4D7B">
        <w:rPr>
          <w:snapToGrid w:val="0"/>
          <w:lang w:eastAsia="en-US"/>
        </w:rPr>
        <w:t xml:space="preserve">South </w:t>
      </w:r>
      <w:proofErr w:type="spellStart"/>
      <w:r w:rsidRPr="00AC4D7B">
        <w:rPr>
          <w:snapToGrid w:val="0"/>
          <w:lang w:eastAsia="en-US"/>
        </w:rPr>
        <w:t>Ribble</w:t>
      </w:r>
      <w:proofErr w:type="spellEnd"/>
      <w:r w:rsidRPr="00AC4D7B">
        <w:rPr>
          <w:snapToGrid w:val="0"/>
          <w:lang w:eastAsia="en-US"/>
        </w:rPr>
        <w:t xml:space="preserve"> Borough is located in Lancashire at the centre of the North West region, situated right on the M61, M6 and M65 motorways with easy access to the West Coast mainline and airports at Manchester and Liverpool with the Borough extending to about 113 km2 (approximately 44 square miles).   The Borough is on the edge of the West Pennine Moors with beautiful scenery and countryside and is just a short drive from the Lancashire coastline.  The latest available Office for National Statistics (ONS) figures estimate that the total population of the borough was estimated as 11</w:t>
      </w:r>
      <w:r>
        <w:rPr>
          <w:snapToGrid w:val="0"/>
          <w:lang w:eastAsia="en-US"/>
        </w:rPr>
        <w:t>1</w:t>
      </w:r>
      <w:r w:rsidRPr="00AC4D7B">
        <w:rPr>
          <w:snapToGrid w:val="0"/>
          <w:lang w:eastAsia="en-US"/>
        </w:rPr>
        <w:t>,</w:t>
      </w:r>
      <w:r>
        <w:rPr>
          <w:snapToGrid w:val="0"/>
          <w:lang w:eastAsia="en-US"/>
        </w:rPr>
        <w:t>086</w:t>
      </w:r>
      <w:r w:rsidRPr="00AC4D7B">
        <w:rPr>
          <w:snapToGrid w:val="0"/>
          <w:lang w:eastAsia="en-US"/>
        </w:rPr>
        <w:t xml:space="preserve"> in 20</w:t>
      </w:r>
      <w:r>
        <w:rPr>
          <w:snapToGrid w:val="0"/>
          <w:lang w:eastAsia="en-US"/>
        </w:rPr>
        <w:t>20</w:t>
      </w:r>
      <w:r w:rsidRPr="00AC4D7B">
        <w:rPr>
          <w:snapToGrid w:val="0"/>
          <w:lang w:eastAsia="en-US"/>
        </w:rPr>
        <w:t>.</w:t>
      </w:r>
    </w:p>
    <w:p w14:paraId="1B34CA3C" w14:textId="77777777" w:rsidR="007F5DB3" w:rsidRPr="00AC4D7B" w:rsidRDefault="007F5DB3" w:rsidP="007F5DB3">
      <w:pPr>
        <w:rPr>
          <w:snapToGrid w:val="0"/>
          <w:lang w:eastAsia="en-US"/>
        </w:rPr>
      </w:pPr>
    </w:p>
    <w:p w14:paraId="533F190B" w14:textId="77777777" w:rsidR="007F5DB3" w:rsidRPr="00AC4D7B" w:rsidRDefault="007F5DB3" w:rsidP="007F5DB3">
      <w:pPr>
        <w:rPr>
          <w:snapToGrid w:val="0"/>
          <w:lang w:eastAsia="en-US"/>
        </w:rPr>
      </w:pPr>
      <w:r w:rsidRPr="00AC4D7B">
        <w:rPr>
          <w:snapToGrid w:val="0"/>
          <w:lang w:eastAsia="en-US"/>
        </w:rPr>
        <w:t xml:space="preserve">The Council is based in the town of Leyland in the south of the borough with other notable population areas being Penwortham, Longton, Hutton, Walton-le-Dale, Bamber Bridge, Lostock Hall, Moss Side and a significant part of Buckshaw Village.  </w:t>
      </w:r>
    </w:p>
    <w:p w14:paraId="36B08C25" w14:textId="77777777" w:rsidR="007F5DB3" w:rsidRPr="00AC4D7B" w:rsidRDefault="007F5DB3" w:rsidP="007F5DB3">
      <w:pPr>
        <w:rPr>
          <w:snapToGrid w:val="0"/>
          <w:lang w:eastAsia="en-US"/>
        </w:rPr>
      </w:pPr>
    </w:p>
    <w:p w14:paraId="2DFD366B" w14:textId="77777777" w:rsidR="007F5DB3" w:rsidRPr="00AC4D7B" w:rsidRDefault="007F5DB3" w:rsidP="007F5DB3">
      <w:pPr>
        <w:rPr>
          <w:snapToGrid w:val="0"/>
          <w:lang w:eastAsia="en-US"/>
        </w:rPr>
      </w:pPr>
      <w:r w:rsidRPr="00AC4D7B">
        <w:rPr>
          <w:snapToGrid w:val="0"/>
          <w:lang w:eastAsia="en-US"/>
        </w:rPr>
        <w:lastRenderedPageBreak/>
        <w:t xml:space="preserve">The district was formed on 1st April 1974 under the Local Government Act 1972, from Leyland and Walton-le-Dale urban districts, along with part of Preston Rural District.  The borough shares its borders with Chorley, West Lancashire, Blackburn with Darwen, </w:t>
      </w:r>
      <w:proofErr w:type="spellStart"/>
      <w:r w:rsidRPr="00AC4D7B">
        <w:rPr>
          <w:snapToGrid w:val="0"/>
          <w:lang w:eastAsia="en-US"/>
        </w:rPr>
        <w:t>Ribble</w:t>
      </w:r>
      <w:proofErr w:type="spellEnd"/>
      <w:r w:rsidRPr="00AC4D7B">
        <w:rPr>
          <w:snapToGrid w:val="0"/>
          <w:lang w:eastAsia="en-US"/>
        </w:rPr>
        <w:t xml:space="preserve"> Valley, Preston and Fylde Councils.  </w:t>
      </w:r>
    </w:p>
    <w:p w14:paraId="661D6B94" w14:textId="77777777" w:rsidR="007F5DB3" w:rsidRPr="00AC4D7B" w:rsidRDefault="007F5DB3" w:rsidP="007F5DB3">
      <w:pPr>
        <w:rPr>
          <w:snapToGrid w:val="0"/>
          <w:lang w:eastAsia="en-US"/>
        </w:rPr>
      </w:pPr>
    </w:p>
    <w:p w14:paraId="11B4FC43" w14:textId="77777777" w:rsidR="007F5DB3" w:rsidRPr="00AC4D7B" w:rsidRDefault="007F5DB3" w:rsidP="007F5DB3">
      <w:pPr>
        <w:rPr>
          <w:snapToGrid w:val="0"/>
          <w:lang w:eastAsia="en-US"/>
        </w:rPr>
      </w:pPr>
      <w:r w:rsidRPr="00AC4D7B">
        <w:rPr>
          <w:snapToGrid w:val="0"/>
          <w:lang w:eastAsia="en-US"/>
        </w:rPr>
        <w:t xml:space="preserve">Regeneration, Inward Investment and working with partners to deliver the City Deal agreement are recognised as being very important to the future prosperity of the borough and are key priorities for the Administration.  The Council </w:t>
      </w:r>
      <w:proofErr w:type="gramStart"/>
      <w:r w:rsidRPr="00AC4D7B">
        <w:rPr>
          <w:snapToGrid w:val="0"/>
          <w:lang w:eastAsia="en-US"/>
        </w:rPr>
        <w:t>has to</w:t>
      </w:r>
      <w:proofErr w:type="gramEnd"/>
      <w:r w:rsidRPr="00AC4D7B">
        <w:rPr>
          <w:snapToGrid w:val="0"/>
          <w:lang w:eastAsia="en-US"/>
        </w:rPr>
        <w:t xml:space="preserve"> provide services such that it meets the needs of its citizens, serving both an urban and rural environment. Another key priority for the Council is its Green Links programme for the protection of its parks and open spaces, leisure and sports facilities, encouraging this green environment and to take on the increasing issues of Air Quality associated with the transport infrastructure.</w:t>
      </w:r>
    </w:p>
    <w:p w14:paraId="673E549A" w14:textId="77777777" w:rsidR="007F5DB3" w:rsidRPr="00AC4D7B" w:rsidRDefault="007F5DB3" w:rsidP="007F5DB3">
      <w:pPr>
        <w:ind w:right="-472"/>
        <w:rPr>
          <w:rFonts w:cs="Arial"/>
          <w:szCs w:val="22"/>
          <w:lang w:eastAsia="en-US"/>
        </w:rPr>
      </w:pPr>
    </w:p>
    <w:p w14:paraId="5D4095F9" w14:textId="77777777" w:rsidR="007F5DB3" w:rsidRPr="00AC4D7B" w:rsidRDefault="007F5DB3" w:rsidP="007F5DB3">
      <w:pPr>
        <w:pStyle w:val="Heading3"/>
        <w:rPr>
          <w:noProof w:val="0"/>
          <w:lang w:eastAsia="en-US"/>
        </w:rPr>
      </w:pPr>
      <w:r w:rsidRPr="00AC4D7B">
        <w:rPr>
          <w:noProof w:val="0"/>
          <w:lang w:eastAsia="en-US"/>
        </w:rPr>
        <w:t xml:space="preserve">Location and map of South </w:t>
      </w:r>
      <w:proofErr w:type="spellStart"/>
      <w:r w:rsidRPr="00AC4D7B">
        <w:rPr>
          <w:noProof w:val="0"/>
          <w:lang w:eastAsia="en-US"/>
        </w:rPr>
        <w:t>Ribble</w:t>
      </w:r>
      <w:proofErr w:type="spellEnd"/>
      <w:r w:rsidRPr="00AC4D7B">
        <w:rPr>
          <w:noProof w:val="0"/>
          <w:lang w:eastAsia="en-US"/>
        </w:rPr>
        <w:t xml:space="preserve"> borough </w:t>
      </w:r>
    </w:p>
    <w:p w14:paraId="11C65F3B" w14:textId="77777777" w:rsidR="007F5DB3" w:rsidRPr="00AC4D7B" w:rsidRDefault="007F5DB3" w:rsidP="007F5DB3">
      <w:pPr>
        <w:ind w:right="-472"/>
        <w:rPr>
          <w:rFonts w:cs="Arial"/>
          <w:b/>
          <w:szCs w:val="22"/>
          <w:lang w:eastAsia="en-US"/>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9"/>
      </w:tblGrid>
      <w:tr w:rsidR="007F5DB3" w:rsidRPr="00AC4D7B" w14:paraId="6EFACE76" w14:textId="77777777" w:rsidTr="007F5DB3">
        <w:tc>
          <w:tcPr>
            <w:tcW w:w="8789" w:type="dxa"/>
          </w:tcPr>
          <w:p w14:paraId="024011E2" w14:textId="77777777" w:rsidR="007F5DB3" w:rsidRPr="00AC4D7B" w:rsidRDefault="007F5DB3" w:rsidP="007F5DB3">
            <w:pPr>
              <w:ind w:right="266"/>
              <w:jc w:val="center"/>
              <w:rPr>
                <w:rFonts w:ascii="Times New Roman" w:hAnsi="Times New Roman"/>
                <w:color w:val="FF0000"/>
                <w:sz w:val="24"/>
              </w:rPr>
            </w:pPr>
            <w:r w:rsidRPr="00AC4D7B">
              <w:rPr>
                <w:rFonts w:ascii="Times New Roman" w:hAnsi="Times New Roman"/>
                <w:noProof/>
                <w:color w:val="FF0000"/>
                <w:sz w:val="24"/>
              </w:rPr>
              <w:lastRenderedPageBreak/>
              <w:drawing>
                <wp:inline distT="0" distB="0" distL="0" distR="0" wp14:anchorId="6071B86B" wp14:editId="05BCD769">
                  <wp:extent cx="5672350" cy="4133726"/>
                  <wp:effectExtent l="0" t="0" r="5080" b="635"/>
                  <wp:docPr id="1" name="Picture 1" descr="K:\Closure\2.9 Close 15-16\Statement of Accounts\SRBC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osure\2.9 Close 15-16\Statement of Accounts\SRBC map.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1301" cy="4162112"/>
                          </a:xfrm>
                          <a:prstGeom prst="rect">
                            <a:avLst/>
                          </a:prstGeom>
                          <a:noFill/>
                          <a:ln>
                            <a:noFill/>
                          </a:ln>
                        </pic:spPr>
                      </pic:pic>
                    </a:graphicData>
                  </a:graphic>
                </wp:inline>
              </w:drawing>
            </w:r>
          </w:p>
        </w:tc>
      </w:tr>
    </w:tbl>
    <w:p w14:paraId="26CF6A06" w14:textId="77777777" w:rsidR="007F5DB3" w:rsidRPr="00AC4D7B" w:rsidRDefault="007F5DB3" w:rsidP="007F5DB3">
      <w:pPr>
        <w:pStyle w:val="Heading3"/>
        <w:rPr>
          <w:noProof w:val="0"/>
        </w:rPr>
      </w:pPr>
      <w:r w:rsidRPr="00AC4D7B">
        <w:rPr>
          <w:noProof w:val="0"/>
        </w:rPr>
        <w:lastRenderedPageBreak/>
        <w:t xml:space="preserve">South </w:t>
      </w:r>
      <w:proofErr w:type="spellStart"/>
      <w:r w:rsidRPr="00AC4D7B">
        <w:rPr>
          <w:noProof w:val="0"/>
        </w:rPr>
        <w:t>Ribble</w:t>
      </w:r>
      <w:proofErr w:type="spellEnd"/>
      <w:r w:rsidRPr="00AC4D7B">
        <w:rPr>
          <w:noProof w:val="0"/>
        </w:rPr>
        <w:t xml:space="preserve"> Borough Council</w:t>
      </w:r>
    </w:p>
    <w:p w14:paraId="7E233AF9" w14:textId="77777777" w:rsidR="007F5DB3" w:rsidRPr="00AC4D7B" w:rsidRDefault="007F5DB3" w:rsidP="007F5DB3">
      <w:pPr>
        <w:rPr>
          <w:b/>
        </w:rPr>
      </w:pPr>
    </w:p>
    <w:p w14:paraId="289A57A6" w14:textId="77777777" w:rsidR="007F5DB3" w:rsidRPr="00AC4D7B" w:rsidRDefault="007F5DB3" w:rsidP="007F5DB3">
      <w:pPr>
        <w:rPr>
          <w:snapToGrid w:val="0"/>
          <w:lang w:eastAsia="en-US"/>
        </w:rPr>
      </w:pPr>
      <w:r w:rsidRPr="00AC4D7B">
        <w:rPr>
          <w:snapToGrid w:val="0"/>
          <w:lang w:eastAsia="en-US"/>
        </w:rPr>
        <w:t xml:space="preserve">South </w:t>
      </w:r>
      <w:proofErr w:type="spellStart"/>
      <w:r w:rsidRPr="00AC4D7B">
        <w:rPr>
          <w:snapToGrid w:val="0"/>
          <w:lang w:eastAsia="en-US"/>
        </w:rPr>
        <w:t>Ribble</w:t>
      </w:r>
      <w:proofErr w:type="spellEnd"/>
      <w:r w:rsidRPr="00AC4D7B">
        <w:rPr>
          <w:snapToGrid w:val="0"/>
          <w:lang w:eastAsia="en-US"/>
        </w:rPr>
        <w:t xml:space="preserve"> Borough Council is part of a </w:t>
      </w:r>
      <w:proofErr w:type="gramStart"/>
      <w:r w:rsidRPr="00AC4D7B">
        <w:rPr>
          <w:snapToGrid w:val="0"/>
          <w:lang w:eastAsia="en-US"/>
        </w:rPr>
        <w:t>two tier</w:t>
      </w:r>
      <w:proofErr w:type="gramEnd"/>
      <w:r w:rsidRPr="00AC4D7B">
        <w:rPr>
          <w:snapToGrid w:val="0"/>
          <w:lang w:eastAsia="en-US"/>
        </w:rPr>
        <w:t xml:space="preserve"> system in Lancashire that consists of a County Council, two unitary councils and 12 district councils.  South </w:t>
      </w:r>
      <w:proofErr w:type="spellStart"/>
      <w:r w:rsidRPr="00AC4D7B">
        <w:rPr>
          <w:snapToGrid w:val="0"/>
          <w:lang w:eastAsia="en-US"/>
        </w:rPr>
        <w:t>Ribble</w:t>
      </w:r>
      <w:proofErr w:type="spellEnd"/>
      <w:r w:rsidRPr="00AC4D7B">
        <w:rPr>
          <w:snapToGrid w:val="0"/>
          <w:lang w:eastAsia="en-US"/>
        </w:rPr>
        <w:t xml:space="preserve"> Borough Council works collaboratively with a wide range of partners to deliver its vision of ‘Working together to make South </w:t>
      </w:r>
      <w:proofErr w:type="spellStart"/>
      <w:r w:rsidRPr="00AC4D7B">
        <w:rPr>
          <w:snapToGrid w:val="0"/>
          <w:lang w:eastAsia="en-US"/>
        </w:rPr>
        <w:t>Ribble</w:t>
      </w:r>
      <w:proofErr w:type="spellEnd"/>
      <w:r w:rsidRPr="00AC4D7B">
        <w:rPr>
          <w:snapToGrid w:val="0"/>
          <w:lang w:eastAsia="en-US"/>
        </w:rPr>
        <w:t xml:space="preserve"> and its communities, great places to live, work, visit and play’.  The Council is committed to working across organisational boundaries to improve outcomes for local people and communities and to ensure that high-quality services are readily accessible to the people of the borough.  During 2020/21, the Council underwent significant changes in its Senior Management structure as part of the sharing of services with Chorley Borough Council. </w:t>
      </w:r>
    </w:p>
    <w:p w14:paraId="44213214" w14:textId="77777777" w:rsidR="007F5DB3" w:rsidRPr="00AC4D7B" w:rsidRDefault="007F5DB3" w:rsidP="007F5DB3">
      <w:pPr>
        <w:rPr>
          <w:snapToGrid w:val="0"/>
          <w:lang w:eastAsia="en-US"/>
        </w:rPr>
      </w:pPr>
    </w:p>
    <w:p w14:paraId="488AFAA3" w14:textId="77777777" w:rsidR="007F5DB3" w:rsidRPr="00AC4D7B" w:rsidRDefault="007F5DB3" w:rsidP="007F5DB3">
      <w:pPr>
        <w:rPr>
          <w:snapToGrid w:val="0"/>
          <w:lang w:eastAsia="en-US"/>
        </w:rPr>
      </w:pPr>
      <w:r w:rsidRPr="00AC4D7B">
        <w:rPr>
          <w:snapToGrid w:val="0"/>
          <w:lang w:eastAsia="en-US"/>
        </w:rPr>
        <w:t xml:space="preserve">The Council has 50 district councillors elected to cover all the electoral wards across the borough.  District councillors represent their communities and bring their views into the Council’s </w:t>
      </w:r>
      <w:proofErr w:type="gramStart"/>
      <w:r w:rsidRPr="00AC4D7B">
        <w:rPr>
          <w:snapToGrid w:val="0"/>
          <w:lang w:eastAsia="en-US"/>
        </w:rPr>
        <w:t>decision making</w:t>
      </w:r>
      <w:proofErr w:type="gramEnd"/>
      <w:r w:rsidRPr="00AC4D7B">
        <w:rPr>
          <w:snapToGrid w:val="0"/>
          <w:lang w:eastAsia="en-US"/>
        </w:rPr>
        <w:t xml:space="preserve"> process.  Council meetings are publicised on the Council’s </w:t>
      </w:r>
      <w:r w:rsidRPr="00AC4D7B">
        <w:rPr>
          <w:snapToGrid w:val="0"/>
          <w:lang w:eastAsia="en-US"/>
        </w:rPr>
        <w:lastRenderedPageBreak/>
        <w:t>website alongside agendas, reports and minutes.  The meetings are open to members of the public to attend bringing decision-making closer to the public.</w:t>
      </w:r>
    </w:p>
    <w:p w14:paraId="16BE2319" w14:textId="77777777" w:rsidR="007F5DB3" w:rsidRPr="00AC4D7B" w:rsidRDefault="007F5DB3" w:rsidP="007F5DB3">
      <w:pPr>
        <w:rPr>
          <w:snapToGrid w:val="0"/>
          <w:lang w:eastAsia="en-US"/>
        </w:rPr>
      </w:pPr>
    </w:p>
    <w:p w14:paraId="17552E6E" w14:textId="77777777" w:rsidR="007F5DB3" w:rsidRPr="00AC4D7B" w:rsidRDefault="007F5DB3" w:rsidP="007F5DB3">
      <w:pPr>
        <w:rPr>
          <w:snapToGrid w:val="0"/>
          <w:lang w:eastAsia="en-US"/>
        </w:rPr>
      </w:pPr>
      <w:r w:rsidRPr="00AC4D7B">
        <w:rPr>
          <w:snapToGrid w:val="0"/>
          <w:lang w:eastAsia="en-US"/>
        </w:rPr>
        <w:t xml:space="preserve">The political structure of the Council in the 2020/21 year was as follows, with a Labour minority administration supported by the Liberal Democrat group </w:t>
      </w:r>
      <w:proofErr w:type="gramStart"/>
      <w:r w:rsidRPr="00AC4D7B">
        <w:rPr>
          <w:snapToGrid w:val="0"/>
          <w:lang w:eastAsia="en-US"/>
        </w:rPr>
        <w:t>on the basis of</w:t>
      </w:r>
      <w:proofErr w:type="gramEnd"/>
      <w:r w:rsidRPr="00AC4D7B">
        <w:rPr>
          <w:snapToGrid w:val="0"/>
          <w:lang w:eastAsia="en-US"/>
        </w:rPr>
        <w:t xml:space="preserve"> a supply and confidence agreement:</w:t>
      </w:r>
    </w:p>
    <w:p w14:paraId="39E2FC37" w14:textId="77777777" w:rsidR="007F5DB3" w:rsidRPr="00AC4D7B" w:rsidRDefault="007F5DB3" w:rsidP="007F5DB3">
      <w:pPr>
        <w:rPr>
          <w:snapToGrid w:val="0"/>
          <w:lang w:eastAsia="en-US"/>
        </w:rPr>
      </w:pPr>
    </w:p>
    <w:tbl>
      <w:tblPr>
        <w:tblW w:w="0" w:type="auto"/>
        <w:tblCellMar>
          <w:left w:w="0" w:type="dxa"/>
          <w:right w:w="0" w:type="dxa"/>
        </w:tblCellMar>
        <w:tblLook w:val="04A0" w:firstRow="1" w:lastRow="0" w:firstColumn="1" w:lastColumn="0" w:noHBand="0" w:noVBand="1"/>
      </w:tblPr>
      <w:tblGrid>
        <w:gridCol w:w="2542"/>
        <w:gridCol w:w="992"/>
      </w:tblGrid>
      <w:tr w:rsidR="007F5DB3" w:rsidRPr="00AC4D7B" w14:paraId="00CA746F" w14:textId="77777777" w:rsidTr="007F5DB3">
        <w:tc>
          <w:tcPr>
            <w:tcW w:w="2542"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53F2A40B" w14:textId="77777777" w:rsidR="007F5DB3" w:rsidRPr="00AC4D7B" w:rsidRDefault="007F5DB3" w:rsidP="007F5DB3">
            <w:pPr>
              <w:rPr>
                <w:b/>
                <w:bCs/>
                <w:sz w:val="20"/>
                <w:szCs w:val="20"/>
              </w:rPr>
            </w:pPr>
            <w:r w:rsidRPr="00AC4D7B">
              <w:rPr>
                <w:b/>
                <w:bCs/>
                <w:sz w:val="20"/>
                <w:szCs w:val="20"/>
              </w:rPr>
              <w:t>Party</w:t>
            </w:r>
          </w:p>
        </w:tc>
        <w:tc>
          <w:tcPr>
            <w:tcW w:w="992" w:type="dxa"/>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14:paraId="1E8C2093" w14:textId="77777777" w:rsidR="007F5DB3" w:rsidRPr="00AC4D7B" w:rsidRDefault="007F5DB3" w:rsidP="007F5DB3">
            <w:pPr>
              <w:jc w:val="center"/>
              <w:rPr>
                <w:b/>
                <w:bCs/>
                <w:sz w:val="20"/>
                <w:szCs w:val="20"/>
              </w:rPr>
            </w:pPr>
            <w:r w:rsidRPr="00AC4D7B">
              <w:rPr>
                <w:b/>
                <w:bCs/>
                <w:sz w:val="20"/>
                <w:szCs w:val="20"/>
              </w:rPr>
              <w:t>No.</w:t>
            </w:r>
          </w:p>
        </w:tc>
      </w:tr>
      <w:tr w:rsidR="007F5DB3" w:rsidRPr="00AC4D7B" w14:paraId="493AAAAD" w14:textId="77777777" w:rsidTr="007F5DB3">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E16F4F" w14:textId="77777777" w:rsidR="007F5DB3" w:rsidRPr="00AC4D7B" w:rsidRDefault="007F5DB3" w:rsidP="007F5DB3">
            <w:pPr>
              <w:rPr>
                <w:sz w:val="20"/>
                <w:szCs w:val="20"/>
              </w:rPr>
            </w:pPr>
            <w:r w:rsidRPr="00AC4D7B">
              <w:rPr>
                <w:sz w:val="20"/>
                <w:szCs w:val="20"/>
              </w:rPr>
              <w:t>Conservative</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0781140" w14:textId="77777777" w:rsidR="007F5DB3" w:rsidRPr="00AC4D7B" w:rsidRDefault="007F5DB3" w:rsidP="007F5DB3">
            <w:pPr>
              <w:jc w:val="right"/>
              <w:rPr>
                <w:sz w:val="20"/>
                <w:szCs w:val="20"/>
              </w:rPr>
            </w:pPr>
            <w:r w:rsidRPr="00AC4D7B">
              <w:rPr>
                <w:sz w:val="20"/>
                <w:szCs w:val="20"/>
              </w:rPr>
              <w:t>22</w:t>
            </w:r>
          </w:p>
        </w:tc>
      </w:tr>
      <w:tr w:rsidR="007F5DB3" w:rsidRPr="00AC4D7B" w14:paraId="09245602" w14:textId="77777777" w:rsidTr="007F5DB3">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B29460" w14:textId="77777777" w:rsidR="007F5DB3" w:rsidRPr="00AC4D7B" w:rsidRDefault="007F5DB3" w:rsidP="007F5DB3">
            <w:pPr>
              <w:rPr>
                <w:sz w:val="20"/>
                <w:szCs w:val="20"/>
              </w:rPr>
            </w:pPr>
            <w:r w:rsidRPr="00AC4D7B">
              <w:rPr>
                <w:sz w:val="20"/>
                <w:szCs w:val="20"/>
              </w:rPr>
              <w:t>Labour</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5FF3056F" w14:textId="77777777" w:rsidR="007F5DB3" w:rsidRPr="00AC4D7B" w:rsidRDefault="007F5DB3" w:rsidP="007F5DB3">
            <w:pPr>
              <w:jc w:val="right"/>
              <w:rPr>
                <w:sz w:val="20"/>
                <w:szCs w:val="20"/>
              </w:rPr>
            </w:pPr>
            <w:r w:rsidRPr="00AC4D7B">
              <w:rPr>
                <w:sz w:val="20"/>
                <w:szCs w:val="20"/>
              </w:rPr>
              <w:t>22</w:t>
            </w:r>
          </w:p>
        </w:tc>
      </w:tr>
      <w:tr w:rsidR="007F5DB3" w:rsidRPr="00AC4D7B" w14:paraId="76F68558" w14:textId="77777777" w:rsidTr="007F5DB3">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0446AB" w14:textId="77777777" w:rsidR="007F5DB3" w:rsidRPr="00AC4D7B" w:rsidRDefault="007F5DB3" w:rsidP="007F5DB3">
            <w:pPr>
              <w:rPr>
                <w:sz w:val="20"/>
                <w:szCs w:val="20"/>
              </w:rPr>
            </w:pPr>
            <w:r w:rsidRPr="00AC4D7B">
              <w:rPr>
                <w:sz w:val="20"/>
                <w:szCs w:val="20"/>
              </w:rPr>
              <w:t>Liberal Democrat</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917F3F4" w14:textId="77777777" w:rsidR="007F5DB3" w:rsidRPr="00AC4D7B" w:rsidRDefault="007F5DB3" w:rsidP="007F5DB3">
            <w:pPr>
              <w:jc w:val="right"/>
              <w:rPr>
                <w:sz w:val="20"/>
                <w:szCs w:val="20"/>
              </w:rPr>
            </w:pPr>
            <w:r w:rsidRPr="00AC4D7B">
              <w:rPr>
                <w:sz w:val="20"/>
                <w:szCs w:val="20"/>
              </w:rPr>
              <w:t>5</w:t>
            </w:r>
          </w:p>
        </w:tc>
      </w:tr>
      <w:tr w:rsidR="007F5DB3" w:rsidRPr="00AC4D7B" w14:paraId="59762371" w14:textId="77777777" w:rsidTr="007F5DB3">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667987" w14:textId="77777777" w:rsidR="007F5DB3" w:rsidRPr="00AC4D7B" w:rsidRDefault="007F5DB3" w:rsidP="007F5DB3">
            <w:pPr>
              <w:rPr>
                <w:sz w:val="20"/>
                <w:szCs w:val="20"/>
              </w:rPr>
            </w:pPr>
            <w:r w:rsidRPr="00AC4D7B">
              <w:rPr>
                <w:sz w:val="20"/>
                <w:szCs w:val="20"/>
              </w:rPr>
              <w:t>Vacant</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85113EB" w14:textId="77777777" w:rsidR="007F5DB3" w:rsidRPr="00AC4D7B" w:rsidRDefault="007F5DB3" w:rsidP="007F5DB3">
            <w:pPr>
              <w:jc w:val="right"/>
              <w:rPr>
                <w:sz w:val="20"/>
                <w:szCs w:val="20"/>
              </w:rPr>
            </w:pPr>
            <w:r w:rsidRPr="00AC4D7B">
              <w:rPr>
                <w:sz w:val="20"/>
                <w:szCs w:val="20"/>
              </w:rPr>
              <w:t>1</w:t>
            </w:r>
          </w:p>
        </w:tc>
      </w:tr>
      <w:tr w:rsidR="007F5DB3" w:rsidRPr="00AC4D7B" w14:paraId="4AE809A7" w14:textId="77777777" w:rsidTr="007F5DB3">
        <w:tc>
          <w:tcPr>
            <w:tcW w:w="2542"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243A96AC" w14:textId="77777777" w:rsidR="007F5DB3" w:rsidRPr="00AC4D7B" w:rsidRDefault="007F5DB3" w:rsidP="007F5DB3">
            <w:pPr>
              <w:rPr>
                <w:b/>
                <w:bCs/>
                <w:sz w:val="20"/>
                <w:szCs w:val="20"/>
              </w:rPr>
            </w:pPr>
            <w:r w:rsidRPr="00AC4D7B">
              <w:rPr>
                <w:b/>
                <w:bCs/>
                <w:sz w:val="20"/>
                <w:szCs w:val="20"/>
              </w:rPr>
              <w:t>TOTAL</w:t>
            </w:r>
          </w:p>
        </w:tc>
        <w:tc>
          <w:tcPr>
            <w:tcW w:w="992"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76B2F82F" w14:textId="77777777" w:rsidR="007F5DB3" w:rsidRPr="00AC4D7B" w:rsidRDefault="007F5DB3" w:rsidP="007F5DB3">
            <w:pPr>
              <w:jc w:val="right"/>
              <w:rPr>
                <w:b/>
                <w:bCs/>
                <w:sz w:val="20"/>
                <w:szCs w:val="20"/>
              </w:rPr>
            </w:pPr>
            <w:r w:rsidRPr="00AC4D7B">
              <w:rPr>
                <w:b/>
                <w:bCs/>
                <w:sz w:val="20"/>
                <w:szCs w:val="20"/>
              </w:rPr>
              <w:t>50</w:t>
            </w:r>
          </w:p>
        </w:tc>
      </w:tr>
    </w:tbl>
    <w:p w14:paraId="42C718C5" w14:textId="77777777" w:rsidR="007F5DB3" w:rsidRPr="00AC4D7B" w:rsidRDefault="007F5DB3" w:rsidP="007F5DB3">
      <w:pPr>
        <w:rPr>
          <w:snapToGrid w:val="0"/>
          <w:lang w:eastAsia="en-US"/>
        </w:rPr>
      </w:pPr>
    </w:p>
    <w:p w14:paraId="6B0E13E2" w14:textId="77777777" w:rsidR="007F5DB3" w:rsidRPr="00AC4D7B" w:rsidRDefault="007F5DB3" w:rsidP="007F5DB3"/>
    <w:p w14:paraId="161DA889" w14:textId="77777777" w:rsidR="007F5DB3" w:rsidRPr="00AC4D7B" w:rsidRDefault="007F5DB3" w:rsidP="007F5DB3">
      <w:pPr>
        <w:pStyle w:val="Heading3"/>
        <w:rPr>
          <w:noProof w:val="0"/>
        </w:rPr>
      </w:pPr>
      <w:r w:rsidRPr="00AC4D7B">
        <w:rPr>
          <w:noProof w:val="0"/>
        </w:rPr>
        <w:t>Management Structure</w:t>
      </w:r>
    </w:p>
    <w:p w14:paraId="0AD744BF" w14:textId="77777777" w:rsidR="007F5DB3" w:rsidRPr="00AC4D7B" w:rsidRDefault="007F5DB3" w:rsidP="007F5DB3"/>
    <w:p w14:paraId="7F7516F8" w14:textId="77777777" w:rsidR="007F5DB3" w:rsidRPr="00AC4D7B" w:rsidRDefault="007F5DB3" w:rsidP="007F5DB3">
      <w:r w:rsidRPr="00AC4D7B">
        <w:lastRenderedPageBreak/>
        <w:t>The Senior Management Structure was reviewed during 2020/21 to enhance service sharing with Chorley Borough Council. This in turn has informed the allocation of resources within the Medium-Term Financial Strategy. The current structure is shown on the next page with a review of the newly shared Directorates being undertaken during 2021/22.</w:t>
      </w:r>
    </w:p>
    <w:p w14:paraId="49FF2227" w14:textId="77777777" w:rsidR="007F5DB3" w:rsidRPr="00AC4D7B" w:rsidRDefault="007F5DB3" w:rsidP="007F5DB3"/>
    <w:p w14:paraId="5BCE07F6" w14:textId="77777777" w:rsidR="007F5DB3" w:rsidRPr="00AC4D7B" w:rsidRDefault="007F5DB3" w:rsidP="007F5DB3">
      <w:pPr>
        <w:sectPr w:rsidR="007F5DB3" w:rsidRPr="00AC4D7B">
          <w:headerReference w:type="default" r:id="rId10"/>
          <w:footerReference w:type="default" r:id="rId11"/>
          <w:pgSz w:w="11906" w:h="16838"/>
          <w:pgMar w:top="1440" w:right="1440" w:bottom="1440" w:left="1440" w:header="708" w:footer="708" w:gutter="0"/>
          <w:cols w:space="708"/>
          <w:docGrid w:linePitch="360"/>
        </w:sectPr>
      </w:pPr>
      <w:r w:rsidRPr="00AC4D7B">
        <w:t xml:space="preserve">The current structure includes bringing </w:t>
      </w:r>
      <w:r>
        <w:t xml:space="preserve">South </w:t>
      </w:r>
      <w:proofErr w:type="spellStart"/>
      <w:r>
        <w:t>Ribble</w:t>
      </w:r>
      <w:proofErr w:type="spellEnd"/>
      <w:r>
        <w:t xml:space="preserve"> Council’s leisure services back </w:t>
      </w:r>
      <w:r w:rsidRPr="00AC4D7B">
        <w:t>in-house</w:t>
      </w:r>
      <w:r>
        <w:t xml:space="preserve"> in</w:t>
      </w:r>
      <w:r w:rsidRPr="00AC4D7B">
        <w:t xml:space="preserve"> April 2021. The Council is in the progress of setting up a wholly owned leisure </w:t>
      </w:r>
      <w:r>
        <w:t>company</w:t>
      </w:r>
      <w:r w:rsidRPr="00AC4D7B">
        <w:t xml:space="preserve"> to manage the running of its leisure services on the Council’s behalf.  The current leisure staff will sit in the Commercial &amp; </w:t>
      </w:r>
      <w:r>
        <w:t>P</w:t>
      </w:r>
      <w:r w:rsidRPr="00AC4D7B">
        <w:t>roperty Services Directorate</w:t>
      </w:r>
      <w:r>
        <w:t xml:space="preserve"> until they move in to the wholly owned company</w:t>
      </w:r>
      <w:r w:rsidRPr="00AC4D7B">
        <w:t>.</w:t>
      </w:r>
    </w:p>
    <w:p w14:paraId="0A144163" w14:textId="77777777" w:rsidR="007F5DB3" w:rsidRPr="00AC4D7B" w:rsidRDefault="007F5DB3" w:rsidP="007F5DB3">
      <w:r>
        <w:rPr>
          <w:noProof/>
        </w:rPr>
        <w:lastRenderedPageBreak/>
        <mc:AlternateContent>
          <mc:Choice Requires="wps">
            <w:drawing>
              <wp:anchor distT="0" distB="0" distL="114300" distR="114300" simplePos="0" relativeHeight="251689984" behindDoc="0" locked="0" layoutInCell="1" allowOverlap="1" wp14:anchorId="38A09842" wp14:editId="03FDEFE6">
                <wp:simplePos x="0" y="0"/>
                <wp:positionH relativeFrom="column">
                  <wp:posOffset>581025</wp:posOffset>
                </wp:positionH>
                <wp:positionV relativeFrom="paragraph">
                  <wp:posOffset>4467225</wp:posOffset>
                </wp:positionV>
                <wp:extent cx="2771775" cy="13906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2771775" cy="1390650"/>
                        </a:xfrm>
                        <a:prstGeom prst="rect">
                          <a:avLst/>
                        </a:prstGeom>
                        <a:solidFill>
                          <a:schemeClr val="lt1"/>
                        </a:solidFill>
                        <a:ln w="6350">
                          <a:noFill/>
                        </a:ln>
                      </wps:spPr>
                      <wps:txbx>
                        <w:txbxContent>
                          <w:p w14:paraId="1925FC75" w14:textId="77777777" w:rsidR="002E7B90" w:rsidRDefault="002E7B90" w:rsidP="007F5DB3">
                            <w:r>
                              <w:rPr>
                                <w:noProof/>
                              </w:rPr>
                              <w:drawing>
                                <wp:inline distT="0" distB="0" distL="0" distR="0" wp14:anchorId="3FE5B8D2" wp14:editId="6AF02F12">
                                  <wp:extent cx="2582545" cy="1176020"/>
                                  <wp:effectExtent l="0" t="0" r="825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82545" cy="11760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A09842" id="Text Box 6" o:spid="_x0000_s1028" type="#_x0000_t202" style="position:absolute;left:0;text-align:left;margin-left:45.75pt;margin-top:351.75pt;width:218.25pt;height:109.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" fillcolor="white [3201]" stroked="f" strokeweight=".5pt">
                <v:textbox>
                  <w:txbxContent>
                    <w:p w14:paraId="1925FC75" w14:textId="77777777" w:rsidR="002E7B90" w:rsidRDefault="002E7B90" w:rsidP="007F5DB3">
                      <w:r>
                        <w:rPr>
                          <w:noProof/>
                        </w:rPr>
                        <w:drawing>
                          <wp:inline distT="0" distB="0" distL="0" distR="0" wp14:anchorId="3FE5B8D2" wp14:editId="6AF02F12">
                            <wp:extent cx="2582545" cy="1176020"/>
                            <wp:effectExtent l="0" t="0" r="825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82545" cy="1176020"/>
                                    </a:xfrm>
                                    <a:prstGeom prst="rect">
                                      <a:avLst/>
                                    </a:prstGeom>
                                  </pic:spPr>
                                </pic:pic>
                              </a:graphicData>
                            </a:graphic>
                          </wp:inline>
                        </w:drawing>
                      </w:r>
                    </w:p>
                  </w:txbxContent>
                </v:textbox>
              </v:shape>
            </w:pict>
          </mc:Fallback>
        </mc:AlternateContent>
      </w:r>
      <w:r w:rsidRPr="00AC4D7B">
        <w:rPr>
          <w:noProof/>
        </w:rPr>
        <w:drawing>
          <wp:inline distT="0" distB="0" distL="0" distR="0" wp14:anchorId="3FE90ED1" wp14:editId="6AEA2D9B">
            <wp:extent cx="8863330" cy="53016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863330" cy="5301615"/>
                    </a:xfrm>
                    <a:prstGeom prst="rect">
                      <a:avLst/>
                    </a:prstGeom>
                  </pic:spPr>
                </pic:pic>
              </a:graphicData>
            </a:graphic>
          </wp:inline>
        </w:drawing>
      </w:r>
    </w:p>
    <w:p w14:paraId="461D1E59" w14:textId="77777777" w:rsidR="007F5DB3" w:rsidRPr="00AC4D7B" w:rsidRDefault="007F5DB3" w:rsidP="007F5DB3"/>
    <w:p w14:paraId="66221CB0" w14:textId="77777777" w:rsidR="007F5DB3" w:rsidRPr="00AC4D7B" w:rsidRDefault="007F5DB3" w:rsidP="007F5DB3"/>
    <w:p w14:paraId="45B37C68" w14:textId="77777777" w:rsidR="007F5DB3" w:rsidRPr="00AC4D7B" w:rsidRDefault="007F5DB3" w:rsidP="007F5DB3">
      <w:pPr>
        <w:sectPr w:rsidR="007F5DB3" w:rsidRPr="00AC4D7B" w:rsidSect="00950E2E">
          <w:pgSz w:w="16838" w:h="11906" w:orient="landscape"/>
          <w:pgMar w:top="1440" w:right="1440" w:bottom="1440" w:left="1440" w:header="708" w:footer="708" w:gutter="0"/>
          <w:cols w:space="708"/>
          <w:docGrid w:linePitch="360"/>
        </w:sectPr>
      </w:pPr>
    </w:p>
    <w:p w14:paraId="11B86DE9" w14:textId="77777777" w:rsidR="007F5DB3" w:rsidRPr="00AC4D7B" w:rsidRDefault="007F5DB3" w:rsidP="007F5DB3">
      <w:bookmarkStart w:id="3" w:name="_Hlk48660681"/>
      <w:r w:rsidRPr="00AC4D7B">
        <w:lastRenderedPageBreak/>
        <w:t xml:space="preserve">Our staff are the most important resource we </w:t>
      </w:r>
      <w:proofErr w:type="gramStart"/>
      <w:r w:rsidRPr="00AC4D7B">
        <w:t>have to</w:t>
      </w:r>
      <w:proofErr w:type="gramEnd"/>
      <w:r w:rsidRPr="00AC4D7B">
        <w:t xml:space="preserve"> help us achieve our goals.  The Council employs 437 staff in full time, part time and casual contracts.  A breakdown of our workforce by age and gender is set out in the table below:</w:t>
      </w:r>
    </w:p>
    <w:p w14:paraId="6B5D4C19" w14:textId="77777777" w:rsidR="007F5DB3" w:rsidRPr="00AC4D7B" w:rsidRDefault="007F5DB3" w:rsidP="007F5DB3"/>
    <w:p w14:paraId="753D4DB8" w14:textId="77777777" w:rsidR="007F5DB3" w:rsidRPr="00AC4D7B" w:rsidRDefault="007F5DB3" w:rsidP="007F5DB3">
      <w:pPr>
        <w:rPr>
          <w:b/>
        </w:rPr>
      </w:pPr>
      <w:r w:rsidRPr="00AC4D7B">
        <w:rPr>
          <w:b/>
        </w:rPr>
        <w:t>No. of Employees by Age and Gender.</w:t>
      </w:r>
    </w:p>
    <w:p w14:paraId="4BDB88C0" w14:textId="77777777" w:rsidR="007F5DB3" w:rsidRPr="00AC4D7B" w:rsidRDefault="007F5DB3" w:rsidP="007F5DB3">
      <w:pPr>
        <w:rPr>
          <w:b/>
        </w:rPr>
      </w:pPr>
    </w:p>
    <w:bookmarkEnd w:id="3"/>
    <w:tbl>
      <w:tblPr>
        <w:tblW w:w="7400" w:type="dxa"/>
        <w:tblCellMar>
          <w:left w:w="0" w:type="dxa"/>
          <w:right w:w="0" w:type="dxa"/>
        </w:tblCellMar>
        <w:tblLook w:val="04A0" w:firstRow="1" w:lastRow="0" w:firstColumn="1" w:lastColumn="0" w:noHBand="0" w:noVBand="1"/>
      </w:tblPr>
      <w:tblGrid>
        <w:gridCol w:w="1160"/>
        <w:gridCol w:w="883"/>
        <w:gridCol w:w="1237"/>
        <w:gridCol w:w="858"/>
        <w:gridCol w:w="1202"/>
        <w:gridCol w:w="858"/>
        <w:gridCol w:w="1202"/>
      </w:tblGrid>
      <w:tr w:rsidR="007F5DB3" w:rsidRPr="00AC4D7B" w14:paraId="23AAC39A" w14:textId="77777777" w:rsidTr="007F5DB3">
        <w:trPr>
          <w:trHeight w:val="300"/>
        </w:trPr>
        <w:tc>
          <w:tcPr>
            <w:tcW w:w="1160" w:type="dxa"/>
            <w:noWrap/>
            <w:tcMar>
              <w:top w:w="0" w:type="dxa"/>
              <w:left w:w="108" w:type="dxa"/>
              <w:bottom w:w="0" w:type="dxa"/>
              <w:right w:w="108" w:type="dxa"/>
            </w:tcMar>
            <w:vAlign w:val="bottom"/>
            <w:hideMark/>
          </w:tcPr>
          <w:p w14:paraId="4019FFCC" w14:textId="77777777" w:rsidR="007F5DB3" w:rsidRPr="00AC4D7B" w:rsidRDefault="007F5DB3" w:rsidP="007F5DB3">
            <w:pPr>
              <w:jc w:val="left"/>
              <w:rPr>
                <w:rFonts w:ascii="Times New Roman" w:hAnsi="Times New Roman"/>
                <w:sz w:val="20"/>
                <w:szCs w:val="20"/>
              </w:rPr>
            </w:pPr>
          </w:p>
        </w:tc>
        <w:tc>
          <w:tcPr>
            <w:tcW w:w="2120" w:type="dxa"/>
            <w:gridSpan w:val="2"/>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0770AFA" w14:textId="77777777" w:rsidR="007F5DB3" w:rsidRPr="00AC4D7B" w:rsidRDefault="007F5DB3" w:rsidP="007F5DB3">
            <w:pPr>
              <w:jc w:val="center"/>
              <w:rPr>
                <w:rFonts w:ascii="Calibri" w:eastAsiaTheme="minorHAnsi" w:hAnsi="Calibri" w:cs="Calibri"/>
                <w:b/>
                <w:bCs/>
                <w:color w:val="000000"/>
                <w:szCs w:val="22"/>
              </w:rPr>
            </w:pPr>
            <w:r w:rsidRPr="00AC4D7B">
              <w:rPr>
                <w:b/>
                <w:bCs/>
                <w:color w:val="000000"/>
              </w:rPr>
              <w:t>SRBC</w:t>
            </w:r>
          </w:p>
        </w:tc>
        <w:tc>
          <w:tcPr>
            <w:tcW w:w="206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1ECF8CE" w14:textId="77777777" w:rsidR="007F5DB3" w:rsidRPr="00AC4D7B" w:rsidRDefault="007F5DB3" w:rsidP="007F5DB3">
            <w:pPr>
              <w:jc w:val="center"/>
              <w:rPr>
                <w:b/>
                <w:bCs/>
                <w:color w:val="000000"/>
              </w:rPr>
            </w:pPr>
            <w:r w:rsidRPr="00AC4D7B">
              <w:rPr>
                <w:b/>
                <w:bCs/>
                <w:color w:val="000000"/>
              </w:rPr>
              <w:t>Leisure</w:t>
            </w:r>
          </w:p>
        </w:tc>
        <w:tc>
          <w:tcPr>
            <w:tcW w:w="206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B11C476" w14:textId="77777777" w:rsidR="007F5DB3" w:rsidRPr="00AC4D7B" w:rsidRDefault="007F5DB3" w:rsidP="007F5DB3">
            <w:pPr>
              <w:jc w:val="center"/>
              <w:rPr>
                <w:b/>
                <w:bCs/>
                <w:color w:val="000000"/>
              </w:rPr>
            </w:pPr>
            <w:r w:rsidRPr="00AC4D7B">
              <w:rPr>
                <w:b/>
                <w:bCs/>
                <w:color w:val="000000"/>
              </w:rPr>
              <w:t>Total</w:t>
            </w:r>
          </w:p>
        </w:tc>
      </w:tr>
      <w:tr w:rsidR="007F5DB3" w:rsidRPr="00AC4D7B" w14:paraId="7E036C94" w14:textId="77777777" w:rsidTr="007F5DB3">
        <w:trPr>
          <w:trHeight w:val="300"/>
        </w:trPr>
        <w:tc>
          <w:tcPr>
            <w:tcW w:w="1160" w:type="dxa"/>
            <w:noWrap/>
            <w:tcMar>
              <w:top w:w="0" w:type="dxa"/>
              <w:left w:w="108" w:type="dxa"/>
              <w:bottom w:w="0" w:type="dxa"/>
              <w:right w:w="108" w:type="dxa"/>
            </w:tcMar>
            <w:vAlign w:val="bottom"/>
            <w:hideMark/>
          </w:tcPr>
          <w:p w14:paraId="691EB19A" w14:textId="77777777" w:rsidR="007F5DB3" w:rsidRPr="00AC4D7B" w:rsidRDefault="007F5DB3" w:rsidP="007F5DB3">
            <w:pPr>
              <w:rPr>
                <w:b/>
                <w:bCs/>
                <w:color w:val="000000"/>
              </w:rPr>
            </w:pPr>
          </w:p>
        </w:tc>
        <w:tc>
          <w:tcPr>
            <w:tcW w:w="88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99045CC" w14:textId="77777777" w:rsidR="007F5DB3" w:rsidRPr="00AC4D7B" w:rsidRDefault="007F5DB3" w:rsidP="007F5DB3">
            <w:pPr>
              <w:rPr>
                <w:rFonts w:ascii="Calibri" w:eastAsiaTheme="minorHAnsi" w:hAnsi="Calibri" w:cs="Calibri"/>
                <w:b/>
                <w:bCs/>
                <w:color w:val="000000"/>
                <w:szCs w:val="22"/>
              </w:rPr>
            </w:pPr>
            <w:r w:rsidRPr="00AC4D7B">
              <w:rPr>
                <w:b/>
                <w:bCs/>
                <w:color w:val="000000"/>
              </w:rPr>
              <w:t xml:space="preserve">Male </w:t>
            </w:r>
          </w:p>
        </w:tc>
        <w:tc>
          <w:tcPr>
            <w:tcW w:w="12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D28FAF" w14:textId="77777777" w:rsidR="007F5DB3" w:rsidRPr="00AC4D7B" w:rsidRDefault="007F5DB3" w:rsidP="007F5DB3">
            <w:pPr>
              <w:rPr>
                <w:b/>
                <w:bCs/>
                <w:color w:val="000000"/>
              </w:rPr>
            </w:pPr>
            <w:r w:rsidRPr="00AC4D7B">
              <w:rPr>
                <w:b/>
                <w:bCs/>
                <w:color w:val="000000"/>
              </w:rPr>
              <w:t>Female</w:t>
            </w:r>
          </w:p>
        </w:tc>
        <w:tc>
          <w:tcPr>
            <w:tcW w:w="85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DEE79E" w14:textId="77777777" w:rsidR="007F5DB3" w:rsidRPr="00AC4D7B" w:rsidRDefault="007F5DB3" w:rsidP="007F5DB3">
            <w:pPr>
              <w:rPr>
                <w:b/>
                <w:bCs/>
                <w:color w:val="000000"/>
              </w:rPr>
            </w:pPr>
            <w:r w:rsidRPr="00AC4D7B">
              <w:rPr>
                <w:b/>
                <w:bCs/>
                <w:color w:val="000000"/>
              </w:rPr>
              <w:t>Male</w:t>
            </w:r>
          </w:p>
        </w:tc>
        <w:tc>
          <w:tcPr>
            <w:tcW w:w="120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687756" w14:textId="77777777" w:rsidR="007F5DB3" w:rsidRPr="00AC4D7B" w:rsidRDefault="007F5DB3" w:rsidP="007F5DB3">
            <w:pPr>
              <w:rPr>
                <w:b/>
                <w:bCs/>
                <w:color w:val="000000"/>
              </w:rPr>
            </w:pPr>
            <w:r w:rsidRPr="00AC4D7B">
              <w:rPr>
                <w:b/>
                <w:bCs/>
                <w:color w:val="000000"/>
              </w:rPr>
              <w:t>Female</w:t>
            </w:r>
          </w:p>
        </w:tc>
        <w:tc>
          <w:tcPr>
            <w:tcW w:w="85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B6D70A" w14:textId="77777777" w:rsidR="007F5DB3" w:rsidRPr="00AC4D7B" w:rsidRDefault="007F5DB3" w:rsidP="007F5DB3">
            <w:pPr>
              <w:rPr>
                <w:b/>
                <w:bCs/>
                <w:color w:val="000000"/>
              </w:rPr>
            </w:pPr>
            <w:r w:rsidRPr="00AC4D7B">
              <w:rPr>
                <w:b/>
                <w:bCs/>
                <w:color w:val="000000"/>
              </w:rPr>
              <w:t xml:space="preserve">Male </w:t>
            </w:r>
          </w:p>
        </w:tc>
        <w:tc>
          <w:tcPr>
            <w:tcW w:w="120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646855" w14:textId="77777777" w:rsidR="007F5DB3" w:rsidRPr="00AC4D7B" w:rsidRDefault="007F5DB3" w:rsidP="007F5DB3">
            <w:pPr>
              <w:rPr>
                <w:b/>
                <w:bCs/>
                <w:color w:val="000000"/>
              </w:rPr>
            </w:pPr>
            <w:r w:rsidRPr="00AC4D7B">
              <w:rPr>
                <w:b/>
                <w:bCs/>
                <w:color w:val="000000"/>
              </w:rPr>
              <w:t>Female</w:t>
            </w:r>
          </w:p>
        </w:tc>
      </w:tr>
      <w:tr w:rsidR="007F5DB3" w:rsidRPr="00AC4D7B" w14:paraId="02F041E3" w14:textId="77777777" w:rsidTr="007F5DB3">
        <w:trPr>
          <w:trHeight w:val="300"/>
        </w:trPr>
        <w:tc>
          <w:tcPr>
            <w:tcW w:w="11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4695297" w14:textId="77777777" w:rsidR="007F5DB3" w:rsidRPr="00AC4D7B" w:rsidRDefault="007F5DB3" w:rsidP="007F5DB3">
            <w:pPr>
              <w:rPr>
                <w:b/>
                <w:bCs/>
                <w:color w:val="000000"/>
              </w:rPr>
            </w:pPr>
            <w:r w:rsidRPr="00AC4D7B">
              <w:rPr>
                <w:b/>
                <w:bCs/>
                <w:color w:val="000000"/>
              </w:rPr>
              <w:t>Under 20</w:t>
            </w:r>
          </w:p>
        </w:tc>
        <w:tc>
          <w:tcPr>
            <w:tcW w:w="8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7924931" w14:textId="77777777" w:rsidR="007F5DB3" w:rsidRPr="00AC4D7B" w:rsidRDefault="007F5DB3" w:rsidP="007F5DB3">
            <w:pPr>
              <w:jc w:val="right"/>
              <w:rPr>
                <w:color w:val="000000"/>
              </w:rPr>
            </w:pPr>
            <w:r w:rsidRPr="00AC4D7B">
              <w:rPr>
                <w:color w:val="000000"/>
              </w:rPr>
              <w:t>1</w:t>
            </w:r>
          </w:p>
        </w:tc>
        <w:tc>
          <w:tcPr>
            <w:tcW w:w="12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0EAA95" w14:textId="77777777" w:rsidR="007F5DB3" w:rsidRPr="00AC4D7B" w:rsidRDefault="007F5DB3" w:rsidP="007F5DB3">
            <w:pPr>
              <w:jc w:val="right"/>
              <w:rPr>
                <w:color w:val="000000"/>
              </w:rPr>
            </w:pPr>
            <w:r w:rsidRPr="00AC4D7B">
              <w:rPr>
                <w:color w:val="000000"/>
              </w:rPr>
              <w:t>1</w:t>
            </w:r>
          </w:p>
        </w:tc>
        <w:tc>
          <w:tcPr>
            <w:tcW w:w="85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B2B813" w14:textId="77777777" w:rsidR="007F5DB3" w:rsidRPr="00AC4D7B" w:rsidRDefault="007F5DB3" w:rsidP="007F5DB3">
            <w:pPr>
              <w:jc w:val="right"/>
              <w:rPr>
                <w:color w:val="000000"/>
              </w:rPr>
            </w:pPr>
            <w:r w:rsidRPr="00AC4D7B">
              <w:rPr>
                <w:color w:val="000000"/>
              </w:rPr>
              <w:t>2</w:t>
            </w:r>
          </w:p>
        </w:tc>
        <w:tc>
          <w:tcPr>
            <w:tcW w:w="120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4C6F3E" w14:textId="77777777" w:rsidR="007F5DB3" w:rsidRPr="00AC4D7B" w:rsidRDefault="007F5DB3" w:rsidP="007F5DB3">
            <w:pPr>
              <w:jc w:val="right"/>
              <w:rPr>
                <w:color w:val="000000"/>
              </w:rPr>
            </w:pPr>
            <w:r w:rsidRPr="00AC4D7B">
              <w:rPr>
                <w:color w:val="000000"/>
              </w:rPr>
              <w:t>6</w:t>
            </w:r>
          </w:p>
        </w:tc>
        <w:tc>
          <w:tcPr>
            <w:tcW w:w="85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549328" w14:textId="77777777" w:rsidR="007F5DB3" w:rsidRPr="00AC4D7B" w:rsidRDefault="007F5DB3" w:rsidP="007F5DB3">
            <w:pPr>
              <w:jc w:val="right"/>
              <w:rPr>
                <w:color w:val="000000"/>
              </w:rPr>
            </w:pPr>
            <w:r w:rsidRPr="00AC4D7B">
              <w:rPr>
                <w:color w:val="000000"/>
              </w:rPr>
              <w:t>3</w:t>
            </w:r>
          </w:p>
        </w:tc>
        <w:tc>
          <w:tcPr>
            <w:tcW w:w="120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9E109E" w14:textId="77777777" w:rsidR="007F5DB3" w:rsidRPr="00AC4D7B" w:rsidRDefault="007F5DB3" w:rsidP="007F5DB3">
            <w:pPr>
              <w:jc w:val="right"/>
              <w:rPr>
                <w:color w:val="000000"/>
              </w:rPr>
            </w:pPr>
            <w:r w:rsidRPr="00AC4D7B">
              <w:rPr>
                <w:color w:val="000000"/>
              </w:rPr>
              <w:t>7</w:t>
            </w:r>
          </w:p>
        </w:tc>
      </w:tr>
      <w:tr w:rsidR="007F5DB3" w:rsidRPr="00AC4D7B" w14:paraId="7B3898AF" w14:textId="77777777" w:rsidTr="007F5DB3">
        <w:trPr>
          <w:trHeight w:val="300"/>
        </w:trPr>
        <w:tc>
          <w:tcPr>
            <w:tcW w:w="11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61C55B0" w14:textId="77777777" w:rsidR="007F5DB3" w:rsidRPr="00AC4D7B" w:rsidRDefault="007F5DB3" w:rsidP="007F5DB3">
            <w:pPr>
              <w:rPr>
                <w:b/>
                <w:bCs/>
                <w:color w:val="000000"/>
              </w:rPr>
            </w:pPr>
            <w:r w:rsidRPr="00AC4D7B">
              <w:rPr>
                <w:b/>
                <w:bCs/>
                <w:color w:val="000000"/>
              </w:rPr>
              <w:t>20-29</w:t>
            </w:r>
          </w:p>
        </w:tc>
        <w:tc>
          <w:tcPr>
            <w:tcW w:w="8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1031EF" w14:textId="77777777" w:rsidR="007F5DB3" w:rsidRPr="00AC4D7B" w:rsidRDefault="007F5DB3" w:rsidP="007F5DB3">
            <w:pPr>
              <w:jc w:val="right"/>
              <w:rPr>
                <w:color w:val="000000"/>
              </w:rPr>
            </w:pPr>
            <w:r w:rsidRPr="00AC4D7B">
              <w:rPr>
                <w:color w:val="000000"/>
              </w:rPr>
              <w:t>30</w:t>
            </w:r>
          </w:p>
        </w:tc>
        <w:tc>
          <w:tcPr>
            <w:tcW w:w="12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586502" w14:textId="77777777" w:rsidR="007F5DB3" w:rsidRPr="00AC4D7B" w:rsidRDefault="007F5DB3" w:rsidP="007F5DB3">
            <w:pPr>
              <w:jc w:val="right"/>
              <w:rPr>
                <w:color w:val="000000"/>
              </w:rPr>
            </w:pPr>
            <w:r w:rsidRPr="00AC4D7B">
              <w:rPr>
                <w:color w:val="000000"/>
              </w:rPr>
              <w:t>17</w:t>
            </w:r>
          </w:p>
        </w:tc>
        <w:tc>
          <w:tcPr>
            <w:tcW w:w="85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27C6A2" w14:textId="77777777" w:rsidR="007F5DB3" w:rsidRPr="00AC4D7B" w:rsidRDefault="007F5DB3" w:rsidP="007F5DB3">
            <w:pPr>
              <w:jc w:val="right"/>
              <w:rPr>
                <w:color w:val="000000"/>
              </w:rPr>
            </w:pPr>
            <w:r w:rsidRPr="00AC4D7B">
              <w:rPr>
                <w:color w:val="000000"/>
              </w:rPr>
              <w:t>11</w:t>
            </w:r>
          </w:p>
        </w:tc>
        <w:tc>
          <w:tcPr>
            <w:tcW w:w="120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FC0494" w14:textId="77777777" w:rsidR="007F5DB3" w:rsidRPr="00AC4D7B" w:rsidRDefault="007F5DB3" w:rsidP="007F5DB3">
            <w:pPr>
              <w:jc w:val="right"/>
              <w:rPr>
                <w:color w:val="000000"/>
              </w:rPr>
            </w:pPr>
            <w:r w:rsidRPr="00AC4D7B">
              <w:rPr>
                <w:color w:val="000000"/>
              </w:rPr>
              <w:t>14</w:t>
            </w:r>
          </w:p>
        </w:tc>
        <w:tc>
          <w:tcPr>
            <w:tcW w:w="85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485F6F" w14:textId="77777777" w:rsidR="007F5DB3" w:rsidRPr="00AC4D7B" w:rsidRDefault="007F5DB3" w:rsidP="007F5DB3">
            <w:pPr>
              <w:jc w:val="right"/>
              <w:rPr>
                <w:color w:val="000000"/>
              </w:rPr>
            </w:pPr>
            <w:r w:rsidRPr="00AC4D7B">
              <w:rPr>
                <w:color w:val="000000"/>
              </w:rPr>
              <w:t>41</w:t>
            </w:r>
          </w:p>
        </w:tc>
        <w:tc>
          <w:tcPr>
            <w:tcW w:w="120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81EB9D" w14:textId="77777777" w:rsidR="007F5DB3" w:rsidRPr="00AC4D7B" w:rsidRDefault="007F5DB3" w:rsidP="007F5DB3">
            <w:pPr>
              <w:jc w:val="right"/>
              <w:rPr>
                <w:color w:val="000000"/>
              </w:rPr>
            </w:pPr>
            <w:r w:rsidRPr="00AC4D7B">
              <w:rPr>
                <w:color w:val="000000"/>
              </w:rPr>
              <w:t>31</w:t>
            </w:r>
          </w:p>
        </w:tc>
      </w:tr>
      <w:tr w:rsidR="007F5DB3" w:rsidRPr="00AC4D7B" w14:paraId="5C181F65" w14:textId="77777777" w:rsidTr="007F5DB3">
        <w:trPr>
          <w:trHeight w:val="300"/>
        </w:trPr>
        <w:tc>
          <w:tcPr>
            <w:tcW w:w="11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54669AF" w14:textId="77777777" w:rsidR="007F5DB3" w:rsidRPr="00AC4D7B" w:rsidRDefault="007F5DB3" w:rsidP="007F5DB3">
            <w:pPr>
              <w:rPr>
                <w:b/>
                <w:bCs/>
                <w:color w:val="000000"/>
              </w:rPr>
            </w:pPr>
            <w:r w:rsidRPr="00AC4D7B">
              <w:rPr>
                <w:b/>
                <w:bCs/>
                <w:color w:val="000000"/>
              </w:rPr>
              <w:t>30-39</w:t>
            </w:r>
          </w:p>
        </w:tc>
        <w:tc>
          <w:tcPr>
            <w:tcW w:w="8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513F02" w14:textId="77777777" w:rsidR="007F5DB3" w:rsidRPr="00AC4D7B" w:rsidRDefault="007F5DB3" w:rsidP="007F5DB3">
            <w:pPr>
              <w:jc w:val="right"/>
              <w:rPr>
                <w:color w:val="000000"/>
              </w:rPr>
            </w:pPr>
            <w:r w:rsidRPr="00AC4D7B">
              <w:rPr>
                <w:color w:val="000000"/>
              </w:rPr>
              <w:t>33</w:t>
            </w:r>
          </w:p>
        </w:tc>
        <w:tc>
          <w:tcPr>
            <w:tcW w:w="12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EB00CC" w14:textId="77777777" w:rsidR="007F5DB3" w:rsidRPr="00AC4D7B" w:rsidRDefault="007F5DB3" w:rsidP="007F5DB3">
            <w:pPr>
              <w:jc w:val="right"/>
              <w:rPr>
                <w:color w:val="000000"/>
              </w:rPr>
            </w:pPr>
            <w:r w:rsidRPr="00AC4D7B">
              <w:rPr>
                <w:color w:val="000000"/>
              </w:rPr>
              <w:t>33</w:t>
            </w:r>
          </w:p>
        </w:tc>
        <w:tc>
          <w:tcPr>
            <w:tcW w:w="85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8A807A" w14:textId="77777777" w:rsidR="007F5DB3" w:rsidRPr="00AC4D7B" w:rsidRDefault="007F5DB3" w:rsidP="007F5DB3">
            <w:pPr>
              <w:jc w:val="right"/>
              <w:rPr>
                <w:color w:val="000000"/>
              </w:rPr>
            </w:pPr>
            <w:r w:rsidRPr="00AC4D7B">
              <w:rPr>
                <w:color w:val="000000"/>
              </w:rPr>
              <w:t>7</w:t>
            </w:r>
          </w:p>
        </w:tc>
        <w:tc>
          <w:tcPr>
            <w:tcW w:w="120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6FB798" w14:textId="77777777" w:rsidR="007F5DB3" w:rsidRPr="00AC4D7B" w:rsidRDefault="007F5DB3" w:rsidP="007F5DB3">
            <w:pPr>
              <w:jc w:val="right"/>
              <w:rPr>
                <w:color w:val="000000"/>
              </w:rPr>
            </w:pPr>
            <w:r w:rsidRPr="00AC4D7B">
              <w:rPr>
                <w:color w:val="000000"/>
              </w:rPr>
              <w:t>9</w:t>
            </w:r>
          </w:p>
        </w:tc>
        <w:tc>
          <w:tcPr>
            <w:tcW w:w="85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E2EB95" w14:textId="77777777" w:rsidR="007F5DB3" w:rsidRPr="00AC4D7B" w:rsidRDefault="007F5DB3" w:rsidP="007F5DB3">
            <w:pPr>
              <w:jc w:val="right"/>
              <w:rPr>
                <w:color w:val="000000"/>
              </w:rPr>
            </w:pPr>
            <w:r w:rsidRPr="00AC4D7B">
              <w:rPr>
                <w:color w:val="000000"/>
              </w:rPr>
              <w:t>40</w:t>
            </w:r>
          </w:p>
        </w:tc>
        <w:tc>
          <w:tcPr>
            <w:tcW w:w="120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7470CD" w14:textId="77777777" w:rsidR="007F5DB3" w:rsidRPr="00AC4D7B" w:rsidRDefault="007F5DB3" w:rsidP="007F5DB3">
            <w:pPr>
              <w:jc w:val="right"/>
              <w:rPr>
                <w:color w:val="000000"/>
              </w:rPr>
            </w:pPr>
            <w:r w:rsidRPr="00AC4D7B">
              <w:rPr>
                <w:color w:val="000000"/>
              </w:rPr>
              <w:t>42</w:t>
            </w:r>
          </w:p>
        </w:tc>
      </w:tr>
      <w:tr w:rsidR="007F5DB3" w:rsidRPr="00AC4D7B" w14:paraId="2788650B" w14:textId="77777777" w:rsidTr="007F5DB3">
        <w:trPr>
          <w:trHeight w:val="300"/>
        </w:trPr>
        <w:tc>
          <w:tcPr>
            <w:tcW w:w="11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4794501" w14:textId="77777777" w:rsidR="007F5DB3" w:rsidRPr="00AC4D7B" w:rsidRDefault="007F5DB3" w:rsidP="007F5DB3">
            <w:pPr>
              <w:rPr>
                <w:b/>
                <w:bCs/>
                <w:color w:val="000000"/>
              </w:rPr>
            </w:pPr>
            <w:r w:rsidRPr="00AC4D7B">
              <w:rPr>
                <w:b/>
                <w:bCs/>
                <w:color w:val="000000"/>
              </w:rPr>
              <w:t>40-49</w:t>
            </w:r>
          </w:p>
        </w:tc>
        <w:tc>
          <w:tcPr>
            <w:tcW w:w="8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58ECA3" w14:textId="77777777" w:rsidR="007F5DB3" w:rsidRPr="00AC4D7B" w:rsidRDefault="007F5DB3" w:rsidP="007F5DB3">
            <w:pPr>
              <w:jc w:val="right"/>
              <w:rPr>
                <w:color w:val="000000"/>
              </w:rPr>
            </w:pPr>
            <w:r w:rsidRPr="00AC4D7B">
              <w:rPr>
                <w:color w:val="000000"/>
              </w:rPr>
              <w:t>38</w:t>
            </w:r>
          </w:p>
        </w:tc>
        <w:tc>
          <w:tcPr>
            <w:tcW w:w="12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7B08AC" w14:textId="77777777" w:rsidR="007F5DB3" w:rsidRPr="00AC4D7B" w:rsidRDefault="007F5DB3" w:rsidP="007F5DB3">
            <w:pPr>
              <w:jc w:val="right"/>
              <w:rPr>
                <w:color w:val="000000"/>
              </w:rPr>
            </w:pPr>
            <w:r w:rsidRPr="00AC4D7B">
              <w:rPr>
                <w:color w:val="000000"/>
              </w:rPr>
              <w:t>45</w:t>
            </w:r>
          </w:p>
        </w:tc>
        <w:tc>
          <w:tcPr>
            <w:tcW w:w="85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08980E" w14:textId="77777777" w:rsidR="007F5DB3" w:rsidRPr="00AC4D7B" w:rsidRDefault="007F5DB3" w:rsidP="007F5DB3">
            <w:pPr>
              <w:jc w:val="right"/>
              <w:rPr>
                <w:color w:val="000000"/>
              </w:rPr>
            </w:pPr>
            <w:r w:rsidRPr="00AC4D7B">
              <w:rPr>
                <w:color w:val="000000"/>
              </w:rPr>
              <w:t>4</w:t>
            </w:r>
          </w:p>
        </w:tc>
        <w:tc>
          <w:tcPr>
            <w:tcW w:w="120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BE4EBF" w14:textId="77777777" w:rsidR="007F5DB3" w:rsidRPr="00AC4D7B" w:rsidRDefault="007F5DB3" w:rsidP="007F5DB3">
            <w:pPr>
              <w:jc w:val="right"/>
              <w:rPr>
                <w:color w:val="000000"/>
              </w:rPr>
            </w:pPr>
            <w:r w:rsidRPr="00AC4D7B">
              <w:rPr>
                <w:color w:val="000000"/>
              </w:rPr>
              <w:t>13</w:t>
            </w:r>
          </w:p>
        </w:tc>
        <w:tc>
          <w:tcPr>
            <w:tcW w:w="85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DF9A08" w14:textId="77777777" w:rsidR="007F5DB3" w:rsidRPr="00AC4D7B" w:rsidRDefault="007F5DB3" w:rsidP="007F5DB3">
            <w:pPr>
              <w:jc w:val="right"/>
              <w:rPr>
                <w:color w:val="000000"/>
              </w:rPr>
            </w:pPr>
            <w:r w:rsidRPr="00AC4D7B">
              <w:rPr>
                <w:color w:val="000000"/>
              </w:rPr>
              <w:t>42</w:t>
            </w:r>
          </w:p>
        </w:tc>
        <w:tc>
          <w:tcPr>
            <w:tcW w:w="120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24D191" w14:textId="77777777" w:rsidR="007F5DB3" w:rsidRPr="00AC4D7B" w:rsidRDefault="007F5DB3" w:rsidP="007F5DB3">
            <w:pPr>
              <w:jc w:val="right"/>
              <w:rPr>
                <w:color w:val="000000"/>
              </w:rPr>
            </w:pPr>
            <w:r w:rsidRPr="00AC4D7B">
              <w:rPr>
                <w:color w:val="000000"/>
              </w:rPr>
              <w:t>58</w:t>
            </w:r>
          </w:p>
        </w:tc>
      </w:tr>
      <w:tr w:rsidR="007F5DB3" w:rsidRPr="00AC4D7B" w14:paraId="512A7D44" w14:textId="77777777" w:rsidTr="007F5DB3">
        <w:trPr>
          <w:trHeight w:val="300"/>
        </w:trPr>
        <w:tc>
          <w:tcPr>
            <w:tcW w:w="11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69927C5" w14:textId="77777777" w:rsidR="007F5DB3" w:rsidRPr="00AC4D7B" w:rsidRDefault="007F5DB3" w:rsidP="007F5DB3">
            <w:pPr>
              <w:rPr>
                <w:b/>
                <w:bCs/>
                <w:color w:val="000000"/>
              </w:rPr>
            </w:pPr>
            <w:r w:rsidRPr="00AC4D7B">
              <w:rPr>
                <w:b/>
                <w:bCs/>
                <w:color w:val="000000"/>
              </w:rPr>
              <w:t>50-54</w:t>
            </w:r>
          </w:p>
        </w:tc>
        <w:tc>
          <w:tcPr>
            <w:tcW w:w="8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978310" w14:textId="77777777" w:rsidR="007F5DB3" w:rsidRPr="00AC4D7B" w:rsidRDefault="007F5DB3" w:rsidP="007F5DB3">
            <w:pPr>
              <w:jc w:val="right"/>
              <w:rPr>
                <w:color w:val="000000"/>
              </w:rPr>
            </w:pPr>
            <w:r w:rsidRPr="00AC4D7B">
              <w:rPr>
                <w:color w:val="000000"/>
              </w:rPr>
              <w:t>19</w:t>
            </w:r>
          </w:p>
        </w:tc>
        <w:tc>
          <w:tcPr>
            <w:tcW w:w="12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8BD620" w14:textId="77777777" w:rsidR="007F5DB3" w:rsidRPr="00AC4D7B" w:rsidRDefault="007F5DB3" w:rsidP="007F5DB3">
            <w:pPr>
              <w:jc w:val="right"/>
              <w:rPr>
                <w:color w:val="000000"/>
              </w:rPr>
            </w:pPr>
            <w:r w:rsidRPr="00AC4D7B">
              <w:rPr>
                <w:color w:val="000000"/>
              </w:rPr>
              <w:t>21</w:t>
            </w:r>
          </w:p>
        </w:tc>
        <w:tc>
          <w:tcPr>
            <w:tcW w:w="85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A2773F" w14:textId="77777777" w:rsidR="007F5DB3" w:rsidRPr="00AC4D7B" w:rsidRDefault="007F5DB3" w:rsidP="007F5DB3">
            <w:pPr>
              <w:jc w:val="right"/>
              <w:rPr>
                <w:color w:val="000000"/>
              </w:rPr>
            </w:pPr>
            <w:r w:rsidRPr="00AC4D7B">
              <w:rPr>
                <w:color w:val="000000"/>
              </w:rPr>
              <w:t>7</w:t>
            </w:r>
          </w:p>
        </w:tc>
        <w:tc>
          <w:tcPr>
            <w:tcW w:w="120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C57BC3" w14:textId="77777777" w:rsidR="007F5DB3" w:rsidRPr="00AC4D7B" w:rsidRDefault="007F5DB3" w:rsidP="007F5DB3">
            <w:pPr>
              <w:jc w:val="right"/>
              <w:rPr>
                <w:color w:val="000000"/>
              </w:rPr>
            </w:pPr>
            <w:r w:rsidRPr="00AC4D7B">
              <w:rPr>
                <w:color w:val="000000"/>
              </w:rPr>
              <w:t>7</w:t>
            </w:r>
          </w:p>
        </w:tc>
        <w:tc>
          <w:tcPr>
            <w:tcW w:w="85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29B371" w14:textId="77777777" w:rsidR="007F5DB3" w:rsidRPr="00AC4D7B" w:rsidRDefault="007F5DB3" w:rsidP="007F5DB3">
            <w:pPr>
              <w:jc w:val="right"/>
              <w:rPr>
                <w:color w:val="000000"/>
              </w:rPr>
            </w:pPr>
            <w:r w:rsidRPr="00AC4D7B">
              <w:rPr>
                <w:color w:val="000000"/>
              </w:rPr>
              <w:t>26</w:t>
            </w:r>
          </w:p>
        </w:tc>
        <w:tc>
          <w:tcPr>
            <w:tcW w:w="120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D5DA75" w14:textId="77777777" w:rsidR="007F5DB3" w:rsidRPr="00AC4D7B" w:rsidRDefault="007F5DB3" w:rsidP="007F5DB3">
            <w:pPr>
              <w:jc w:val="right"/>
              <w:rPr>
                <w:color w:val="000000"/>
              </w:rPr>
            </w:pPr>
            <w:r w:rsidRPr="00AC4D7B">
              <w:rPr>
                <w:color w:val="000000"/>
              </w:rPr>
              <w:t>28</w:t>
            </w:r>
          </w:p>
        </w:tc>
      </w:tr>
      <w:tr w:rsidR="007F5DB3" w:rsidRPr="00AC4D7B" w14:paraId="55424E55" w14:textId="77777777" w:rsidTr="007F5DB3">
        <w:trPr>
          <w:trHeight w:val="300"/>
        </w:trPr>
        <w:tc>
          <w:tcPr>
            <w:tcW w:w="11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6146D79" w14:textId="77777777" w:rsidR="007F5DB3" w:rsidRPr="00AC4D7B" w:rsidRDefault="007F5DB3" w:rsidP="007F5DB3">
            <w:pPr>
              <w:rPr>
                <w:b/>
                <w:bCs/>
                <w:color w:val="000000"/>
              </w:rPr>
            </w:pPr>
            <w:r w:rsidRPr="00AC4D7B">
              <w:rPr>
                <w:b/>
                <w:bCs/>
                <w:color w:val="000000"/>
              </w:rPr>
              <w:t>55-59</w:t>
            </w:r>
          </w:p>
        </w:tc>
        <w:tc>
          <w:tcPr>
            <w:tcW w:w="8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B897A5" w14:textId="77777777" w:rsidR="007F5DB3" w:rsidRPr="00AC4D7B" w:rsidRDefault="007F5DB3" w:rsidP="007F5DB3">
            <w:pPr>
              <w:jc w:val="right"/>
              <w:rPr>
                <w:color w:val="000000"/>
              </w:rPr>
            </w:pPr>
            <w:r w:rsidRPr="00AC4D7B">
              <w:rPr>
                <w:color w:val="000000"/>
              </w:rPr>
              <w:t>24</w:t>
            </w:r>
          </w:p>
        </w:tc>
        <w:tc>
          <w:tcPr>
            <w:tcW w:w="12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9E62DF" w14:textId="77777777" w:rsidR="007F5DB3" w:rsidRPr="00AC4D7B" w:rsidRDefault="007F5DB3" w:rsidP="007F5DB3">
            <w:pPr>
              <w:jc w:val="right"/>
              <w:rPr>
                <w:color w:val="000000"/>
              </w:rPr>
            </w:pPr>
            <w:r w:rsidRPr="00AC4D7B">
              <w:rPr>
                <w:color w:val="000000"/>
              </w:rPr>
              <w:t>31</w:t>
            </w:r>
          </w:p>
        </w:tc>
        <w:tc>
          <w:tcPr>
            <w:tcW w:w="85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43B4E5" w14:textId="77777777" w:rsidR="007F5DB3" w:rsidRPr="00AC4D7B" w:rsidRDefault="007F5DB3" w:rsidP="007F5DB3">
            <w:pPr>
              <w:jc w:val="right"/>
              <w:rPr>
                <w:color w:val="000000"/>
              </w:rPr>
            </w:pPr>
            <w:r w:rsidRPr="00AC4D7B">
              <w:rPr>
                <w:color w:val="000000"/>
              </w:rPr>
              <w:t>2</w:t>
            </w:r>
          </w:p>
        </w:tc>
        <w:tc>
          <w:tcPr>
            <w:tcW w:w="120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7F6B4A" w14:textId="77777777" w:rsidR="007F5DB3" w:rsidRPr="00AC4D7B" w:rsidRDefault="007F5DB3" w:rsidP="007F5DB3">
            <w:pPr>
              <w:jc w:val="right"/>
              <w:rPr>
                <w:color w:val="000000"/>
              </w:rPr>
            </w:pPr>
            <w:r w:rsidRPr="00AC4D7B">
              <w:rPr>
                <w:color w:val="000000"/>
              </w:rPr>
              <w:t>6</w:t>
            </w:r>
          </w:p>
        </w:tc>
        <w:tc>
          <w:tcPr>
            <w:tcW w:w="85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43D545" w14:textId="77777777" w:rsidR="007F5DB3" w:rsidRPr="00AC4D7B" w:rsidRDefault="007F5DB3" w:rsidP="007F5DB3">
            <w:pPr>
              <w:jc w:val="right"/>
              <w:rPr>
                <w:color w:val="000000"/>
              </w:rPr>
            </w:pPr>
            <w:r w:rsidRPr="00AC4D7B">
              <w:rPr>
                <w:color w:val="000000"/>
              </w:rPr>
              <w:t>26</w:t>
            </w:r>
          </w:p>
        </w:tc>
        <w:tc>
          <w:tcPr>
            <w:tcW w:w="120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598B50" w14:textId="77777777" w:rsidR="007F5DB3" w:rsidRPr="00AC4D7B" w:rsidRDefault="007F5DB3" w:rsidP="007F5DB3">
            <w:pPr>
              <w:jc w:val="right"/>
              <w:rPr>
                <w:color w:val="000000"/>
              </w:rPr>
            </w:pPr>
            <w:r w:rsidRPr="00AC4D7B">
              <w:rPr>
                <w:color w:val="000000"/>
              </w:rPr>
              <w:t>37</w:t>
            </w:r>
          </w:p>
        </w:tc>
      </w:tr>
      <w:tr w:rsidR="007F5DB3" w:rsidRPr="00AC4D7B" w14:paraId="3EE6091F" w14:textId="77777777" w:rsidTr="007F5DB3">
        <w:trPr>
          <w:trHeight w:val="300"/>
        </w:trPr>
        <w:tc>
          <w:tcPr>
            <w:tcW w:w="11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BC3FDA6" w14:textId="77777777" w:rsidR="007F5DB3" w:rsidRPr="00AC4D7B" w:rsidRDefault="007F5DB3" w:rsidP="007F5DB3">
            <w:pPr>
              <w:rPr>
                <w:b/>
                <w:bCs/>
                <w:color w:val="000000"/>
              </w:rPr>
            </w:pPr>
            <w:r w:rsidRPr="00AC4D7B">
              <w:rPr>
                <w:b/>
                <w:bCs/>
                <w:color w:val="000000"/>
              </w:rPr>
              <w:t>60+</w:t>
            </w:r>
          </w:p>
        </w:tc>
        <w:tc>
          <w:tcPr>
            <w:tcW w:w="8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E6C349" w14:textId="77777777" w:rsidR="007F5DB3" w:rsidRPr="00AC4D7B" w:rsidRDefault="007F5DB3" w:rsidP="007F5DB3">
            <w:pPr>
              <w:jc w:val="right"/>
              <w:rPr>
                <w:color w:val="000000"/>
              </w:rPr>
            </w:pPr>
            <w:r w:rsidRPr="00AC4D7B">
              <w:rPr>
                <w:color w:val="000000"/>
              </w:rPr>
              <w:t>19</w:t>
            </w:r>
          </w:p>
        </w:tc>
        <w:tc>
          <w:tcPr>
            <w:tcW w:w="12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DEBCA2" w14:textId="77777777" w:rsidR="007F5DB3" w:rsidRPr="00AC4D7B" w:rsidRDefault="007F5DB3" w:rsidP="007F5DB3">
            <w:pPr>
              <w:jc w:val="right"/>
              <w:rPr>
                <w:color w:val="000000"/>
              </w:rPr>
            </w:pPr>
            <w:r w:rsidRPr="00AC4D7B">
              <w:rPr>
                <w:color w:val="000000"/>
              </w:rPr>
              <w:t>22</w:t>
            </w:r>
          </w:p>
        </w:tc>
        <w:tc>
          <w:tcPr>
            <w:tcW w:w="85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F76905" w14:textId="77777777" w:rsidR="007F5DB3" w:rsidRPr="00AC4D7B" w:rsidRDefault="007F5DB3" w:rsidP="007F5DB3">
            <w:pPr>
              <w:jc w:val="right"/>
              <w:rPr>
                <w:color w:val="000000"/>
              </w:rPr>
            </w:pPr>
            <w:r w:rsidRPr="00AC4D7B">
              <w:rPr>
                <w:color w:val="000000"/>
              </w:rPr>
              <w:t>5</w:t>
            </w:r>
          </w:p>
        </w:tc>
        <w:tc>
          <w:tcPr>
            <w:tcW w:w="120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84BA4E" w14:textId="77777777" w:rsidR="007F5DB3" w:rsidRPr="00AC4D7B" w:rsidRDefault="007F5DB3" w:rsidP="007F5DB3">
            <w:pPr>
              <w:jc w:val="right"/>
              <w:rPr>
                <w:color w:val="000000"/>
              </w:rPr>
            </w:pPr>
            <w:r w:rsidRPr="00AC4D7B">
              <w:rPr>
                <w:color w:val="000000"/>
              </w:rPr>
              <w:t>10</w:t>
            </w:r>
          </w:p>
        </w:tc>
        <w:tc>
          <w:tcPr>
            <w:tcW w:w="85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EC4C35" w14:textId="77777777" w:rsidR="007F5DB3" w:rsidRPr="00AC4D7B" w:rsidRDefault="007F5DB3" w:rsidP="007F5DB3">
            <w:pPr>
              <w:jc w:val="right"/>
              <w:rPr>
                <w:color w:val="000000"/>
              </w:rPr>
            </w:pPr>
            <w:r w:rsidRPr="00AC4D7B">
              <w:rPr>
                <w:color w:val="000000"/>
              </w:rPr>
              <w:t>24</w:t>
            </w:r>
          </w:p>
        </w:tc>
        <w:tc>
          <w:tcPr>
            <w:tcW w:w="120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344920" w14:textId="77777777" w:rsidR="007F5DB3" w:rsidRPr="00AC4D7B" w:rsidRDefault="007F5DB3" w:rsidP="007F5DB3">
            <w:pPr>
              <w:jc w:val="right"/>
              <w:rPr>
                <w:color w:val="000000"/>
              </w:rPr>
            </w:pPr>
            <w:r w:rsidRPr="00AC4D7B">
              <w:rPr>
                <w:color w:val="000000"/>
              </w:rPr>
              <w:t>32</w:t>
            </w:r>
          </w:p>
        </w:tc>
      </w:tr>
      <w:tr w:rsidR="007F5DB3" w:rsidRPr="00AC4D7B" w14:paraId="0A24449A" w14:textId="77777777" w:rsidTr="007F5DB3">
        <w:trPr>
          <w:trHeight w:val="300"/>
        </w:trPr>
        <w:tc>
          <w:tcPr>
            <w:tcW w:w="11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9F8C274" w14:textId="77777777" w:rsidR="007F5DB3" w:rsidRPr="00AC4D7B" w:rsidRDefault="007F5DB3" w:rsidP="007F5DB3">
            <w:pPr>
              <w:rPr>
                <w:b/>
                <w:bCs/>
                <w:color w:val="000000"/>
              </w:rPr>
            </w:pPr>
            <w:r w:rsidRPr="00AC4D7B">
              <w:rPr>
                <w:b/>
                <w:bCs/>
                <w:color w:val="000000"/>
              </w:rPr>
              <w:t>Total</w:t>
            </w:r>
          </w:p>
        </w:tc>
        <w:tc>
          <w:tcPr>
            <w:tcW w:w="8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48ADF6" w14:textId="77777777" w:rsidR="007F5DB3" w:rsidRPr="00AC4D7B" w:rsidRDefault="007F5DB3" w:rsidP="007F5DB3">
            <w:pPr>
              <w:jc w:val="right"/>
              <w:rPr>
                <w:b/>
                <w:bCs/>
                <w:color w:val="000000"/>
              </w:rPr>
            </w:pPr>
            <w:r w:rsidRPr="00AC4D7B">
              <w:rPr>
                <w:b/>
                <w:bCs/>
                <w:color w:val="000000"/>
              </w:rPr>
              <w:t>164</w:t>
            </w:r>
          </w:p>
        </w:tc>
        <w:tc>
          <w:tcPr>
            <w:tcW w:w="12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469DB2" w14:textId="77777777" w:rsidR="007F5DB3" w:rsidRPr="00AC4D7B" w:rsidRDefault="007F5DB3" w:rsidP="007F5DB3">
            <w:pPr>
              <w:jc w:val="right"/>
              <w:rPr>
                <w:b/>
                <w:bCs/>
                <w:color w:val="000000"/>
              </w:rPr>
            </w:pPr>
            <w:r w:rsidRPr="00AC4D7B">
              <w:rPr>
                <w:b/>
                <w:bCs/>
                <w:color w:val="000000"/>
              </w:rPr>
              <w:t>170</w:t>
            </w:r>
          </w:p>
        </w:tc>
        <w:tc>
          <w:tcPr>
            <w:tcW w:w="85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1C7BB9" w14:textId="77777777" w:rsidR="007F5DB3" w:rsidRPr="00AC4D7B" w:rsidRDefault="007F5DB3" w:rsidP="007F5DB3">
            <w:pPr>
              <w:jc w:val="right"/>
              <w:rPr>
                <w:b/>
                <w:bCs/>
                <w:color w:val="000000"/>
              </w:rPr>
            </w:pPr>
            <w:r w:rsidRPr="00AC4D7B">
              <w:rPr>
                <w:b/>
                <w:bCs/>
                <w:color w:val="000000"/>
              </w:rPr>
              <w:t>38</w:t>
            </w:r>
          </w:p>
        </w:tc>
        <w:tc>
          <w:tcPr>
            <w:tcW w:w="120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C33BAD" w14:textId="77777777" w:rsidR="007F5DB3" w:rsidRPr="00AC4D7B" w:rsidRDefault="007F5DB3" w:rsidP="007F5DB3">
            <w:pPr>
              <w:jc w:val="right"/>
              <w:rPr>
                <w:b/>
                <w:bCs/>
                <w:color w:val="000000"/>
              </w:rPr>
            </w:pPr>
            <w:r w:rsidRPr="00AC4D7B">
              <w:rPr>
                <w:b/>
                <w:bCs/>
                <w:color w:val="000000"/>
              </w:rPr>
              <w:t>65</w:t>
            </w:r>
          </w:p>
        </w:tc>
        <w:tc>
          <w:tcPr>
            <w:tcW w:w="85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1D54306" w14:textId="77777777" w:rsidR="007F5DB3" w:rsidRPr="00AC4D7B" w:rsidRDefault="007F5DB3" w:rsidP="007F5DB3">
            <w:pPr>
              <w:jc w:val="right"/>
              <w:rPr>
                <w:b/>
                <w:bCs/>
                <w:color w:val="000000"/>
              </w:rPr>
            </w:pPr>
            <w:r w:rsidRPr="00AC4D7B">
              <w:rPr>
                <w:b/>
                <w:bCs/>
                <w:color w:val="000000"/>
              </w:rPr>
              <w:t>202</w:t>
            </w:r>
          </w:p>
        </w:tc>
        <w:tc>
          <w:tcPr>
            <w:tcW w:w="120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791B96" w14:textId="77777777" w:rsidR="007F5DB3" w:rsidRPr="00AC4D7B" w:rsidRDefault="007F5DB3" w:rsidP="007F5DB3">
            <w:pPr>
              <w:jc w:val="right"/>
              <w:rPr>
                <w:b/>
                <w:bCs/>
                <w:color w:val="000000"/>
              </w:rPr>
            </w:pPr>
            <w:r w:rsidRPr="00AC4D7B">
              <w:rPr>
                <w:b/>
                <w:bCs/>
                <w:color w:val="000000"/>
              </w:rPr>
              <w:t>235</w:t>
            </w:r>
          </w:p>
        </w:tc>
      </w:tr>
    </w:tbl>
    <w:p w14:paraId="2C688C22" w14:textId="77777777" w:rsidR="007F5DB3" w:rsidRPr="00AC4D7B" w:rsidRDefault="007F5DB3" w:rsidP="007F5DB3">
      <w:pPr>
        <w:rPr>
          <w:b/>
        </w:rPr>
      </w:pPr>
    </w:p>
    <w:p w14:paraId="41D4B311" w14:textId="77777777" w:rsidR="007F5DB3" w:rsidRPr="00AC4D7B" w:rsidRDefault="007F5DB3" w:rsidP="007F5DB3"/>
    <w:p w14:paraId="17E66E4B" w14:textId="77777777" w:rsidR="007F5DB3" w:rsidRPr="00AC4D7B" w:rsidRDefault="007F5DB3" w:rsidP="007F5DB3">
      <w:pPr>
        <w:pStyle w:val="Heading3"/>
        <w:rPr>
          <w:noProof w:val="0"/>
        </w:rPr>
      </w:pPr>
      <w:r w:rsidRPr="00AC4D7B">
        <w:rPr>
          <w:noProof w:val="0"/>
        </w:rPr>
        <w:t>Corporate Plan and Performance in 2020/21</w:t>
      </w:r>
    </w:p>
    <w:p w14:paraId="7E21E1EC" w14:textId="77777777" w:rsidR="007F5DB3" w:rsidRPr="00AC4D7B" w:rsidRDefault="007F5DB3" w:rsidP="007F5DB3">
      <w:pPr>
        <w:ind w:right="-472"/>
        <w:rPr>
          <w:rFonts w:cs="Arial"/>
          <w:szCs w:val="22"/>
        </w:rPr>
      </w:pPr>
    </w:p>
    <w:p w14:paraId="74E52127" w14:textId="77777777" w:rsidR="007F5DB3" w:rsidRPr="00AC4D7B" w:rsidRDefault="007F5DB3" w:rsidP="007F5DB3">
      <w:pPr>
        <w:ind w:right="-1"/>
      </w:pPr>
      <w:r w:rsidRPr="00AC4D7B">
        <w:t>The Annual Corporate Plan Performance report for 2020/21 will be presented to Full Council at the end of September 2021. The report will provide an overview of how the Council performed against the identified deliverables for 2020/21, within the 2020/21 to 2022/23 Corporate Plan, which was reviewed and refreshed part way through the year, following an election and new administration. The refresh of the Corporate Plan was completed and approved by Council in September 2020. Reporting is based on the refreshed Corporate Plan and Objectives.</w:t>
      </w:r>
    </w:p>
    <w:p w14:paraId="1535D047" w14:textId="77777777" w:rsidR="007F5DB3" w:rsidRPr="00AC4D7B" w:rsidRDefault="007F5DB3" w:rsidP="007F5DB3">
      <w:pPr>
        <w:ind w:right="-1"/>
      </w:pPr>
    </w:p>
    <w:p w14:paraId="4C83F80D" w14:textId="77777777" w:rsidR="007F5DB3" w:rsidRPr="00AC4D7B" w:rsidRDefault="007F5DB3" w:rsidP="007F5DB3">
      <w:pPr>
        <w:ind w:right="-1"/>
      </w:pPr>
      <w:r w:rsidRPr="00AC4D7B">
        <w:t xml:space="preserve">In summary, the Council has made good progress during the year, although it is important to understand that many of these Corporate Plan projects run across multiple years, </w:t>
      </w:r>
      <w:r w:rsidRPr="00AC4D7B">
        <w:lastRenderedPageBreak/>
        <w:t xml:space="preserve">therefore a significant amount of the work completed to date has been at a strategic planning and consultation level. Although this process can be time intensive, South </w:t>
      </w:r>
      <w:proofErr w:type="spellStart"/>
      <w:r w:rsidRPr="00AC4D7B">
        <w:t>Ribble</w:t>
      </w:r>
      <w:proofErr w:type="spellEnd"/>
      <w:r w:rsidRPr="00AC4D7B">
        <w:t xml:space="preserve"> Borough Council is committed to ensuring that the projects delivered meet the needs of South </w:t>
      </w:r>
      <w:proofErr w:type="spellStart"/>
      <w:r w:rsidRPr="00AC4D7B">
        <w:t>Ribble’s</w:t>
      </w:r>
      <w:proofErr w:type="spellEnd"/>
      <w:r w:rsidRPr="00AC4D7B">
        <w:t xml:space="preserve"> communities. With</w:t>
      </w:r>
      <w:r>
        <w:t>in</w:t>
      </w:r>
      <w:r w:rsidRPr="00AC4D7B">
        <w:t xml:space="preserve"> the Corporate Plan, some projects are delivered directly by the Council itself, while others are led by other organisations, with the Council playing a supporting or influencing role.</w:t>
      </w:r>
    </w:p>
    <w:p w14:paraId="7DCFF6C4" w14:textId="77777777" w:rsidR="007F5DB3" w:rsidRPr="00AC4D7B" w:rsidRDefault="007F5DB3" w:rsidP="007F5DB3">
      <w:pPr>
        <w:ind w:right="-1"/>
      </w:pPr>
    </w:p>
    <w:p w14:paraId="2E3ABA8F" w14:textId="77777777" w:rsidR="007F5DB3" w:rsidRPr="00AC4D7B" w:rsidRDefault="007F5DB3" w:rsidP="007F5DB3">
      <w:pPr>
        <w:ind w:right="-1"/>
      </w:pPr>
      <w:r w:rsidRPr="00AC4D7B">
        <w:t>The Corporate Plan is delivered with the purpose to achieve the Council’s vision and ambition.</w:t>
      </w:r>
    </w:p>
    <w:p w14:paraId="1E13D572" w14:textId="77777777" w:rsidR="007F5DB3" w:rsidRPr="00AC4D7B" w:rsidRDefault="007F5DB3" w:rsidP="007F5DB3">
      <w:pPr>
        <w:ind w:right="-1"/>
      </w:pPr>
    </w:p>
    <w:p w14:paraId="79F0338D" w14:textId="77777777" w:rsidR="007F5DB3" w:rsidRPr="00AC4D7B" w:rsidRDefault="007F5DB3" w:rsidP="007F5DB3">
      <w:pPr>
        <w:ind w:right="-1"/>
      </w:pPr>
      <w:r w:rsidRPr="00AC4D7B">
        <w:t>This refreshed vision and priorities are outlined below.</w:t>
      </w:r>
    </w:p>
    <w:p w14:paraId="0EF6B0D2" w14:textId="77777777" w:rsidR="007F5DB3" w:rsidRPr="00AC4D7B" w:rsidRDefault="007F5DB3" w:rsidP="007F5DB3">
      <w:pPr>
        <w:ind w:right="-1"/>
        <w:rPr>
          <w:b/>
          <w:bCs/>
        </w:rPr>
        <w:sectPr w:rsidR="007F5DB3" w:rsidRPr="00AC4D7B" w:rsidSect="007F5DB3">
          <w:footerReference w:type="first" r:id="rId14"/>
          <w:pgSz w:w="11910" w:h="16840"/>
          <w:pgMar w:top="1440" w:right="1440" w:bottom="1440" w:left="1440" w:header="720" w:footer="720" w:gutter="0"/>
          <w:cols w:space="720"/>
        </w:sectPr>
      </w:pPr>
    </w:p>
    <w:p w14:paraId="28EA20DD" w14:textId="77777777" w:rsidR="007F5DB3" w:rsidRPr="00AC4D7B" w:rsidRDefault="007F5DB3" w:rsidP="007F5DB3">
      <w:pPr>
        <w:ind w:right="-1"/>
        <w:rPr>
          <w:b/>
          <w:bCs/>
        </w:rPr>
      </w:pPr>
    </w:p>
    <w:p w14:paraId="38FB7715" w14:textId="77777777" w:rsidR="007F5DB3" w:rsidRPr="00AC4D7B" w:rsidRDefault="007F5DB3" w:rsidP="007F5DB3">
      <w:pPr>
        <w:ind w:right="-1"/>
        <w:rPr>
          <w:b/>
          <w:bCs/>
        </w:rPr>
      </w:pPr>
    </w:p>
    <w:p w14:paraId="22142E55" w14:textId="77777777" w:rsidR="007F5DB3" w:rsidRPr="00AC4D7B" w:rsidRDefault="007F5DB3" w:rsidP="007F5DB3">
      <w:pPr>
        <w:ind w:right="-1"/>
        <w:rPr>
          <w:b/>
          <w:bCs/>
        </w:rPr>
      </w:pPr>
    </w:p>
    <w:p w14:paraId="7B423437" w14:textId="77777777" w:rsidR="007F5DB3" w:rsidRPr="00AC4D7B" w:rsidRDefault="007F5DB3" w:rsidP="007F5DB3">
      <w:pPr>
        <w:ind w:right="-1"/>
        <w:rPr>
          <w:b/>
          <w:bCs/>
        </w:rPr>
      </w:pPr>
    </w:p>
    <w:p w14:paraId="35DA0ACE" w14:textId="77777777" w:rsidR="007F5DB3" w:rsidRPr="00AC4D7B" w:rsidRDefault="007F5DB3" w:rsidP="007F5DB3">
      <w:pPr>
        <w:pStyle w:val="BodyText"/>
        <w:rPr>
          <w:sz w:val="45"/>
        </w:rPr>
      </w:pPr>
    </w:p>
    <w:p w14:paraId="08DD5F2D" w14:textId="77777777" w:rsidR="007F5DB3" w:rsidRPr="00A92F56" w:rsidRDefault="007F5DB3" w:rsidP="00A92F56">
      <w:pPr>
        <w:rPr>
          <w:b/>
          <w:bCs/>
          <w:color w:val="548DD4" w:themeColor="text2" w:themeTint="99"/>
          <w:sz w:val="32"/>
          <w:szCs w:val="32"/>
        </w:rPr>
      </w:pPr>
      <w:r w:rsidRPr="00A92F56">
        <w:rPr>
          <w:b/>
          <w:bCs/>
          <w:color w:val="548DD4" w:themeColor="text2" w:themeTint="99"/>
          <w:w w:val="115"/>
          <w:sz w:val="32"/>
          <w:szCs w:val="32"/>
        </w:rPr>
        <w:t>2020/21 -</w:t>
      </w:r>
      <w:r w:rsidRPr="00A92F56">
        <w:rPr>
          <w:b/>
          <w:bCs/>
          <w:color w:val="548DD4" w:themeColor="text2" w:themeTint="99"/>
          <w:spacing w:val="-83"/>
          <w:w w:val="115"/>
          <w:sz w:val="32"/>
          <w:szCs w:val="32"/>
        </w:rPr>
        <w:t xml:space="preserve"> </w:t>
      </w:r>
      <w:r w:rsidRPr="00A92F56">
        <w:rPr>
          <w:b/>
          <w:bCs/>
          <w:color w:val="548DD4" w:themeColor="text2" w:themeTint="99"/>
          <w:spacing w:val="-3"/>
          <w:w w:val="115"/>
          <w:sz w:val="32"/>
          <w:szCs w:val="32"/>
        </w:rPr>
        <w:t>2022/23</w:t>
      </w:r>
    </w:p>
    <w:p w14:paraId="2F98E8C3" w14:textId="77777777" w:rsidR="007F5DB3" w:rsidRPr="00AC4D7B" w:rsidRDefault="007F5DB3" w:rsidP="007F5DB3">
      <w:pPr>
        <w:spacing w:line="522" w:lineRule="exact"/>
        <w:ind w:left="619"/>
        <w:rPr>
          <w:rFonts w:ascii="Times New Roman" w:hAnsi="Times New Roman"/>
          <w:b/>
          <w:color w:val="03529E"/>
          <w:w w:val="74"/>
          <w:sz w:val="31"/>
          <w:u w:val="single" w:color="000000"/>
        </w:rPr>
      </w:pPr>
      <w:r w:rsidRPr="00AC4D7B">
        <w:rPr>
          <w:rFonts w:ascii="Times New Roman" w:hAnsi="Times New Roman"/>
          <w:b/>
          <w:color w:val="03529E"/>
          <w:w w:val="74"/>
          <w:sz w:val="31"/>
          <w:u w:val="single" w:color="000000"/>
        </w:rPr>
        <w:t xml:space="preserve"> </w:t>
      </w:r>
    </w:p>
    <w:p w14:paraId="18264926" w14:textId="77777777" w:rsidR="007F5DB3" w:rsidRPr="00AC4D7B" w:rsidRDefault="007F5DB3" w:rsidP="007F5DB3">
      <w:pPr>
        <w:spacing w:line="307" w:lineRule="exact"/>
        <w:ind w:left="585"/>
        <w:rPr>
          <w:rFonts w:ascii="Times New Roman" w:hAnsi="Times New Roman"/>
          <w:b/>
          <w:sz w:val="31"/>
        </w:rPr>
        <w:sectPr w:rsidR="007F5DB3" w:rsidRPr="00AC4D7B">
          <w:headerReference w:type="default" r:id="rId15"/>
          <w:footerReference w:type="default" r:id="rId16"/>
          <w:pgSz w:w="23820" w:h="16840" w:orient="landscape"/>
          <w:pgMar w:top="1060" w:right="0" w:bottom="460" w:left="0" w:header="24" w:footer="260" w:gutter="0"/>
          <w:cols w:num="2" w:space="720" w:equalWidth="0">
            <w:col w:w="4532" w:space="15444"/>
            <w:col w:w="3844"/>
          </w:cols>
        </w:sectPr>
      </w:pPr>
    </w:p>
    <w:p w14:paraId="0FD0F526" w14:textId="77777777" w:rsidR="007F5DB3" w:rsidRPr="00AC4D7B" w:rsidRDefault="007F5DB3" w:rsidP="007F5DB3">
      <w:pPr>
        <w:pStyle w:val="BodyText"/>
        <w:spacing w:before="10"/>
        <w:rPr>
          <w:rFonts w:ascii="Times New Roman"/>
          <w:b/>
        </w:rPr>
      </w:pPr>
    </w:p>
    <w:p w14:paraId="5E596B13" w14:textId="77777777" w:rsidR="007F5DB3" w:rsidRPr="00AC4D7B" w:rsidRDefault="007F5DB3" w:rsidP="007F5DB3">
      <w:pPr>
        <w:pStyle w:val="Heading5"/>
        <w:tabs>
          <w:tab w:val="left" w:pos="18363"/>
        </w:tabs>
        <w:ind w:left="1300"/>
        <w:rPr>
          <w:sz w:val="36"/>
          <w:szCs w:val="40"/>
        </w:rPr>
      </w:pPr>
      <w:r w:rsidRPr="00AC4D7B">
        <w:rPr>
          <w:rFonts w:ascii="Arial" w:hAnsi="Arial" w:cs="Arial"/>
          <w:b/>
          <w:bCs/>
          <w:noProof/>
          <w:sz w:val="40"/>
          <w:szCs w:val="44"/>
        </w:rPr>
        <w:drawing>
          <wp:anchor distT="0" distB="0" distL="0" distR="0" simplePos="0" relativeHeight="251684864" behindDoc="0" locked="0" layoutInCell="1" allowOverlap="1" wp14:anchorId="34E490AA" wp14:editId="3F8E9F40">
            <wp:simplePos x="0" y="0"/>
            <wp:positionH relativeFrom="page">
              <wp:posOffset>0</wp:posOffset>
            </wp:positionH>
            <wp:positionV relativeFrom="paragraph">
              <wp:posOffset>-153062</wp:posOffset>
            </wp:positionV>
            <wp:extent cx="329184" cy="633983"/>
            <wp:effectExtent l="0" t="0" r="0" b="0"/>
            <wp:wrapNone/>
            <wp:docPr id="28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7" cstate="print"/>
                    <a:stretch>
                      <a:fillRect/>
                    </a:stretch>
                  </pic:blipFill>
                  <pic:spPr>
                    <a:xfrm>
                      <a:off x="0" y="0"/>
                      <a:ext cx="329184" cy="633983"/>
                    </a:xfrm>
                    <a:prstGeom prst="rect">
                      <a:avLst/>
                    </a:prstGeom>
                  </pic:spPr>
                </pic:pic>
              </a:graphicData>
            </a:graphic>
          </wp:anchor>
        </w:drawing>
      </w:r>
      <w:r w:rsidRPr="00AC4D7B">
        <w:rPr>
          <w:rFonts w:ascii="Arial" w:hAnsi="Arial" w:cs="Arial"/>
          <w:b/>
          <w:bCs/>
          <w:noProof/>
          <w:sz w:val="40"/>
          <w:szCs w:val="44"/>
        </w:rPr>
        <w:drawing>
          <wp:anchor distT="0" distB="0" distL="0" distR="0" simplePos="0" relativeHeight="251688960" behindDoc="1" locked="0" layoutInCell="1" allowOverlap="1" wp14:anchorId="5D803DC1" wp14:editId="1BCDF759">
            <wp:simplePos x="0" y="0"/>
            <wp:positionH relativeFrom="page">
              <wp:posOffset>3304032</wp:posOffset>
            </wp:positionH>
            <wp:positionV relativeFrom="paragraph">
              <wp:posOffset>-18950</wp:posOffset>
            </wp:positionV>
            <wp:extent cx="8510016" cy="5705856"/>
            <wp:effectExtent l="0" t="0" r="0" b="0"/>
            <wp:wrapNone/>
            <wp:docPr id="28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8" cstate="print"/>
                    <a:stretch>
                      <a:fillRect/>
                    </a:stretch>
                  </pic:blipFill>
                  <pic:spPr>
                    <a:xfrm>
                      <a:off x="0" y="0"/>
                      <a:ext cx="8510016" cy="5705856"/>
                    </a:xfrm>
                    <a:prstGeom prst="rect">
                      <a:avLst/>
                    </a:prstGeom>
                  </pic:spPr>
                </pic:pic>
              </a:graphicData>
            </a:graphic>
          </wp:anchor>
        </w:drawing>
      </w:r>
      <w:r w:rsidRPr="00AC4D7B">
        <w:rPr>
          <w:rFonts w:ascii="Arial" w:hAnsi="Arial" w:cs="Arial"/>
          <w:b/>
          <w:bCs/>
          <w:noProof/>
          <w:sz w:val="40"/>
          <w:szCs w:val="44"/>
        </w:rPr>
        <w:drawing>
          <wp:anchor distT="0" distB="0" distL="0" distR="0" simplePos="0" relativeHeight="251685888" behindDoc="0" locked="0" layoutInCell="1" allowOverlap="1" wp14:anchorId="4796C9D4" wp14:editId="7EC9A234">
            <wp:simplePos x="0" y="0"/>
            <wp:positionH relativeFrom="page">
              <wp:posOffset>14801087</wp:posOffset>
            </wp:positionH>
            <wp:positionV relativeFrom="paragraph">
              <wp:posOffset>-140870</wp:posOffset>
            </wp:positionV>
            <wp:extent cx="304800" cy="621792"/>
            <wp:effectExtent l="0" t="0" r="0" b="0"/>
            <wp:wrapNone/>
            <wp:docPr id="28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9" cstate="print"/>
                    <a:stretch>
                      <a:fillRect/>
                    </a:stretch>
                  </pic:blipFill>
                  <pic:spPr>
                    <a:xfrm>
                      <a:off x="0" y="0"/>
                      <a:ext cx="304800" cy="621792"/>
                    </a:xfrm>
                    <a:prstGeom prst="rect">
                      <a:avLst/>
                    </a:prstGeom>
                  </pic:spPr>
                </pic:pic>
              </a:graphicData>
            </a:graphic>
          </wp:anchor>
        </w:drawing>
      </w:r>
      <w:r w:rsidRPr="00AC4D7B">
        <w:rPr>
          <w:rFonts w:ascii="Arial" w:hAnsi="Arial" w:cs="Arial"/>
          <w:b/>
          <w:bCs/>
          <w:color w:val="01AEEF"/>
          <w:sz w:val="40"/>
          <w:szCs w:val="44"/>
        </w:rPr>
        <w:t>An</w:t>
      </w:r>
      <w:r w:rsidRPr="00AC4D7B">
        <w:rPr>
          <w:rFonts w:ascii="Arial" w:hAnsi="Arial" w:cs="Arial"/>
          <w:b/>
          <w:bCs/>
          <w:color w:val="01AEEF"/>
          <w:spacing w:val="27"/>
          <w:sz w:val="40"/>
          <w:szCs w:val="44"/>
        </w:rPr>
        <w:t xml:space="preserve"> </w:t>
      </w:r>
      <w:r w:rsidRPr="00AC4D7B">
        <w:rPr>
          <w:rFonts w:ascii="Arial" w:hAnsi="Arial" w:cs="Arial"/>
          <w:b/>
          <w:bCs/>
          <w:color w:val="01AEEF"/>
          <w:spacing w:val="5"/>
          <w:sz w:val="40"/>
          <w:szCs w:val="44"/>
        </w:rPr>
        <w:t>exemplary</w:t>
      </w:r>
      <w:r w:rsidRPr="00AC4D7B">
        <w:rPr>
          <w:rFonts w:ascii="Arial" w:hAnsi="Arial" w:cs="Arial"/>
          <w:b/>
          <w:bCs/>
          <w:color w:val="01AEEF"/>
          <w:spacing w:val="25"/>
          <w:sz w:val="40"/>
          <w:szCs w:val="44"/>
        </w:rPr>
        <w:t xml:space="preserve"> </w:t>
      </w:r>
      <w:r w:rsidRPr="00AC4D7B">
        <w:rPr>
          <w:rFonts w:ascii="Arial" w:hAnsi="Arial" w:cs="Arial"/>
          <w:b/>
          <w:bCs/>
          <w:color w:val="01AEEF"/>
          <w:sz w:val="40"/>
          <w:szCs w:val="44"/>
        </w:rPr>
        <w:t>council</w:t>
      </w:r>
      <w:r w:rsidRPr="00AC4D7B">
        <w:rPr>
          <w:color w:val="01AEEF"/>
        </w:rPr>
        <w:tab/>
      </w:r>
      <w:r w:rsidRPr="00AC4D7B">
        <w:rPr>
          <w:rFonts w:ascii="Arial" w:hAnsi="Arial" w:cs="Arial"/>
          <w:b/>
          <w:bCs/>
          <w:color w:val="ED1C24"/>
          <w:position w:val="1"/>
          <w:sz w:val="40"/>
          <w:szCs w:val="44"/>
        </w:rPr>
        <w:t>Thriving</w:t>
      </w:r>
      <w:r w:rsidRPr="00AC4D7B">
        <w:rPr>
          <w:rFonts w:ascii="Arial" w:hAnsi="Arial" w:cs="Arial"/>
          <w:b/>
          <w:bCs/>
          <w:color w:val="ED1C24"/>
          <w:spacing w:val="83"/>
          <w:position w:val="1"/>
          <w:sz w:val="40"/>
          <w:szCs w:val="44"/>
        </w:rPr>
        <w:t xml:space="preserve"> </w:t>
      </w:r>
      <w:r w:rsidRPr="00AC4D7B">
        <w:rPr>
          <w:rFonts w:ascii="Arial" w:hAnsi="Arial" w:cs="Arial"/>
          <w:b/>
          <w:bCs/>
          <w:color w:val="ED1C24"/>
          <w:position w:val="1"/>
          <w:sz w:val="40"/>
          <w:szCs w:val="44"/>
        </w:rPr>
        <w:t>communities</w:t>
      </w:r>
    </w:p>
    <w:p w14:paraId="276DA18E" w14:textId="77777777" w:rsidR="007F5DB3" w:rsidRPr="00AC4D7B" w:rsidRDefault="007F5DB3" w:rsidP="007F5DB3">
      <w:pPr>
        <w:pStyle w:val="BodyText"/>
        <w:rPr>
          <w:b/>
        </w:rPr>
      </w:pPr>
    </w:p>
    <w:p w14:paraId="33DB7C69" w14:textId="77777777" w:rsidR="007F5DB3" w:rsidRPr="00AC4D7B" w:rsidRDefault="007F5DB3" w:rsidP="007F5DB3">
      <w:pPr>
        <w:tabs>
          <w:tab w:val="left" w:pos="20604"/>
        </w:tabs>
        <w:spacing w:before="65"/>
        <w:ind w:left="1295"/>
        <w:rPr>
          <w:sz w:val="28"/>
        </w:rPr>
      </w:pPr>
      <w:r w:rsidRPr="00AC4D7B">
        <w:rPr>
          <w:color w:val="01AEEF"/>
          <w:w w:val="110"/>
          <w:sz w:val="28"/>
        </w:rPr>
        <w:lastRenderedPageBreak/>
        <w:t>A</w:t>
      </w:r>
      <w:r w:rsidRPr="00AC4D7B">
        <w:rPr>
          <w:color w:val="01AEEF"/>
          <w:spacing w:val="41"/>
          <w:w w:val="110"/>
          <w:sz w:val="28"/>
        </w:rPr>
        <w:t xml:space="preserve"> </w:t>
      </w:r>
      <w:r w:rsidRPr="00AC4D7B">
        <w:rPr>
          <w:color w:val="01AEEF"/>
          <w:w w:val="110"/>
          <w:sz w:val="28"/>
        </w:rPr>
        <w:t>council</w:t>
      </w:r>
      <w:r w:rsidRPr="00AC4D7B">
        <w:rPr>
          <w:color w:val="01AEEF"/>
          <w:spacing w:val="23"/>
          <w:w w:val="110"/>
          <w:sz w:val="28"/>
        </w:rPr>
        <w:t xml:space="preserve"> </w:t>
      </w:r>
      <w:r w:rsidRPr="00AC4D7B">
        <w:rPr>
          <w:color w:val="01AEEF"/>
          <w:w w:val="110"/>
          <w:sz w:val="28"/>
        </w:rPr>
        <w:t>that:</w:t>
      </w:r>
      <w:r w:rsidRPr="00AC4D7B">
        <w:rPr>
          <w:color w:val="01AEEF"/>
          <w:w w:val="110"/>
          <w:sz w:val="28"/>
        </w:rPr>
        <w:tab/>
      </w:r>
      <w:r w:rsidRPr="00AC4D7B">
        <w:rPr>
          <w:color w:val="ED1C24"/>
          <w:w w:val="110"/>
          <w:sz w:val="28"/>
        </w:rPr>
        <w:t>Places</w:t>
      </w:r>
      <w:r w:rsidRPr="00AC4D7B">
        <w:rPr>
          <w:color w:val="ED1C24"/>
          <w:spacing w:val="-47"/>
          <w:w w:val="110"/>
          <w:sz w:val="28"/>
        </w:rPr>
        <w:t xml:space="preserve"> </w:t>
      </w:r>
      <w:r w:rsidRPr="00AC4D7B">
        <w:rPr>
          <w:color w:val="ED1C24"/>
          <w:w w:val="110"/>
          <w:sz w:val="28"/>
        </w:rPr>
        <w:t>where:</w:t>
      </w:r>
    </w:p>
    <w:p w14:paraId="064087FD" w14:textId="77777777" w:rsidR="007F5DB3" w:rsidRPr="00AC4D7B" w:rsidRDefault="007F5DB3" w:rsidP="007F5DB3">
      <w:pPr>
        <w:pStyle w:val="BodyText"/>
      </w:pPr>
    </w:p>
    <w:p w14:paraId="74AD9F18" w14:textId="77777777" w:rsidR="007F5DB3" w:rsidRPr="00AC4D7B" w:rsidRDefault="007F5DB3" w:rsidP="007F5DB3">
      <w:pPr>
        <w:rPr>
          <w:sz w:val="20"/>
        </w:rPr>
        <w:sectPr w:rsidR="007F5DB3" w:rsidRPr="00AC4D7B">
          <w:type w:val="continuous"/>
          <w:pgSz w:w="23820" w:h="16840" w:orient="landscape"/>
          <w:pgMar w:top="380" w:right="0" w:bottom="0" w:left="0" w:header="720" w:footer="720" w:gutter="0"/>
          <w:cols w:space="720"/>
        </w:sectPr>
      </w:pPr>
    </w:p>
    <w:p w14:paraId="43BD3FAC" w14:textId="77777777" w:rsidR="007F5DB3" w:rsidRPr="00AC4D7B" w:rsidRDefault="007F5DB3" w:rsidP="007F5DB3">
      <w:pPr>
        <w:pStyle w:val="ListParagraph"/>
        <w:widowControl w:val="0"/>
        <w:numPr>
          <w:ilvl w:val="0"/>
          <w:numId w:val="50"/>
        </w:numPr>
        <w:tabs>
          <w:tab w:val="left" w:pos="1599"/>
        </w:tabs>
        <w:spacing w:before="225" w:line="292" w:lineRule="auto"/>
        <w:ind w:right="143" w:hanging="278"/>
        <w:jc w:val="left"/>
        <w:rPr>
          <w:color w:val="01AEEF"/>
          <w:sz w:val="28"/>
        </w:rPr>
      </w:pPr>
      <w:r w:rsidRPr="00AC4D7B">
        <w:rPr>
          <w:color w:val="01AEEF"/>
          <w:w w:val="115"/>
          <w:sz w:val="28"/>
        </w:rPr>
        <w:t xml:space="preserve">Delivers </w:t>
      </w:r>
      <w:r w:rsidRPr="00AC4D7B">
        <w:rPr>
          <w:color w:val="01AEEF"/>
          <w:spacing w:val="-4"/>
          <w:w w:val="115"/>
          <w:sz w:val="28"/>
        </w:rPr>
        <w:t xml:space="preserve">high </w:t>
      </w:r>
      <w:r w:rsidRPr="00AC4D7B">
        <w:rPr>
          <w:color w:val="01AEEF"/>
          <w:w w:val="115"/>
          <w:sz w:val="28"/>
        </w:rPr>
        <w:t>performing services</w:t>
      </w:r>
      <w:r w:rsidRPr="00AC4D7B">
        <w:rPr>
          <w:color w:val="01AEEF"/>
          <w:spacing w:val="-53"/>
          <w:w w:val="115"/>
          <w:sz w:val="28"/>
        </w:rPr>
        <w:t xml:space="preserve"> </w:t>
      </w:r>
      <w:r w:rsidRPr="00AC4D7B">
        <w:rPr>
          <w:color w:val="01AEEF"/>
          <w:w w:val="115"/>
          <w:sz w:val="28"/>
        </w:rPr>
        <w:t>that represent</w:t>
      </w:r>
      <w:r w:rsidRPr="00AC4D7B">
        <w:rPr>
          <w:color w:val="01AEEF"/>
          <w:spacing w:val="-27"/>
          <w:w w:val="115"/>
          <w:sz w:val="28"/>
        </w:rPr>
        <w:t xml:space="preserve"> </w:t>
      </w:r>
      <w:r w:rsidRPr="00AC4D7B">
        <w:rPr>
          <w:color w:val="01AEEF"/>
          <w:w w:val="115"/>
          <w:sz w:val="28"/>
        </w:rPr>
        <w:t>value</w:t>
      </w:r>
      <w:r w:rsidRPr="00AC4D7B">
        <w:rPr>
          <w:color w:val="01AEEF"/>
          <w:spacing w:val="-30"/>
          <w:w w:val="115"/>
          <w:sz w:val="28"/>
        </w:rPr>
        <w:t xml:space="preserve"> </w:t>
      </w:r>
      <w:r w:rsidRPr="00AC4D7B">
        <w:rPr>
          <w:color w:val="01AEEF"/>
          <w:w w:val="115"/>
          <w:sz w:val="28"/>
        </w:rPr>
        <w:t>for</w:t>
      </w:r>
      <w:r w:rsidRPr="00AC4D7B">
        <w:rPr>
          <w:color w:val="01AEEF"/>
          <w:spacing w:val="-18"/>
          <w:w w:val="115"/>
          <w:sz w:val="28"/>
        </w:rPr>
        <w:t xml:space="preserve"> </w:t>
      </w:r>
      <w:r w:rsidRPr="00AC4D7B">
        <w:rPr>
          <w:color w:val="01AEEF"/>
          <w:w w:val="115"/>
          <w:sz w:val="28"/>
        </w:rPr>
        <w:t>money</w:t>
      </w:r>
    </w:p>
    <w:p w14:paraId="4E408F50" w14:textId="77777777" w:rsidR="007F5DB3" w:rsidRPr="00AC4D7B" w:rsidRDefault="007F5DB3" w:rsidP="007F5DB3">
      <w:pPr>
        <w:pStyle w:val="ListParagraph"/>
        <w:widowControl w:val="0"/>
        <w:numPr>
          <w:ilvl w:val="0"/>
          <w:numId w:val="50"/>
        </w:numPr>
        <w:tabs>
          <w:tab w:val="left" w:pos="1594"/>
        </w:tabs>
        <w:spacing w:before="2" w:line="290" w:lineRule="auto"/>
        <w:ind w:left="1583" w:hanging="268"/>
        <w:jc w:val="left"/>
        <w:rPr>
          <w:color w:val="01AEEF"/>
          <w:sz w:val="28"/>
        </w:rPr>
      </w:pPr>
      <w:r w:rsidRPr="00AC4D7B">
        <w:rPr>
          <w:color w:val="01AEEF"/>
          <w:w w:val="115"/>
          <w:sz w:val="28"/>
        </w:rPr>
        <w:t>Understands</w:t>
      </w:r>
      <w:r w:rsidRPr="00AC4D7B">
        <w:rPr>
          <w:color w:val="01AEEF"/>
          <w:spacing w:val="-24"/>
          <w:w w:val="115"/>
          <w:sz w:val="28"/>
        </w:rPr>
        <w:t xml:space="preserve"> </w:t>
      </w:r>
      <w:r w:rsidRPr="00AC4D7B">
        <w:rPr>
          <w:color w:val="01AEEF"/>
          <w:w w:val="115"/>
          <w:sz w:val="28"/>
        </w:rPr>
        <w:t>the</w:t>
      </w:r>
      <w:r w:rsidRPr="00AC4D7B">
        <w:rPr>
          <w:color w:val="01AEEF"/>
          <w:spacing w:val="-25"/>
          <w:w w:val="115"/>
          <w:sz w:val="28"/>
        </w:rPr>
        <w:t xml:space="preserve"> </w:t>
      </w:r>
      <w:r w:rsidRPr="00AC4D7B">
        <w:rPr>
          <w:color w:val="01AEEF"/>
          <w:w w:val="115"/>
          <w:sz w:val="28"/>
        </w:rPr>
        <w:t>community</w:t>
      </w:r>
      <w:r w:rsidRPr="00AC4D7B">
        <w:rPr>
          <w:color w:val="01AEEF"/>
          <w:spacing w:val="-25"/>
          <w:w w:val="115"/>
          <w:sz w:val="28"/>
        </w:rPr>
        <w:t xml:space="preserve"> </w:t>
      </w:r>
      <w:r w:rsidRPr="00AC4D7B">
        <w:rPr>
          <w:color w:val="01AEEF"/>
          <w:w w:val="115"/>
          <w:sz w:val="28"/>
        </w:rPr>
        <w:t>and</w:t>
      </w:r>
      <w:r w:rsidRPr="00AC4D7B">
        <w:rPr>
          <w:color w:val="01AEEF"/>
          <w:spacing w:val="-28"/>
          <w:w w:val="115"/>
          <w:sz w:val="28"/>
        </w:rPr>
        <w:t xml:space="preserve"> </w:t>
      </w:r>
      <w:r w:rsidRPr="00AC4D7B">
        <w:rPr>
          <w:color w:val="01AEEF"/>
          <w:w w:val="115"/>
          <w:sz w:val="28"/>
        </w:rPr>
        <w:t xml:space="preserve">works with partners to make </w:t>
      </w:r>
      <w:r w:rsidRPr="00AC4D7B">
        <w:rPr>
          <w:color w:val="01AEEF"/>
          <w:spacing w:val="2"/>
          <w:w w:val="115"/>
          <w:sz w:val="28"/>
        </w:rPr>
        <w:t>things</w:t>
      </w:r>
      <w:r w:rsidRPr="00AC4D7B">
        <w:rPr>
          <w:color w:val="01AEEF"/>
          <w:spacing w:val="16"/>
          <w:w w:val="115"/>
          <w:sz w:val="28"/>
        </w:rPr>
        <w:t xml:space="preserve"> </w:t>
      </w:r>
      <w:r w:rsidRPr="00AC4D7B">
        <w:rPr>
          <w:color w:val="01AEEF"/>
          <w:w w:val="115"/>
          <w:sz w:val="28"/>
        </w:rPr>
        <w:t>better</w:t>
      </w:r>
    </w:p>
    <w:p w14:paraId="1DC6C422" w14:textId="77777777" w:rsidR="007F5DB3" w:rsidRPr="00AC4D7B" w:rsidRDefault="007F5DB3" w:rsidP="007F5DB3">
      <w:pPr>
        <w:pStyle w:val="ListParagraph"/>
        <w:widowControl w:val="0"/>
        <w:numPr>
          <w:ilvl w:val="0"/>
          <w:numId w:val="50"/>
        </w:numPr>
        <w:tabs>
          <w:tab w:val="left" w:pos="1599"/>
        </w:tabs>
        <w:spacing w:before="6"/>
        <w:ind w:left="1598" w:hanging="283"/>
        <w:jc w:val="left"/>
        <w:rPr>
          <w:color w:val="01AEEF"/>
          <w:sz w:val="28"/>
        </w:rPr>
      </w:pPr>
      <w:r w:rsidRPr="00AC4D7B">
        <w:rPr>
          <w:color w:val="01AEEF"/>
          <w:spacing w:val="-20"/>
          <w:w w:val="120"/>
          <w:sz w:val="28"/>
        </w:rPr>
        <w:t>Is</w:t>
      </w:r>
      <w:r w:rsidRPr="00AC4D7B">
        <w:rPr>
          <w:color w:val="01AEEF"/>
          <w:spacing w:val="-36"/>
          <w:w w:val="120"/>
          <w:sz w:val="28"/>
        </w:rPr>
        <w:t xml:space="preserve"> </w:t>
      </w:r>
      <w:r w:rsidRPr="00AC4D7B">
        <w:rPr>
          <w:color w:val="01AEEF"/>
          <w:w w:val="120"/>
          <w:sz w:val="28"/>
        </w:rPr>
        <w:t>open</w:t>
      </w:r>
      <w:r w:rsidRPr="00AC4D7B">
        <w:rPr>
          <w:color w:val="01AEEF"/>
          <w:spacing w:val="-37"/>
          <w:w w:val="120"/>
          <w:sz w:val="28"/>
        </w:rPr>
        <w:t xml:space="preserve"> </w:t>
      </w:r>
      <w:r w:rsidRPr="00AC4D7B">
        <w:rPr>
          <w:color w:val="01AEEF"/>
          <w:w w:val="120"/>
          <w:sz w:val="28"/>
        </w:rPr>
        <w:t>and</w:t>
      </w:r>
      <w:r w:rsidRPr="00AC4D7B">
        <w:rPr>
          <w:color w:val="01AEEF"/>
          <w:spacing w:val="-38"/>
          <w:w w:val="120"/>
          <w:sz w:val="28"/>
        </w:rPr>
        <w:t xml:space="preserve"> </w:t>
      </w:r>
      <w:r w:rsidRPr="00AC4D7B">
        <w:rPr>
          <w:color w:val="01AEEF"/>
          <w:w w:val="120"/>
          <w:sz w:val="28"/>
        </w:rPr>
        <w:t>transparent</w:t>
      </w:r>
      <w:r w:rsidRPr="00AC4D7B">
        <w:rPr>
          <w:color w:val="01AEEF"/>
          <w:spacing w:val="-2"/>
          <w:w w:val="120"/>
          <w:sz w:val="28"/>
        </w:rPr>
        <w:t xml:space="preserve"> </w:t>
      </w:r>
      <w:r w:rsidRPr="00AC4D7B">
        <w:rPr>
          <w:color w:val="01AEEF"/>
          <w:spacing w:val="-13"/>
          <w:w w:val="120"/>
          <w:sz w:val="28"/>
        </w:rPr>
        <w:t>in</w:t>
      </w:r>
      <w:r w:rsidRPr="00AC4D7B">
        <w:rPr>
          <w:color w:val="01AEEF"/>
          <w:spacing w:val="-42"/>
          <w:w w:val="120"/>
          <w:sz w:val="28"/>
        </w:rPr>
        <w:t xml:space="preserve"> </w:t>
      </w:r>
      <w:r w:rsidRPr="00AC4D7B">
        <w:rPr>
          <w:color w:val="01AEEF"/>
          <w:spacing w:val="-14"/>
          <w:w w:val="120"/>
          <w:sz w:val="28"/>
        </w:rPr>
        <w:t>its</w:t>
      </w:r>
      <w:r w:rsidRPr="00AC4D7B">
        <w:rPr>
          <w:color w:val="01AEEF"/>
          <w:spacing w:val="-38"/>
          <w:w w:val="120"/>
          <w:sz w:val="28"/>
        </w:rPr>
        <w:t xml:space="preserve"> </w:t>
      </w:r>
      <w:r w:rsidRPr="00AC4D7B">
        <w:rPr>
          <w:color w:val="01AEEF"/>
          <w:w w:val="120"/>
          <w:sz w:val="28"/>
        </w:rPr>
        <w:t>activities</w:t>
      </w:r>
    </w:p>
    <w:p w14:paraId="6D5F1E8C" w14:textId="77777777" w:rsidR="007F5DB3" w:rsidRPr="00AC4D7B" w:rsidRDefault="007F5DB3" w:rsidP="007F5DB3">
      <w:pPr>
        <w:pStyle w:val="ListParagraph"/>
        <w:widowControl w:val="0"/>
        <w:numPr>
          <w:ilvl w:val="0"/>
          <w:numId w:val="50"/>
        </w:numPr>
        <w:tabs>
          <w:tab w:val="left" w:pos="1532"/>
        </w:tabs>
        <w:spacing w:before="225"/>
        <w:ind w:left="1531" w:hanging="216"/>
        <w:jc w:val="left"/>
        <w:rPr>
          <w:color w:val="ED1C24"/>
          <w:sz w:val="28"/>
        </w:rPr>
      </w:pPr>
      <w:r w:rsidRPr="00AC4D7B">
        <w:rPr>
          <w:color w:val="ED1C24"/>
          <w:w w:val="102"/>
          <w:sz w:val="28"/>
        </w:rPr>
        <w:br w:type="column"/>
      </w:r>
      <w:r w:rsidRPr="00AC4D7B">
        <w:rPr>
          <w:color w:val="ED1C24"/>
          <w:w w:val="110"/>
          <w:sz w:val="28"/>
        </w:rPr>
        <w:lastRenderedPageBreak/>
        <w:t xml:space="preserve">Residents have positive </w:t>
      </w:r>
      <w:proofErr w:type="gramStart"/>
      <w:r w:rsidRPr="00AC4D7B">
        <w:rPr>
          <w:color w:val="ED1C24"/>
          <w:w w:val="110"/>
          <w:sz w:val="28"/>
        </w:rPr>
        <w:t xml:space="preserve">mental </w:t>
      </w:r>
      <w:r w:rsidRPr="00AC4D7B">
        <w:rPr>
          <w:color w:val="ED1C24"/>
          <w:spacing w:val="24"/>
          <w:w w:val="110"/>
          <w:sz w:val="28"/>
        </w:rPr>
        <w:t xml:space="preserve"> </w:t>
      </w:r>
      <w:r w:rsidRPr="00AC4D7B">
        <w:rPr>
          <w:color w:val="ED1C24"/>
          <w:w w:val="110"/>
          <w:sz w:val="28"/>
        </w:rPr>
        <w:t>health</w:t>
      </w:r>
      <w:proofErr w:type="gramEnd"/>
    </w:p>
    <w:p w14:paraId="7523C4A9" w14:textId="77777777" w:rsidR="007F5DB3" w:rsidRPr="00AC4D7B" w:rsidRDefault="007F5DB3" w:rsidP="007F5DB3">
      <w:pPr>
        <w:pStyle w:val="ListParagraph"/>
        <w:widowControl w:val="0"/>
        <w:numPr>
          <w:ilvl w:val="0"/>
          <w:numId w:val="50"/>
        </w:numPr>
        <w:tabs>
          <w:tab w:val="left" w:pos="1584"/>
        </w:tabs>
        <w:spacing w:before="71"/>
        <w:ind w:left="1583" w:hanging="220"/>
        <w:jc w:val="left"/>
        <w:rPr>
          <w:color w:val="ED1C24"/>
          <w:sz w:val="28"/>
        </w:rPr>
      </w:pPr>
      <w:r w:rsidRPr="00AC4D7B">
        <w:rPr>
          <w:color w:val="ED1C24"/>
          <w:w w:val="110"/>
          <w:sz w:val="28"/>
        </w:rPr>
        <w:t>People get involved and have a</w:t>
      </w:r>
      <w:r w:rsidRPr="00AC4D7B">
        <w:rPr>
          <w:color w:val="ED1C24"/>
          <w:spacing w:val="28"/>
          <w:w w:val="110"/>
          <w:sz w:val="28"/>
        </w:rPr>
        <w:t xml:space="preserve"> </w:t>
      </w:r>
      <w:r w:rsidRPr="00AC4D7B">
        <w:rPr>
          <w:color w:val="ED1C24"/>
          <w:w w:val="110"/>
          <w:sz w:val="28"/>
        </w:rPr>
        <w:t>sense</w:t>
      </w:r>
    </w:p>
    <w:p w14:paraId="783C857F" w14:textId="77777777" w:rsidR="007F5DB3" w:rsidRPr="00AC4D7B" w:rsidRDefault="007F5DB3" w:rsidP="007F5DB3">
      <w:pPr>
        <w:spacing w:before="67"/>
        <w:ind w:left="5044"/>
        <w:rPr>
          <w:sz w:val="28"/>
        </w:rPr>
      </w:pPr>
      <w:r w:rsidRPr="00AC4D7B">
        <w:rPr>
          <w:color w:val="ED1C24"/>
          <w:w w:val="115"/>
          <w:sz w:val="28"/>
        </w:rPr>
        <w:t>of belonging</w:t>
      </w:r>
    </w:p>
    <w:p w14:paraId="44DA4DF3" w14:textId="77777777" w:rsidR="007F5DB3" w:rsidRPr="00AC4D7B" w:rsidRDefault="007F5DB3" w:rsidP="007F5DB3">
      <w:pPr>
        <w:pStyle w:val="ListParagraph"/>
        <w:widowControl w:val="0"/>
        <w:numPr>
          <w:ilvl w:val="0"/>
          <w:numId w:val="50"/>
        </w:numPr>
        <w:tabs>
          <w:tab w:val="left" w:pos="1584"/>
        </w:tabs>
        <w:spacing w:before="71" w:line="292" w:lineRule="auto"/>
        <w:ind w:left="2606" w:right="1303" w:hanging="1234"/>
        <w:jc w:val="left"/>
        <w:rPr>
          <w:color w:val="ED1C24"/>
          <w:sz w:val="28"/>
        </w:rPr>
      </w:pPr>
      <w:r w:rsidRPr="00AC4D7B">
        <w:rPr>
          <w:color w:val="ED1C24"/>
          <w:w w:val="110"/>
          <w:sz w:val="28"/>
        </w:rPr>
        <w:t xml:space="preserve">Communities can access services and </w:t>
      </w:r>
      <w:proofErr w:type="gramStart"/>
      <w:r w:rsidRPr="00AC4D7B">
        <w:rPr>
          <w:color w:val="ED1C24"/>
          <w:w w:val="110"/>
          <w:sz w:val="28"/>
        </w:rPr>
        <w:t>support  when</w:t>
      </w:r>
      <w:proofErr w:type="gramEnd"/>
      <w:r w:rsidRPr="00AC4D7B">
        <w:rPr>
          <w:color w:val="ED1C24"/>
          <w:w w:val="110"/>
          <w:sz w:val="28"/>
        </w:rPr>
        <w:t xml:space="preserve"> they  need</w:t>
      </w:r>
      <w:r w:rsidRPr="00AC4D7B">
        <w:rPr>
          <w:color w:val="ED1C24"/>
          <w:spacing w:val="-18"/>
          <w:w w:val="110"/>
          <w:sz w:val="28"/>
        </w:rPr>
        <w:t xml:space="preserve"> </w:t>
      </w:r>
      <w:r w:rsidRPr="00AC4D7B">
        <w:rPr>
          <w:color w:val="ED1C24"/>
          <w:w w:val="110"/>
          <w:sz w:val="28"/>
        </w:rPr>
        <w:t>them</w:t>
      </w:r>
    </w:p>
    <w:p w14:paraId="05ED4403" w14:textId="77777777" w:rsidR="007F5DB3" w:rsidRPr="00AC4D7B" w:rsidRDefault="007F5DB3" w:rsidP="007F5DB3">
      <w:pPr>
        <w:spacing w:line="292" w:lineRule="auto"/>
        <w:rPr>
          <w:sz w:val="28"/>
        </w:rPr>
        <w:sectPr w:rsidR="007F5DB3" w:rsidRPr="00AC4D7B">
          <w:type w:val="continuous"/>
          <w:pgSz w:w="23820" w:h="16840" w:orient="landscape"/>
          <w:pgMar w:top="380" w:right="0" w:bottom="0" w:left="0" w:header="720" w:footer="720" w:gutter="0"/>
          <w:cols w:num="2" w:space="720" w:equalWidth="0">
            <w:col w:w="7061" w:space="8614"/>
            <w:col w:w="8145"/>
          </w:cols>
        </w:sectPr>
      </w:pPr>
    </w:p>
    <w:p w14:paraId="7A56EDAB" w14:textId="77777777" w:rsidR="007F5DB3" w:rsidRPr="00AC4D7B" w:rsidRDefault="007F5DB3" w:rsidP="007F5DB3">
      <w:pPr>
        <w:pStyle w:val="BodyText"/>
      </w:pPr>
    </w:p>
    <w:p w14:paraId="73E8BD5E" w14:textId="77777777" w:rsidR="007F5DB3" w:rsidRPr="00AC4D7B" w:rsidRDefault="007F5DB3" w:rsidP="007F5DB3">
      <w:pPr>
        <w:pStyle w:val="BodyText"/>
      </w:pPr>
    </w:p>
    <w:p w14:paraId="42B5AFEA" w14:textId="77777777" w:rsidR="007F5DB3" w:rsidRPr="00AC4D7B" w:rsidRDefault="007F5DB3" w:rsidP="007F5DB3">
      <w:pPr>
        <w:pStyle w:val="BodyText"/>
      </w:pPr>
    </w:p>
    <w:p w14:paraId="4F2A8C15" w14:textId="77777777" w:rsidR="007F5DB3" w:rsidRPr="00AC4D7B" w:rsidRDefault="007F5DB3" w:rsidP="007F5DB3">
      <w:pPr>
        <w:pStyle w:val="BodyText"/>
      </w:pPr>
    </w:p>
    <w:p w14:paraId="2E4CE6EF" w14:textId="77777777" w:rsidR="007F5DB3" w:rsidRPr="00AC4D7B" w:rsidRDefault="007F5DB3" w:rsidP="007F5DB3">
      <w:pPr>
        <w:pStyle w:val="BodyText"/>
      </w:pPr>
    </w:p>
    <w:p w14:paraId="5744287A" w14:textId="77777777" w:rsidR="007F5DB3" w:rsidRPr="00AC4D7B" w:rsidRDefault="007F5DB3" w:rsidP="007F5DB3">
      <w:pPr>
        <w:pStyle w:val="BodyText"/>
      </w:pPr>
    </w:p>
    <w:p w14:paraId="6CD1BF5D" w14:textId="77777777" w:rsidR="007F5DB3" w:rsidRPr="00AC4D7B" w:rsidRDefault="007F5DB3" w:rsidP="007F5DB3">
      <w:pPr>
        <w:rPr>
          <w:sz w:val="20"/>
        </w:rPr>
        <w:sectPr w:rsidR="007F5DB3" w:rsidRPr="00AC4D7B">
          <w:type w:val="continuous"/>
          <w:pgSz w:w="23820" w:h="16840" w:orient="landscape"/>
          <w:pgMar w:top="380" w:right="0" w:bottom="0" w:left="0" w:header="720" w:footer="720" w:gutter="0"/>
          <w:cols w:space="720"/>
        </w:sectPr>
      </w:pPr>
    </w:p>
    <w:p w14:paraId="45A733F8" w14:textId="77777777" w:rsidR="007F5DB3" w:rsidRPr="00AC4D7B" w:rsidRDefault="007F5DB3" w:rsidP="007F5DB3">
      <w:pPr>
        <w:spacing w:before="250" w:line="442" w:lineRule="exact"/>
        <w:ind w:left="1315" w:hanging="10"/>
        <w:rPr>
          <w:b/>
          <w:sz w:val="40"/>
        </w:rPr>
      </w:pPr>
      <w:r w:rsidRPr="00AC4D7B">
        <w:rPr>
          <w:noProof/>
        </w:rPr>
        <w:lastRenderedPageBreak/>
        <w:drawing>
          <wp:anchor distT="0" distB="0" distL="0" distR="0" simplePos="0" relativeHeight="251686912" behindDoc="0" locked="0" layoutInCell="1" allowOverlap="1" wp14:anchorId="18609D14" wp14:editId="4D76C93A">
            <wp:simplePos x="0" y="0"/>
            <wp:positionH relativeFrom="page">
              <wp:posOffset>0</wp:posOffset>
            </wp:positionH>
            <wp:positionV relativeFrom="paragraph">
              <wp:posOffset>75656</wp:posOffset>
            </wp:positionV>
            <wp:extent cx="329184" cy="621791"/>
            <wp:effectExtent l="0" t="0" r="0" b="0"/>
            <wp:wrapNone/>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0" cstate="print"/>
                    <a:stretch>
                      <a:fillRect/>
                    </a:stretch>
                  </pic:blipFill>
                  <pic:spPr>
                    <a:xfrm>
                      <a:off x="0" y="0"/>
                      <a:ext cx="329184" cy="621791"/>
                    </a:xfrm>
                    <a:prstGeom prst="rect">
                      <a:avLst/>
                    </a:prstGeom>
                  </pic:spPr>
                </pic:pic>
              </a:graphicData>
            </a:graphic>
          </wp:anchor>
        </w:drawing>
      </w:r>
      <w:r w:rsidRPr="00AC4D7B">
        <w:rPr>
          <w:b/>
          <w:color w:val="8CC63F"/>
          <w:sz w:val="40"/>
        </w:rPr>
        <w:t>Good homes, green spaces, healthy</w:t>
      </w:r>
      <w:r w:rsidRPr="00AC4D7B">
        <w:rPr>
          <w:b/>
          <w:color w:val="8CC63F"/>
          <w:spacing w:val="60"/>
          <w:sz w:val="40"/>
        </w:rPr>
        <w:t xml:space="preserve"> </w:t>
      </w:r>
      <w:r w:rsidRPr="00AC4D7B">
        <w:rPr>
          <w:b/>
          <w:color w:val="8CC63F"/>
          <w:sz w:val="40"/>
        </w:rPr>
        <w:t>places</w:t>
      </w:r>
    </w:p>
    <w:p w14:paraId="3A817B33" w14:textId="77777777" w:rsidR="007F5DB3" w:rsidRPr="00AC4D7B" w:rsidRDefault="007F5DB3" w:rsidP="007F5DB3">
      <w:pPr>
        <w:spacing w:before="197" w:line="442" w:lineRule="exact"/>
        <w:ind w:left="1166" w:right="1284" w:hanging="1167"/>
        <w:rPr>
          <w:b/>
          <w:sz w:val="40"/>
          <w:szCs w:val="28"/>
        </w:rPr>
      </w:pPr>
      <w:r w:rsidRPr="00AC4D7B">
        <w:rPr>
          <w:b/>
          <w:color w:val="893895"/>
          <w:sz w:val="40"/>
          <w:szCs w:val="28"/>
        </w:rPr>
        <w:t>A fair local economy that works for</w:t>
      </w:r>
      <w:r w:rsidRPr="00AC4D7B">
        <w:rPr>
          <w:b/>
          <w:color w:val="893895"/>
          <w:spacing w:val="72"/>
          <w:sz w:val="40"/>
          <w:szCs w:val="28"/>
        </w:rPr>
        <w:t xml:space="preserve"> </w:t>
      </w:r>
      <w:r w:rsidRPr="00AC4D7B">
        <w:rPr>
          <w:b/>
          <w:color w:val="893895"/>
          <w:spacing w:val="3"/>
          <w:sz w:val="40"/>
          <w:szCs w:val="28"/>
        </w:rPr>
        <w:t>everyone</w:t>
      </w:r>
    </w:p>
    <w:p w14:paraId="14601FA8" w14:textId="77777777" w:rsidR="007F5DB3" w:rsidRPr="00AC4D7B" w:rsidRDefault="007F5DB3" w:rsidP="007F5DB3">
      <w:pPr>
        <w:spacing w:line="442" w:lineRule="exact"/>
        <w:rPr>
          <w:sz w:val="39"/>
        </w:rPr>
        <w:sectPr w:rsidR="007F5DB3" w:rsidRPr="00AC4D7B">
          <w:type w:val="continuous"/>
          <w:pgSz w:w="23820" w:h="16840" w:orient="landscape"/>
          <w:pgMar w:top="380" w:right="0" w:bottom="0" w:left="0" w:header="720" w:footer="720" w:gutter="0"/>
          <w:cols w:num="2" w:space="720" w:equalWidth="0">
            <w:col w:w="6595" w:space="11082"/>
            <w:col w:w="6143"/>
          </w:cols>
        </w:sectPr>
      </w:pPr>
    </w:p>
    <w:p w14:paraId="46AB387D" w14:textId="77777777" w:rsidR="007F5DB3" w:rsidRPr="00AC4D7B" w:rsidRDefault="007F5DB3" w:rsidP="007F5DB3">
      <w:pPr>
        <w:pStyle w:val="BodyText"/>
        <w:rPr>
          <w:b/>
        </w:rPr>
      </w:pPr>
    </w:p>
    <w:p w14:paraId="31A2DFB0" w14:textId="77777777" w:rsidR="007F5DB3" w:rsidRPr="00AC4D7B" w:rsidRDefault="007F5DB3" w:rsidP="007F5DB3">
      <w:pPr>
        <w:tabs>
          <w:tab w:val="left" w:pos="20475"/>
        </w:tabs>
        <w:spacing w:before="69"/>
        <w:ind w:left="1295"/>
        <w:rPr>
          <w:sz w:val="28"/>
        </w:rPr>
      </w:pPr>
      <w:r w:rsidRPr="00AC4D7B">
        <w:rPr>
          <w:noProof/>
        </w:rPr>
        <w:drawing>
          <wp:anchor distT="0" distB="0" distL="0" distR="0" simplePos="0" relativeHeight="251687936" behindDoc="0" locked="0" layoutInCell="1" allowOverlap="1" wp14:anchorId="6112A26A" wp14:editId="22EDAF60">
            <wp:simplePos x="0" y="0"/>
            <wp:positionH relativeFrom="page">
              <wp:posOffset>14801087</wp:posOffset>
            </wp:positionH>
            <wp:positionV relativeFrom="paragraph">
              <wp:posOffset>-1078461</wp:posOffset>
            </wp:positionV>
            <wp:extent cx="304800" cy="621791"/>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21" cstate="print"/>
                    <a:stretch>
                      <a:fillRect/>
                    </a:stretch>
                  </pic:blipFill>
                  <pic:spPr>
                    <a:xfrm>
                      <a:off x="0" y="0"/>
                      <a:ext cx="304800" cy="621791"/>
                    </a:xfrm>
                    <a:prstGeom prst="rect">
                      <a:avLst/>
                    </a:prstGeom>
                  </pic:spPr>
                </pic:pic>
              </a:graphicData>
            </a:graphic>
          </wp:anchor>
        </w:drawing>
      </w:r>
      <w:r w:rsidRPr="00AC4D7B">
        <w:rPr>
          <w:color w:val="8CC63F"/>
          <w:w w:val="115"/>
          <w:sz w:val="28"/>
        </w:rPr>
        <w:t>A</w:t>
      </w:r>
      <w:r w:rsidRPr="00AC4D7B">
        <w:rPr>
          <w:color w:val="8CC63F"/>
          <w:spacing w:val="28"/>
          <w:w w:val="115"/>
          <w:sz w:val="28"/>
        </w:rPr>
        <w:t xml:space="preserve"> </w:t>
      </w:r>
      <w:r w:rsidRPr="00AC4D7B">
        <w:rPr>
          <w:color w:val="8CC63F"/>
          <w:w w:val="115"/>
          <w:sz w:val="28"/>
        </w:rPr>
        <w:t>borough</w:t>
      </w:r>
      <w:r w:rsidRPr="00AC4D7B">
        <w:rPr>
          <w:color w:val="8CC63F"/>
          <w:spacing w:val="2"/>
          <w:w w:val="115"/>
          <w:sz w:val="28"/>
        </w:rPr>
        <w:t xml:space="preserve"> </w:t>
      </w:r>
      <w:r w:rsidRPr="00AC4D7B">
        <w:rPr>
          <w:color w:val="8CC63F"/>
          <w:w w:val="115"/>
          <w:sz w:val="28"/>
        </w:rPr>
        <w:t>with:</w:t>
      </w:r>
      <w:r w:rsidRPr="00AC4D7B">
        <w:rPr>
          <w:color w:val="8CC63F"/>
          <w:w w:val="115"/>
          <w:sz w:val="28"/>
        </w:rPr>
        <w:tab/>
      </w:r>
      <w:r w:rsidRPr="00AC4D7B">
        <w:rPr>
          <w:color w:val="893895"/>
          <w:w w:val="115"/>
          <w:sz w:val="28"/>
        </w:rPr>
        <w:t>A council</w:t>
      </w:r>
      <w:r w:rsidRPr="00AC4D7B">
        <w:rPr>
          <w:color w:val="893895"/>
          <w:spacing w:val="5"/>
          <w:w w:val="115"/>
          <w:sz w:val="28"/>
        </w:rPr>
        <w:t xml:space="preserve"> </w:t>
      </w:r>
      <w:r w:rsidRPr="00AC4D7B">
        <w:rPr>
          <w:color w:val="893895"/>
          <w:w w:val="115"/>
          <w:sz w:val="28"/>
        </w:rPr>
        <w:t>that:</w:t>
      </w:r>
    </w:p>
    <w:p w14:paraId="506C3954" w14:textId="77777777" w:rsidR="007F5DB3" w:rsidRPr="00AC4D7B" w:rsidRDefault="007F5DB3" w:rsidP="007F5DB3">
      <w:pPr>
        <w:pStyle w:val="BodyText"/>
      </w:pPr>
    </w:p>
    <w:p w14:paraId="62E035E9" w14:textId="77777777" w:rsidR="007F5DB3" w:rsidRPr="00AC4D7B" w:rsidRDefault="007F5DB3" w:rsidP="007F5DB3">
      <w:pPr>
        <w:rPr>
          <w:sz w:val="20"/>
        </w:rPr>
        <w:sectPr w:rsidR="007F5DB3" w:rsidRPr="00AC4D7B">
          <w:type w:val="continuous"/>
          <w:pgSz w:w="23820" w:h="16840" w:orient="landscape"/>
          <w:pgMar w:top="380" w:right="0" w:bottom="0" w:left="0" w:header="720" w:footer="720" w:gutter="0"/>
          <w:cols w:space="720"/>
        </w:sectPr>
      </w:pPr>
    </w:p>
    <w:p w14:paraId="4E812926" w14:textId="77777777" w:rsidR="007F5DB3" w:rsidRPr="00AC4D7B" w:rsidRDefault="007F5DB3" w:rsidP="007F5DB3">
      <w:pPr>
        <w:pStyle w:val="ListParagraph"/>
        <w:widowControl w:val="0"/>
        <w:numPr>
          <w:ilvl w:val="0"/>
          <w:numId w:val="50"/>
        </w:numPr>
        <w:tabs>
          <w:tab w:val="left" w:pos="1584"/>
        </w:tabs>
        <w:spacing w:before="225"/>
        <w:ind w:left="1583" w:hanging="268"/>
        <w:jc w:val="left"/>
        <w:rPr>
          <w:color w:val="8CC63F"/>
          <w:sz w:val="28"/>
        </w:rPr>
      </w:pPr>
      <w:r w:rsidRPr="00AC4D7B">
        <w:rPr>
          <w:color w:val="8CC63F"/>
          <w:w w:val="115"/>
          <w:sz w:val="28"/>
        </w:rPr>
        <w:t>A choice of decent, affordable</w:t>
      </w:r>
      <w:r w:rsidRPr="00AC4D7B">
        <w:rPr>
          <w:color w:val="8CC63F"/>
          <w:spacing w:val="-22"/>
          <w:w w:val="115"/>
          <w:sz w:val="28"/>
        </w:rPr>
        <w:t xml:space="preserve"> </w:t>
      </w:r>
      <w:r w:rsidRPr="00AC4D7B">
        <w:rPr>
          <w:color w:val="8CC63F"/>
          <w:w w:val="115"/>
          <w:sz w:val="28"/>
        </w:rPr>
        <w:t>housing</w:t>
      </w:r>
    </w:p>
    <w:p w14:paraId="4C147A29" w14:textId="77777777" w:rsidR="007F5DB3" w:rsidRPr="00AC4D7B" w:rsidRDefault="007F5DB3" w:rsidP="007F5DB3">
      <w:pPr>
        <w:pStyle w:val="ListParagraph"/>
        <w:widowControl w:val="0"/>
        <w:numPr>
          <w:ilvl w:val="0"/>
          <w:numId w:val="50"/>
        </w:numPr>
        <w:tabs>
          <w:tab w:val="left" w:pos="1589"/>
        </w:tabs>
        <w:spacing w:before="71" w:line="292" w:lineRule="auto"/>
        <w:ind w:left="1583" w:right="678" w:hanging="268"/>
        <w:jc w:val="left"/>
        <w:rPr>
          <w:color w:val="8CC63F"/>
          <w:sz w:val="28"/>
        </w:rPr>
      </w:pPr>
      <w:r w:rsidRPr="00AC4D7B">
        <w:rPr>
          <w:color w:val="8CC63F"/>
          <w:w w:val="115"/>
          <w:sz w:val="28"/>
        </w:rPr>
        <w:lastRenderedPageBreak/>
        <w:t>Commitment to protecting the local environment</w:t>
      </w:r>
    </w:p>
    <w:p w14:paraId="489F4B30" w14:textId="77777777" w:rsidR="007F5DB3" w:rsidRPr="00AC4D7B" w:rsidRDefault="007F5DB3" w:rsidP="007F5DB3">
      <w:pPr>
        <w:pStyle w:val="ListParagraph"/>
        <w:widowControl w:val="0"/>
        <w:numPr>
          <w:ilvl w:val="0"/>
          <w:numId w:val="50"/>
        </w:numPr>
        <w:tabs>
          <w:tab w:val="left" w:pos="1584"/>
        </w:tabs>
        <w:spacing w:line="320" w:lineRule="exact"/>
        <w:ind w:left="1583" w:hanging="268"/>
        <w:jc w:val="left"/>
        <w:rPr>
          <w:color w:val="8CC63F"/>
          <w:sz w:val="28"/>
        </w:rPr>
      </w:pPr>
      <w:r w:rsidRPr="00AC4D7B">
        <w:rPr>
          <w:color w:val="8CC63F"/>
          <w:w w:val="115"/>
          <w:sz w:val="28"/>
        </w:rPr>
        <w:t>A choice of quality recreational</w:t>
      </w:r>
      <w:r w:rsidRPr="00AC4D7B">
        <w:rPr>
          <w:color w:val="8CC63F"/>
          <w:spacing w:val="28"/>
          <w:w w:val="115"/>
          <w:sz w:val="28"/>
        </w:rPr>
        <w:t xml:space="preserve"> </w:t>
      </w:r>
      <w:r w:rsidRPr="00AC4D7B">
        <w:rPr>
          <w:color w:val="8CC63F"/>
          <w:w w:val="115"/>
          <w:sz w:val="28"/>
        </w:rPr>
        <w:t>activities</w:t>
      </w:r>
    </w:p>
    <w:p w14:paraId="2214578A" w14:textId="77777777" w:rsidR="007F5DB3" w:rsidRPr="00AC4D7B" w:rsidRDefault="007F5DB3" w:rsidP="007F5DB3">
      <w:pPr>
        <w:pStyle w:val="ListParagraph"/>
        <w:widowControl w:val="0"/>
        <w:numPr>
          <w:ilvl w:val="0"/>
          <w:numId w:val="50"/>
        </w:numPr>
        <w:tabs>
          <w:tab w:val="left" w:pos="1536"/>
        </w:tabs>
        <w:spacing w:before="225"/>
        <w:ind w:left="1535" w:hanging="220"/>
        <w:jc w:val="left"/>
        <w:rPr>
          <w:color w:val="893895"/>
          <w:sz w:val="28"/>
        </w:rPr>
      </w:pPr>
      <w:r w:rsidRPr="00AC4D7B">
        <w:rPr>
          <w:color w:val="893895"/>
          <w:spacing w:val="-29"/>
          <w:w w:val="141"/>
          <w:sz w:val="28"/>
        </w:rPr>
        <w:br w:type="column"/>
      </w:r>
      <w:r w:rsidRPr="00AC4D7B">
        <w:rPr>
          <w:color w:val="893895"/>
          <w:spacing w:val="-4"/>
          <w:w w:val="110"/>
          <w:sz w:val="28"/>
        </w:rPr>
        <w:lastRenderedPageBreak/>
        <w:t xml:space="preserve">Increases </w:t>
      </w:r>
      <w:r w:rsidRPr="00AC4D7B">
        <w:rPr>
          <w:color w:val="893895"/>
          <w:w w:val="110"/>
          <w:sz w:val="28"/>
        </w:rPr>
        <w:t xml:space="preserve">access to </w:t>
      </w:r>
      <w:r w:rsidRPr="00AC4D7B">
        <w:rPr>
          <w:color w:val="893895"/>
          <w:spacing w:val="2"/>
          <w:w w:val="110"/>
          <w:sz w:val="28"/>
        </w:rPr>
        <w:t xml:space="preserve">training </w:t>
      </w:r>
      <w:r w:rsidRPr="00AC4D7B">
        <w:rPr>
          <w:color w:val="893895"/>
          <w:w w:val="110"/>
          <w:sz w:val="28"/>
        </w:rPr>
        <w:t>and</w:t>
      </w:r>
      <w:r w:rsidRPr="00AC4D7B">
        <w:rPr>
          <w:color w:val="893895"/>
          <w:spacing w:val="46"/>
          <w:w w:val="110"/>
          <w:sz w:val="28"/>
        </w:rPr>
        <w:t xml:space="preserve"> </w:t>
      </w:r>
      <w:r w:rsidRPr="00AC4D7B">
        <w:rPr>
          <w:color w:val="893895"/>
          <w:w w:val="110"/>
          <w:sz w:val="28"/>
        </w:rPr>
        <w:t>jobs</w:t>
      </w:r>
    </w:p>
    <w:p w14:paraId="016F2094" w14:textId="77777777" w:rsidR="007F5DB3" w:rsidRPr="00AC4D7B" w:rsidRDefault="007F5DB3" w:rsidP="007F5DB3">
      <w:pPr>
        <w:pStyle w:val="ListParagraph"/>
        <w:widowControl w:val="0"/>
        <w:numPr>
          <w:ilvl w:val="1"/>
          <w:numId w:val="50"/>
        </w:numPr>
        <w:tabs>
          <w:tab w:val="left" w:pos="2184"/>
        </w:tabs>
        <w:spacing w:before="71"/>
        <w:ind w:hanging="206"/>
        <w:jc w:val="left"/>
        <w:rPr>
          <w:sz w:val="28"/>
        </w:rPr>
      </w:pPr>
      <w:r w:rsidRPr="00AC4D7B">
        <w:rPr>
          <w:color w:val="893895"/>
          <w:w w:val="110"/>
          <w:sz w:val="28"/>
        </w:rPr>
        <w:t>Grows and supports</w:t>
      </w:r>
      <w:r w:rsidRPr="00AC4D7B">
        <w:rPr>
          <w:color w:val="893895"/>
          <w:spacing w:val="57"/>
          <w:w w:val="110"/>
          <w:sz w:val="28"/>
        </w:rPr>
        <w:t xml:space="preserve"> </w:t>
      </w:r>
      <w:r w:rsidRPr="00AC4D7B">
        <w:rPr>
          <w:color w:val="893895"/>
          <w:spacing w:val="2"/>
          <w:w w:val="110"/>
          <w:sz w:val="28"/>
        </w:rPr>
        <w:t>sustainable</w:t>
      </w:r>
    </w:p>
    <w:p w14:paraId="1F418045" w14:textId="77777777" w:rsidR="007F5DB3" w:rsidRPr="00AC4D7B" w:rsidRDefault="007F5DB3" w:rsidP="007F5DB3">
      <w:pPr>
        <w:spacing w:before="71"/>
        <w:ind w:left="5164"/>
        <w:rPr>
          <w:sz w:val="28"/>
        </w:rPr>
      </w:pPr>
      <w:r w:rsidRPr="00AC4D7B">
        <w:rPr>
          <w:color w:val="893895"/>
          <w:w w:val="105"/>
          <w:sz w:val="28"/>
        </w:rPr>
        <w:t>businesses</w:t>
      </w:r>
    </w:p>
    <w:p w14:paraId="2EE29AE1" w14:textId="77777777" w:rsidR="007F5DB3" w:rsidRPr="00AC4D7B" w:rsidRDefault="007F5DB3" w:rsidP="007F5DB3">
      <w:pPr>
        <w:pStyle w:val="ListParagraph"/>
        <w:widowControl w:val="0"/>
        <w:numPr>
          <w:ilvl w:val="0"/>
          <w:numId w:val="49"/>
        </w:numPr>
        <w:tabs>
          <w:tab w:val="left" w:pos="2036"/>
        </w:tabs>
        <w:spacing w:before="67"/>
        <w:jc w:val="left"/>
        <w:rPr>
          <w:sz w:val="28"/>
        </w:rPr>
      </w:pPr>
      <w:r w:rsidRPr="00AC4D7B">
        <w:rPr>
          <w:color w:val="893895"/>
          <w:spacing w:val="-5"/>
          <w:w w:val="120"/>
          <w:sz w:val="28"/>
        </w:rPr>
        <w:t>Invests</w:t>
      </w:r>
      <w:r w:rsidRPr="00AC4D7B">
        <w:rPr>
          <w:color w:val="893895"/>
          <w:spacing w:val="-41"/>
          <w:w w:val="120"/>
          <w:sz w:val="28"/>
        </w:rPr>
        <w:t xml:space="preserve"> </w:t>
      </w:r>
      <w:r w:rsidRPr="00AC4D7B">
        <w:rPr>
          <w:color w:val="893895"/>
          <w:spacing w:val="-13"/>
          <w:w w:val="120"/>
          <w:sz w:val="28"/>
        </w:rPr>
        <w:t>in</w:t>
      </w:r>
      <w:r w:rsidRPr="00AC4D7B">
        <w:rPr>
          <w:color w:val="893895"/>
          <w:spacing w:val="-49"/>
          <w:w w:val="120"/>
          <w:sz w:val="28"/>
        </w:rPr>
        <w:t xml:space="preserve"> </w:t>
      </w:r>
      <w:r w:rsidRPr="00AC4D7B">
        <w:rPr>
          <w:color w:val="893895"/>
          <w:w w:val="120"/>
          <w:sz w:val="28"/>
        </w:rPr>
        <w:t>improving</w:t>
      </w:r>
      <w:r w:rsidRPr="00AC4D7B">
        <w:rPr>
          <w:color w:val="893895"/>
          <w:spacing w:val="-53"/>
          <w:w w:val="120"/>
          <w:sz w:val="28"/>
        </w:rPr>
        <w:t xml:space="preserve"> </w:t>
      </w:r>
      <w:r w:rsidRPr="00AC4D7B">
        <w:rPr>
          <w:color w:val="893895"/>
          <w:w w:val="120"/>
          <w:sz w:val="28"/>
        </w:rPr>
        <w:t>the</w:t>
      </w:r>
      <w:r w:rsidRPr="00AC4D7B">
        <w:rPr>
          <w:color w:val="893895"/>
          <w:spacing w:val="-38"/>
          <w:w w:val="120"/>
          <w:sz w:val="28"/>
        </w:rPr>
        <w:t xml:space="preserve"> </w:t>
      </w:r>
      <w:r w:rsidRPr="00AC4D7B">
        <w:rPr>
          <w:color w:val="893895"/>
          <w:w w:val="120"/>
          <w:sz w:val="28"/>
        </w:rPr>
        <w:t>borough</w:t>
      </w:r>
    </w:p>
    <w:p w14:paraId="465C777A" w14:textId="77777777" w:rsidR="007F5DB3" w:rsidRPr="00AC4D7B" w:rsidRDefault="007F5DB3" w:rsidP="007F5DB3">
      <w:pPr>
        <w:rPr>
          <w:sz w:val="28"/>
        </w:rPr>
        <w:sectPr w:rsidR="007F5DB3" w:rsidRPr="00AC4D7B">
          <w:type w:val="continuous"/>
          <w:pgSz w:w="23820" w:h="16840" w:orient="landscape"/>
          <w:pgMar w:top="380" w:right="0" w:bottom="0" w:left="0" w:header="720" w:footer="720" w:gutter="0"/>
          <w:cols w:num="2" w:space="720" w:equalWidth="0">
            <w:col w:w="7327" w:space="8522"/>
            <w:col w:w="7971"/>
          </w:cols>
        </w:sectPr>
      </w:pPr>
    </w:p>
    <w:p w14:paraId="64605B52" w14:textId="77777777" w:rsidR="007F5DB3" w:rsidRPr="00AC4D7B" w:rsidRDefault="007F5DB3" w:rsidP="007F5DB3">
      <w:pPr>
        <w:pStyle w:val="BodyText"/>
      </w:pPr>
    </w:p>
    <w:p w14:paraId="5F9C52C5" w14:textId="77777777" w:rsidR="007F5DB3" w:rsidRPr="00AC4D7B" w:rsidRDefault="007F5DB3" w:rsidP="007F5DB3">
      <w:pPr>
        <w:pStyle w:val="BodyText"/>
        <w:spacing w:before="5"/>
        <w:rPr>
          <w:sz w:val="25"/>
        </w:rPr>
      </w:pPr>
    </w:p>
    <w:p w14:paraId="0B2044AF" w14:textId="77777777" w:rsidR="007F5DB3" w:rsidRPr="00AC4D7B" w:rsidRDefault="007F5DB3" w:rsidP="007F5DB3">
      <w:pPr>
        <w:spacing w:before="43"/>
        <w:ind w:left="3537" w:right="3381"/>
        <w:jc w:val="center"/>
        <w:rPr>
          <w:b/>
          <w:sz w:val="45"/>
        </w:rPr>
      </w:pPr>
      <w:r w:rsidRPr="00AC4D7B">
        <w:rPr>
          <w:b/>
          <w:color w:val="03529E"/>
          <w:w w:val="105"/>
          <w:sz w:val="45"/>
        </w:rPr>
        <w:t>Our vision:</w:t>
      </w:r>
    </w:p>
    <w:p w14:paraId="6FF79D60" w14:textId="77777777" w:rsidR="007F5DB3" w:rsidRPr="00AC4D7B" w:rsidRDefault="007F5DB3" w:rsidP="007F5DB3">
      <w:pPr>
        <w:spacing w:before="70" w:line="300" w:lineRule="auto"/>
        <w:ind w:left="3537" w:right="3486"/>
        <w:jc w:val="center"/>
        <w:rPr>
          <w:sz w:val="33"/>
        </w:rPr>
      </w:pPr>
      <w:r w:rsidRPr="00AC4D7B">
        <w:rPr>
          <w:color w:val="03529E"/>
          <w:w w:val="110"/>
          <w:sz w:val="33"/>
        </w:rPr>
        <w:t>A healthy and happy community</w:t>
      </w:r>
      <w:r w:rsidRPr="00AC4D7B">
        <w:rPr>
          <w:color w:val="2369AC"/>
          <w:w w:val="110"/>
          <w:sz w:val="33"/>
        </w:rPr>
        <w:t xml:space="preserve">, </w:t>
      </w:r>
      <w:r w:rsidRPr="00AC4D7B">
        <w:rPr>
          <w:color w:val="03529E"/>
          <w:w w:val="110"/>
          <w:sz w:val="33"/>
        </w:rPr>
        <w:t xml:space="preserve">flourishing together in a safer </w:t>
      </w:r>
      <w:r w:rsidRPr="00AC4D7B">
        <w:rPr>
          <w:color w:val="03529E"/>
          <w:w w:val="110"/>
          <w:sz w:val="33"/>
        </w:rPr>
        <w:lastRenderedPageBreak/>
        <w:t>and fairer borough that is led by a council recognised for being innovative,</w:t>
      </w:r>
      <w:r w:rsidRPr="00AC4D7B">
        <w:rPr>
          <w:color w:val="03529E"/>
          <w:spacing w:val="-58"/>
          <w:w w:val="110"/>
          <w:sz w:val="33"/>
        </w:rPr>
        <w:t xml:space="preserve"> </w:t>
      </w:r>
      <w:r w:rsidRPr="00AC4D7B">
        <w:rPr>
          <w:color w:val="03529E"/>
          <w:w w:val="110"/>
          <w:sz w:val="33"/>
        </w:rPr>
        <w:t xml:space="preserve">financially sustainable and </w:t>
      </w:r>
      <w:r w:rsidRPr="00AC4D7B">
        <w:rPr>
          <w:color w:val="03529E"/>
          <w:spacing w:val="2"/>
          <w:w w:val="110"/>
          <w:sz w:val="33"/>
        </w:rPr>
        <w:t>accountable</w:t>
      </w:r>
      <w:r w:rsidRPr="00AC4D7B">
        <w:rPr>
          <w:color w:val="2369AC"/>
          <w:spacing w:val="2"/>
          <w:w w:val="110"/>
          <w:sz w:val="33"/>
        </w:rPr>
        <w:t>.</w:t>
      </w:r>
    </w:p>
    <w:p w14:paraId="095D67BC" w14:textId="77777777" w:rsidR="007F5DB3" w:rsidRPr="00AC4D7B" w:rsidRDefault="007F5DB3" w:rsidP="007F5DB3">
      <w:pPr>
        <w:spacing w:line="300" w:lineRule="auto"/>
        <w:jc w:val="center"/>
        <w:rPr>
          <w:sz w:val="33"/>
        </w:rPr>
        <w:sectPr w:rsidR="007F5DB3" w:rsidRPr="00AC4D7B">
          <w:type w:val="continuous"/>
          <w:pgSz w:w="23820" w:h="16840" w:orient="landscape"/>
          <w:pgMar w:top="380" w:right="0" w:bottom="0" w:left="0" w:header="720" w:footer="720" w:gutter="0"/>
          <w:cols w:space="720"/>
        </w:sectPr>
      </w:pPr>
    </w:p>
    <w:p w14:paraId="5F615483" w14:textId="77777777" w:rsidR="007F5DB3" w:rsidRPr="00AC4D7B" w:rsidRDefault="007F5DB3" w:rsidP="007F5DB3">
      <w:pPr>
        <w:pStyle w:val="BodyText"/>
        <w:rPr>
          <w:sz w:val="42"/>
        </w:rPr>
      </w:pPr>
    </w:p>
    <w:p w14:paraId="33F40ECA" w14:textId="77777777" w:rsidR="007F5DB3" w:rsidRPr="00AC4D7B" w:rsidRDefault="007F5DB3" w:rsidP="007F5DB3">
      <w:pPr>
        <w:rPr>
          <w:sz w:val="35"/>
        </w:rPr>
        <w:sectPr w:rsidR="007F5DB3" w:rsidRPr="00AC4D7B">
          <w:type w:val="continuous"/>
          <w:pgSz w:w="23820" w:h="16840" w:orient="landscape"/>
          <w:pgMar w:top="380" w:right="0" w:bottom="0" w:left="0" w:header="720" w:footer="720" w:gutter="0"/>
          <w:cols w:space="720"/>
        </w:sectPr>
      </w:pPr>
    </w:p>
    <w:p w14:paraId="34E8361F" w14:textId="77777777" w:rsidR="007F5DB3" w:rsidRPr="00AC4D7B" w:rsidRDefault="007F5DB3" w:rsidP="007F5DB3">
      <w:pPr>
        <w:tabs>
          <w:tab w:val="left" w:pos="6577"/>
        </w:tabs>
      </w:pPr>
      <w:r w:rsidRPr="00AC4D7B">
        <w:lastRenderedPageBreak/>
        <w:t xml:space="preserve">The areas of activity and the identified projects associated with each of these are identified below, together with examples of performance against them in 2020/21. A detailed report regarding performance was taken to Budget and Performance Scrutiny on 14 June 2021 and was approved by Executive Cabinet on 16 June 2021, the report can be found </w:t>
      </w:r>
      <w:hyperlink r:id="rId22" w:history="1">
        <w:r w:rsidRPr="00AC4D7B">
          <w:rPr>
            <w:rStyle w:val="Hyperlink"/>
          </w:rPr>
          <w:t>here</w:t>
        </w:r>
      </w:hyperlink>
      <w:r w:rsidRPr="00AC4D7B">
        <w:t>.</w:t>
      </w:r>
    </w:p>
    <w:p w14:paraId="4B711BD4" w14:textId="77777777" w:rsidR="007F5DB3" w:rsidRPr="00AC4D7B" w:rsidRDefault="007F5DB3" w:rsidP="007F5DB3">
      <w:pPr>
        <w:ind w:right="-1"/>
      </w:pPr>
    </w:p>
    <w:p w14:paraId="4D456251" w14:textId="77777777" w:rsidR="007F5DB3" w:rsidRPr="00AC4D7B" w:rsidRDefault="007F5DB3" w:rsidP="007F5DB3">
      <w:pPr>
        <w:rPr>
          <w:b/>
          <w:bCs/>
        </w:rPr>
      </w:pPr>
    </w:p>
    <w:p w14:paraId="79D99025" w14:textId="77777777" w:rsidR="007F5DB3" w:rsidRPr="00AC4D7B" w:rsidRDefault="007F5DB3" w:rsidP="007F5DB3">
      <w:pPr>
        <w:rPr>
          <w:b/>
        </w:rPr>
      </w:pPr>
      <w:bookmarkStart w:id="4" w:name="_Hlk41483606"/>
      <w:bookmarkStart w:id="5" w:name="_Toc41557768"/>
    </w:p>
    <w:bookmarkEnd w:id="4"/>
    <w:bookmarkEnd w:id="5"/>
    <w:p w14:paraId="2A7BC9AA" w14:textId="77777777" w:rsidR="007F5DB3" w:rsidRPr="00AC4D7B" w:rsidRDefault="007F5DB3" w:rsidP="007F5DB3">
      <w:pPr>
        <w:rPr>
          <w:rFonts w:cs="Arial"/>
          <w:b/>
          <w:szCs w:val="22"/>
        </w:rPr>
      </w:pPr>
      <w:r w:rsidRPr="00AC4D7B">
        <w:rPr>
          <w:noProof/>
        </w:rPr>
        <w:drawing>
          <wp:inline distT="0" distB="0" distL="0" distR="0" wp14:anchorId="136DBAD0" wp14:editId="73A4753B">
            <wp:extent cx="3524250" cy="102933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58139" cy="1039236"/>
                    </a:xfrm>
                    <a:prstGeom prst="rect">
                      <a:avLst/>
                    </a:prstGeom>
                  </pic:spPr>
                </pic:pic>
              </a:graphicData>
            </a:graphic>
          </wp:inline>
        </w:drawing>
      </w:r>
    </w:p>
    <w:p w14:paraId="69F439B9" w14:textId="77777777" w:rsidR="007F5DB3" w:rsidRPr="00AC4D7B" w:rsidRDefault="007F5DB3" w:rsidP="007F5DB3">
      <w:pPr>
        <w:rPr>
          <w:rFonts w:cs="Arial"/>
          <w:b/>
          <w:szCs w:val="22"/>
        </w:rPr>
      </w:pPr>
    </w:p>
    <w:p w14:paraId="59576C89" w14:textId="77777777" w:rsidR="007F5DB3" w:rsidRPr="00AC4D7B" w:rsidRDefault="007F5DB3" w:rsidP="007F5DB3">
      <w:pPr>
        <w:autoSpaceDE w:val="0"/>
        <w:autoSpaceDN w:val="0"/>
        <w:adjustRightInd w:val="0"/>
        <w:jc w:val="left"/>
        <w:rPr>
          <w:rFonts w:cs="Arial"/>
          <w:b/>
          <w:bCs/>
          <w:szCs w:val="22"/>
        </w:rPr>
      </w:pPr>
      <w:r w:rsidRPr="00AC4D7B">
        <w:rPr>
          <w:rFonts w:cs="Arial"/>
          <w:b/>
          <w:bCs/>
          <w:szCs w:val="22"/>
        </w:rPr>
        <w:t>Achievements:</w:t>
      </w:r>
    </w:p>
    <w:p w14:paraId="09EBA70E" w14:textId="77777777" w:rsidR="007F5DB3" w:rsidRPr="00AC4D7B" w:rsidRDefault="007F5DB3" w:rsidP="007F5DB3">
      <w:pPr>
        <w:autoSpaceDE w:val="0"/>
        <w:autoSpaceDN w:val="0"/>
        <w:adjustRightInd w:val="0"/>
        <w:jc w:val="left"/>
        <w:rPr>
          <w:rFonts w:cs="Arial"/>
          <w:b/>
          <w:bCs/>
          <w:szCs w:val="22"/>
        </w:rPr>
      </w:pPr>
    </w:p>
    <w:p w14:paraId="30746B0D" w14:textId="77777777" w:rsidR="007F5DB3" w:rsidRPr="00AC4D7B" w:rsidRDefault="007F5DB3" w:rsidP="007F5DB3">
      <w:pPr>
        <w:autoSpaceDE w:val="0"/>
        <w:autoSpaceDN w:val="0"/>
        <w:adjustRightInd w:val="0"/>
        <w:rPr>
          <w:rFonts w:cs="Arial"/>
          <w:szCs w:val="22"/>
        </w:rPr>
      </w:pPr>
      <w:r w:rsidRPr="00AC4D7B">
        <w:rPr>
          <w:rFonts w:cs="Arial"/>
          <w:szCs w:val="22"/>
        </w:rPr>
        <w:t>The project to transform the way the council operates has made good progress with the establishment of a shared Chief Executive and management team. Effective governance structures have been put in place including weekly Senior Management Team meetings and monthly Leadership Team meetings to ensure clear strategic direction and communication. Work to review services has also advanced with the completion of the first stage of the ICT review including structures, budgets and sharing opportunities identified and consulted on ready for implementation. The shared model for ICT services supports the development of the Joint Digital Strategy action plan with year 1 delivery due to begin in quarter one 2021-22.</w:t>
      </w:r>
    </w:p>
    <w:p w14:paraId="7D3B9694" w14:textId="77777777" w:rsidR="007F5DB3" w:rsidRPr="00AC4D7B" w:rsidRDefault="007F5DB3" w:rsidP="007F5DB3">
      <w:pPr>
        <w:autoSpaceDE w:val="0"/>
        <w:autoSpaceDN w:val="0"/>
        <w:adjustRightInd w:val="0"/>
        <w:jc w:val="left"/>
        <w:rPr>
          <w:rFonts w:cs="Arial"/>
          <w:szCs w:val="22"/>
        </w:rPr>
      </w:pPr>
    </w:p>
    <w:p w14:paraId="720CA931" w14:textId="77777777" w:rsidR="007F5DB3" w:rsidRPr="00AC4D7B" w:rsidRDefault="007F5DB3" w:rsidP="007F5DB3">
      <w:pPr>
        <w:autoSpaceDE w:val="0"/>
        <w:autoSpaceDN w:val="0"/>
        <w:adjustRightInd w:val="0"/>
        <w:rPr>
          <w:rFonts w:cs="Arial"/>
          <w:szCs w:val="22"/>
        </w:rPr>
      </w:pPr>
      <w:r w:rsidRPr="00AC4D7B">
        <w:rPr>
          <w:rFonts w:cs="Arial"/>
          <w:szCs w:val="22"/>
        </w:rPr>
        <w:t xml:space="preserve">The development of shared arrangements for Customer Services is ongoing in line with the project plan. Staff have had the opportunity to feed in their views and ideas through workshop and other sessions. From this, the initial key objectives and priorities for the service, alongside high-level proposals for a shared model have been developed and scoped and was reported to the Shared Services Joint Committee on 21 June 2021. </w:t>
      </w:r>
    </w:p>
    <w:p w14:paraId="6AC3BFB3" w14:textId="77777777" w:rsidR="007F5DB3" w:rsidRPr="00AC4D7B" w:rsidRDefault="007F5DB3" w:rsidP="007F5DB3">
      <w:pPr>
        <w:autoSpaceDE w:val="0"/>
        <w:autoSpaceDN w:val="0"/>
        <w:adjustRightInd w:val="0"/>
        <w:jc w:val="left"/>
        <w:rPr>
          <w:rFonts w:cs="Arial"/>
          <w:szCs w:val="22"/>
        </w:rPr>
      </w:pPr>
    </w:p>
    <w:p w14:paraId="729E1C74" w14:textId="77777777" w:rsidR="007F5DB3" w:rsidRPr="00AC4D7B" w:rsidRDefault="007F5DB3" w:rsidP="007F5DB3">
      <w:pPr>
        <w:autoSpaceDE w:val="0"/>
        <w:autoSpaceDN w:val="0"/>
        <w:adjustRightInd w:val="0"/>
        <w:rPr>
          <w:rFonts w:cs="Arial"/>
          <w:szCs w:val="22"/>
        </w:rPr>
      </w:pPr>
      <w:r w:rsidRPr="00AC4D7B">
        <w:rPr>
          <w:rFonts w:cs="Arial"/>
          <w:szCs w:val="22"/>
        </w:rPr>
        <w:t xml:space="preserve">Work with partners to design and deliver better public services has been moved forward with a joint workshop between South </w:t>
      </w:r>
      <w:proofErr w:type="spellStart"/>
      <w:r w:rsidRPr="00AC4D7B">
        <w:rPr>
          <w:rFonts w:cs="Arial"/>
          <w:szCs w:val="22"/>
        </w:rPr>
        <w:t>Ribble</w:t>
      </w:r>
      <w:proofErr w:type="spellEnd"/>
      <w:r w:rsidRPr="00AC4D7B">
        <w:rPr>
          <w:rFonts w:cs="Arial"/>
          <w:szCs w:val="22"/>
        </w:rPr>
        <w:t xml:space="preserve"> Partnership and Chorley Partnership in March 2021 to identify opportunities for working together in line with sovereign priorities. Partners recognised the benefits of a single partnership across the two districts, which will cover over 200,000 residents and provide greater opportunities to deliver change at scale and be able to deliver greater outcomes to residents through the sharing of experience, resources, and knowledge. At the South </w:t>
      </w:r>
      <w:proofErr w:type="spellStart"/>
      <w:r w:rsidRPr="00AC4D7B">
        <w:rPr>
          <w:rFonts w:cs="Arial"/>
          <w:szCs w:val="22"/>
        </w:rPr>
        <w:t>Ribble</w:t>
      </w:r>
      <w:proofErr w:type="spellEnd"/>
      <w:r w:rsidRPr="00AC4D7B">
        <w:rPr>
          <w:rFonts w:cs="Arial"/>
          <w:szCs w:val="22"/>
        </w:rPr>
        <w:t xml:space="preserve"> Partnership in May 2021 partners considered new governance arrangements for a combined Chorley and South </w:t>
      </w:r>
      <w:proofErr w:type="spellStart"/>
      <w:r w:rsidRPr="00AC4D7B">
        <w:rPr>
          <w:rFonts w:cs="Arial"/>
          <w:szCs w:val="22"/>
        </w:rPr>
        <w:t>Ribble</w:t>
      </w:r>
      <w:proofErr w:type="spellEnd"/>
      <w:r w:rsidRPr="00AC4D7B">
        <w:rPr>
          <w:rFonts w:cs="Arial"/>
          <w:szCs w:val="22"/>
        </w:rPr>
        <w:t xml:space="preserve"> place-based partnership. The arrangements provide opportunities to focus on South </w:t>
      </w:r>
      <w:proofErr w:type="spellStart"/>
      <w:r w:rsidRPr="00AC4D7B">
        <w:rPr>
          <w:rFonts w:cs="Arial"/>
          <w:szCs w:val="22"/>
        </w:rPr>
        <w:t>Ribble</w:t>
      </w:r>
      <w:proofErr w:type="spellEnd"/>
      <w:r w:rsidRPr="00AC4D7B">
        <w:rPr>
          <w:rFonts w:cs="Arial"/>
          <w:szCs w:val="22"/>
        </w:rPr>
        <w:t xml:space="preserve"> issues, while also benefitting from the opportunity to work across the two boroughs where it is</w:t>
      </w:r>
    </w:p>
    <w:p w14:paraId="36B67398" w14:textId="77777777" w:rsidR="007F5DB3" w:rsidRPr="00AC4D7B" w:rsidRDefault="007F5DB3" w:rsidP="007F5DB3">
      <w:pPr>
        <w:autoSpaceDE w:val="0"/>
        <w:autoSpaceDN w:val="0"/>
        <w:adjustRightInd w:val="0"/>
        <w:jc w:val="left"/>
        <w:rPr>
          <w:rFonts w:cs="Arial"/>
          <w:szCs w:val="22"/>
        </w:rPr>
      </w:pPr>
      <w:r w:rsidRPr="00AC4D7B">
        <w:rPr>
          <w:rFonts w:cs="Arial"/>
          <w:szCs w:val="22"/>
        </w:rPr>
        <w:t>appropriate.</w:t>
      </w:r>
    </w:p>
    <w:p w14:paraId="107D65F7" w14:textId="77777777" w:rsidR="007F5DB3" w:rsidRPr="00AC4D7B" w:rsidRDefault="007F5DB3" w:rsidP="007F5DB3">
      <w:pPr>
        <w:autoSpaceDE w:val="0"/>
        <w:autoSpaceDN w:val="0"/>
        <w:adjustRightInd w:val="0"/>
        <w:jc w:val="left"/>
        <w:rPr>
          <w:rFonts w:cs="Arial"/>
          <w:szCs w:val="22"/>
        </w:rPr>
      </w:pPr>
    </w:p>
    <w:p w14:paraId="35BD5CBE" w14:textId="77777777" w:rsidR="007F5DB3" w:rsidRPr="00AC4D7B" w:rsidRDefault="007F5DB3" w:rsidP="007F5DB3">
      <w:pPr>
        <w:autoSpaceDE w:val="0"/>
        <w:autoSpaceDN w:val="0"/>
        <w:adjustRightInd w:val="0"/>
        <w:jc w:val="left"/>
        <w:rPr>
          <w:rFonts w:cs="Arial"/>
          <w:szCs w:val="22"/>
        </w:rPr>
      </w:pPr>
      <w:r w:rsidRPr="00AC4D7B">
        <w:rPr>
          <w:rFonts w:cs="Arial"/>
          <w:szCs w:val="22"/>
        </w:rPr>
        <w:t>The Annual Governance Statement (AGS) action plan continues to improve the transparency and openness of the council. Progress has been reported to the Governance Committee in March 2021 outlining the activities that have been completed against the AGS action plan. Governance Committee approved a new Risk Management Strategy and agreed the principles of a Key Partnerships and Contracts Framework which will be finalised and adopted to ensure robust monitoring of key strategic partnerships. The Financial Procedure Rules were also referred to</w:t>
      </w:r>
    </w:p>
    <w:p w14:paraId="3C9BBEB7" w14:textId="77777777" w:rsidR="007F5DB3" w:rsidRPr="00AC4D7B" w:rsidRDefault="007F5DB3" w:rsidP="007F5DB3">
      <w:pPr>
        <w:rPr>
          <w:rFonts w:cs="Arial"/>
          <w:szCs w:val="22"/>
        </w:rPr>
      </w:pPr>
      <w:r w:rsidRPr="00AC4D7B">
        <w:rPr>
          <w:rFonts w:cs="Arial"/>
          <w:szCs w:val="22"/>
        </w:rPr>
        <w:t xml:space="preserve">Governance Committee for their approval. </w:t>
      </w:r>
    </w:p>
    <w:p w14:paraId="3DF03637" w14:textId="77777777" w:rsidR="007F5DB3" w:rsidRPr="00AC4D7B" w:rsidRDefault="007F5DB3" w:rsidP="007F5DB3">
      <w:pPr>
        <w:rPr>
          <w:rFonts w:cs="Arial"/>
          <w:szCs w:val="22"/>
        </w:rPr>
      </w:pPr>
    </w:p>
    <w:p w14:paraId="435CBD9D" w14:textId="77777777" w:rsidR="007F5DB3" w:rsidRPr="00AC4D7B" w:rsidRDefault="007F5DB3" w:rsidP="007F5DB3">
      <w:pPr>
        <w:autoSpaceDE w:val="0"/>
        <w:autoSpaceDN w:val="0"/>
        <w:adjustRightInd w:val="0"/>
        <w:jc w:val="left"/>
        <w:rPr>
          <w:rFonts w:cs="Arial"/>
          <w:szCs w:val="22"/>
        </w:rPr>
      </w:pPr>
      <w:r w:rsidRPr="00AC4D7B">
        <w:rPr>
          <w:rFonts w:cs="Arial"/>
          <w:szCs w:val="22"/>
        </w:rPr>
        <w:t>Of the four projects within this priority, three are green and on track and one has not</w:t>
      </w:r>
    </w:p>
    <w:p w14:paraId="57E2FD83" w14:textId="77777777" w:rsidR="007F5DB3" w:rsidRPr="00AC4D7B" w:rsidRDefault="007F5DB3" w:rsidP="007F5DB3">
      <w:pPr>
        <w:rPr>
          <w:rFonts w:cs="Arial"/>
          <w:szCs w:val="22"/>
        </w:rPr>
      </w:pPr>
      <w:r w:rsidRPr="00AC4D7B">
        <w:rPr>
          <w:rFonts w:cs="Arial"/>
          <w:szCs w:val="22"/>
        </w:rPr>
        <w:t>yet started.</w:t>
      </w:r>
    </w:p>
    <w:p w14:paraId="3A245D63" w14:textId="77777777" w:rsidR="007F5DB3" w:rsidRPr="00AC4D7B" w:rsidRDefault="007F5DB3" w:rsidP="007F5DB3">
      <w:pPr>
        <w:rPr>
          <w:rFonts w:cs="Arial"/>
          <w:szCs w:val="22"/>
        </w:rPr>
      </w:pPr>
    </w:p>
    <w:p w14:paraId="201F6DCB" w14:textId="77777777" w:rsidR="007F5DB3" w:rsidRPr="00AC4D7B" w:rsidRDefault="007F5DB3" w:rsidP="007F5DB3">
      <w:pPr>
        <w:rPr>
          <w:rFonts w:cs="Arial"/>
          <w:b/>
          <w:szCs w:val="22"/>
        </w:rPr>
      </w:pPr>
      <w:r w:rsidRPr="00AC4D7B">
        <w:rPr>
          <w:noProof/>
        </w:rPr>
        <w:drawing>
          <wp:inline distT="0" distB="0" distL="0" distR="0" wp14:anchorId="07325711" wp14:editId="3142D9C1">
            <wp:extent cx="6120130" cy="185610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1856105"/>
                    </a:xfrm>
                    <a:prstGeom prst="rect">
                      <a:avLst/>
                    </a:prstGeom>
                  </pic:spPr>
                </pic:pic>
              </a:graphicData>
            </a:graphic>
          </wp:inline>
        </w:drawing>
      </w:r>
    </w:p>
    <w:p w14:paraId="70C3BB84" w14:textId="77777777" w:rsidR="007F5DB3" w:rsidRPr="00AC4D7B" w:rsidRDefault="007F5DB3" w:rsidP="007F5DB3">
      <w:pPr>
        <w:rPr>
          <w:rFonts w:cs="Arial"/>
          <w:b/>
          <w:szCs w:val="22"/>
        </w:rPr>
      </w:pPr>
    </w:p>
    <w:p w14:paraId="1FFDAEB1" w14:textId="77777777" w:rsidR="007F5DB3" w:rsidRPr="00AC4D7B" w:rsidRDefault="007F5DB3" w:rsidP="007F5DB3">
      <w:pPr>
        <w:jc w:val="left"/>
        <w:rPr>
          <w:b/>
          <w:bCs/>
        </w:rPr>
      </w:pPr>
      <w:r w:rsidRPr="00AC4D7B">
        <w:rPr>
          <w:noProof/>
        </w:rPr>
        <w:drawing>
          <wp:inline distT="0" distB="0" distL="0" distR="0" wp14:anchorId="6CA88BE4" wp14:editId="190B8E4F">
            <wp:extent cx="3467100" cy="957248"/>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89614" cy="963464"/>
                    </a:xfrm>
                    <a:prstGeom prst="rect">
                      <a:avLst/>
                    </a:prstGeom>
                  </pic:spPr>
                </pic:pic>
              </a:graphicData>
            </a:graphic>
          </wp:inline>
        </w:drawing>
      </w:r>
    </w:p>
    <w:p w14:paraId="622379F7" w14:textId="77777777" w:rsidR="007F5DB3" w:rsidRPr="00AC4D7B" w:rsidRDefault="007F5DB3" w:rsidP="007F5DB3">
      <w:pPr>
        <w:jc w:val="left"/>
        <w:rPr>
          <w:b/>
          <w:bCs/>
        </w:rPr>
      </w:pPr>
    </w:p>
    <w:p w14:paraId="060AE561" w14:textId="77777777" w:rsidR="007F5DB3" w:rsidRPr="00AC4D7B" w:rsidRDefault="007F5DB3" w:rsidP="007F5DB3">
      <w:pPr>
        <w:jc w:val="left"/>
        <w:rPr>
          <w:b/>
          <w:bCs/>
        </w:rPr>
      </w:pPr>
      <w:r w:rsidRPr="00AC4D7B">
        <w:rPr>
          <w:b/>
          <w:bCs/>
        </w:rPr>
        <w:t xml:space="preserve">Achievements </w:t>
      </w:r>
    </w:p>
    <w:p w14:paraId="6B0E7C3F" w14:textId="77777777" w:rsidR="007F5DB3" w:rsidRPr="00AC4D7B" w:rsidRDefault="007F5DB3" w:rsidP="007F5DB3">
      <w:pPr>
        <w:jc w:val="left"/>
        <w:rPr>
          <w:b/>
          <w:bCs/>
        </w:rPr>
      </w:pPr>
    </w:p>
    <w:p w14:paraId="25C17E11" w14:textId="77777777" w:rsidR="007F5DB3" w:rsidRPr="00AC4D7B" w:rsidRDefault="007F5DB3" w:rsidP="007F5DB3">
      <w:r w:rsidRPr="00AC4D7B">
        <w:t xml:space="preserve">The project to deliver a mental health support programme for young people has progressed. Work has been focused on building of relationships with mental health support services available in South </w:t>
      </w:r>
      <w:proofErr w:type="spellStart"/>
      <w:r w:rsidRPr="00AC4D7B">
        <w:t>Ribble</w:t>
      </w:r>
      <w:proofErr w:type="spellEnd"/>
      <w:r w:rsidRPr="00AC4D7B">
        <w:t xml:space="preserve">. A directory of mental health services for young people has been developed and published on the Council’s website. The aim of the directory is to raise awareness of metal health services both locally and nationally. </w:t>
      </w:r>
    </w:p>
    <w:p w14:paraId="0B0E0B5A" w14:textId="77777777" w:rsidR="007F5DB3" w:rsidRPr="00AC4D7B" w:rsidRDefault="007F5DB3" w:rsidP="007F5DB3">
      <w:pPr>
        <w:jc w:val="left"/>
      </w:pPr>
    </w:p>
    <w:p w14:paraId="34D61F83" w14:textId="77777777" w:rsidR="007F5DB3" w:rsidRPr="00AC4D7B" w:rsidRDefault="007F5DB3" w:rsidP="007F5DB3">
      <w:r w:rsidRPr="00AC4D7B">
        <w:t xml:space="preserve">The focus of the Youth Council project has been to develop the contacts with key stakeholders, which includes Lancashire County Council Youth Services, all South </w:t>
      </w:r>
      <w:proofErr w:type="spellStart"/>
      <w:r w:rsidRPr="00AC4D7B">
        <w:t>Ribble</w:t>
      </w:r>
      <w:proofErr w:type="spellEnd"/>
      <w:r w:rsidRPr="00AC4D7B">
        <w:t xml:space="preserve"> high schools, young people groups and organisations. Best practice research has been undertaken via membership of the British Youth Council and the Co-operative Council Innovation Network (CCIN) highlighting the best methods of engaging young people effectively. Plans are now developing for the engagement methods to be used with young people to inform the structured consultations and engagement work that will commence in September 2021. The project has been promoted on social media to generate initial awareness and interest.</w:t>
      </w:r>
    </w:p>
    <w:p w14:paraId="1583B7B0" w14:textId="77777777" w:rsidR="007F5DB3" w:rsidRPr="00AC4D7B" w:rsidRDefault="007F5DB3" w:rsidP="007F5DB3">
      <w:pPr>
        <w:jc w:val="left"/>
      </w:pPr>
    </w:p>
    <w:p w14:paraId="792A9F45" w14:textId="77777777" w:rsidR="007F5DB3" w:rsidRPr="00AC4D7B" w:rsidRDefault="007F5DB3" w:rsidP="007F5DB3">
      <w:r w:rsidRPr="00AC4D7B">
        <w:t xml:space="preserve">The South </w:t>
      </w:r>
      <w:proofErr w:type="spellStart"/>
      <w:r w:rsidRPr="00AC4D7B">
        <w:t>Ribble</w:t>
      </w:r>
      <w:proofErr w:type="spellEnd"/>
      <w:r w:rsidRPr="00AC4D7B">
        <w:t xml:space="preserve"> Community Hub action plans were approved at Cabinet in March 2021 and activity has progressed across the hubs although with some limitations around consultation and engagement due to local restrictions (examined further in the action plan below). Examples of progress include the preparation work for online events for Penwortham Live and Longton Live, a community partnership with </w:t>
      </w:r>
      <w:proofErr w:type="spellStart"/>
      <w:r w:rsidRPr="00AC4D7B">
        <w:t>Samlesbury</w:t>
      </w:r>
      <w:proofErr w:type="spellEnd"/>
      <w:r w:rsidRPr="00AC4D7B">
        <w:t xml:space="preserve"> Civic Society to encourage and promote volunteering and further develop a community garden, and Securing the purchase of the Eagle and Child Bowling Club and securing a long term lease with the bowling club.</w:t>
      </w:r>
    </w:p>
    <w:p w14:paraId="732D0D14" w14:textId="77777777" w:rsidR="007F5DB3" w:rsidRPr="00AC4D7B" w:rsidRDefault="007F5DB3" w:rsidP="007F5DB3">
      <w:pPr>
        <w:jc w:val="left"/>
      </w:pPr>
    </w:p>
    <w:p w14:paraId="225BB194" w14:textId="77777777" w:rsidR="007F5DB3" w:rsidRPr="00AC4D7B" w:rsidRDefault="007F5DB3" w:rsidP="007F5DB3">
      <w:pPr>
        <w:rPr>
          <w:b/>
          <w:bCs/>
        </w:rPr>
      </w:pPr>
      <w:r w:rsidRPr="00AC4D7B">
        <w:t>In addition, as part of the Community Hub project, Foodbank Network partners have continued to support residents with food, cleaning products, toiletries, pet food and baby related goods. The Communities team has supported on a practical level with collecting and delivering large donations, providing accommodation, and referring people to appropriate services for help with other issues such as benefits and housing advice. The school uniform bank has expanded for 2021 to assist families struggling to purchase uniforms, and the recycling of good quality or unworn items</w:t>
      </w:r>
      <w:r w:rsidRPr="00AC4D7B">
        <w:rPr>
          <w:b/>
          <w:bCs/>
        </w:rPr>
        <w:t>.</w:t>
      </w:r>
    </w:p>
    <w:p w14:paraId="32B8313D" w14:textId="77777777" w:rsidR="007F5DB3" w:rsidRPr="00AC4D7B" w:rsidRDefault="007F5DB3" w:rsidP="007F5DB3"/>
    <w:p w14:paraId="5F45CD05" w14:textId="77777777" w:rsidR="007F5DB3" w:rsidRPr="00AC4D7B" w:rsidRDefault="007F5DB3" w:rsidP="007F5DB3">
      <w:r w:rsidRPr="00AC4D7B">
        <w:t>Of the three projects within this priority, two are rated green; and one is rated amber.</w:t>
      </w:r>
    </w:p>
    <w:p w14:paraId="13D72D2F" w14:textId="77777777" w:rsidR="007F5DB3" w:rsidRPr="00AC4D7B" w:rsidRDefault="007F5DB3" w:rsidP="007F5DB3"/>
    <w:p w14:paraId="40ED1AEC" w14:textId="77777777" w:rsidR="007F5DB3" w:rsidRPr="00AC4D7B" w:rsidRDefault="007F5DB3" w:rsidP="007F5DB3">
      <w:pPr>
        <w:rPr>
          <w:b/>
          <w:bCs/>
        </w:rPr>
      </w:pPr>
      <w:r w:rsidRPr="00AC4D7B">
        <w:rPr>
          <w:noProof/>
        </w:rPr>
        <w:drawing>
          <wp:inline distT="0" distB="0" distL="0" distR="0" wp14:anchorId="6B5F3680" wp14:editId="3EBAC97B">
            <wp:extent cx="6120130" cy="1559560"/>
            <wp:effectExtent l="0" t="0" r="0" b="254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1559560"/>
                    </a:xfrm>
                    <a:prstGeom prst="rect">
                      <a:avLst/>
                    </a:prstGeom>
                  </pic:spPr>
                </pic:pic>
              </a:graphicData>
            </a:graphic>
          </wp:inline>
        </w:drawing>
      </w:r>
    </w:p>
    <w:p w14:paraId="632EA813" w14:textId="77777777" w:rsidR="007F5DB3" w:rsidRPr="00AC4D7B" w:rsidRDefault="007F5DB3" w:rsidP="007F5DB3">
      <w:pPr>
        <w:rPr>
          <w:b/>
          <w:bCs/>
        </w:rPr>
      </w:pPr>
    </w:p>
    <w:p w14:paraId="0FF2C0AA" w14:textId="77777777" w:rsidR="007F5DB3" w:rsidRPr="00AC4D7B" w:rsidRDefault="007F5DB3" w:rsidP="007F5DB3">
      <w:pPr>
        <w:rPr>
          <w:b/>
          <w:bCs/>
        </w:rPr>
      </w:pPr>
      <w:r w:rsidRPr="00AC4D7B">
        <w:rPr>
          <w:noProof/>
        </w:rPr>
        <w:drawing>
          <wp:inline distT="0" distB="0" distL="0" distR="0" wp14:anchorId="1ED04CA0" wp14:editId="381860E7">
            <wp:extent cx="6120130" cy="5114925"/>
            <wp:effectExtent l="0" t="0" r="0"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5114925"/>
                    </a:xfrm>
                    <a:prstGeom prst="rect">
                      <a:avLst/>
                    </a:prstGeom>
                  </pic:spPr>
                </pic:pic>
              </a:graphicData>
            </a:graphic>
          </wp:inline>
        </w:drawing>
      </w:r>
    </w:p>
    <w:p w14:paraId="6ED5F27A" w14:textId="77777777" w:rsidR="007F5DB3" w:rsidRPr="00AC4D7B" w:rsidRDefault="007F5DB3" w:rsidP="007F5DB3">
      <w:pPr>
        <w:rPr>
          <w:b/>
          <w:bCs/>
        </w:rPr>
      </w:pPr>
    </w:p>
    <w:p w14:paraId="20C41F6B" w14:textId="77777777" w:rsidR="007F5DB3" w:rsidRPr="00AC4D7B" w:rsidRDefault="007F5DB3" w:rsidP="007F5DB3">
      <w:pPr>
        <w:jc w:val="left"/>
      </w:pPr>
      <w:r w:rsidRPr="00AC4D7B">
        <w:br w:type="page"/>
      </w:r>
    </w:p>
    <w:p w14:paraId="1EF61155" w14:textId="77777777" w:rsidR="007F5DB3" w:rsidRPr="00AC4D7B" w:rsidRDefault="007F5DB3" w:rsidP="007F5DB3">
      <w:pPr>
        <w:rPr>
          <w:b/>
          <w:bCs/>
        </w:rPr>
      </w:pPr>
      <w:r w:rsidRPr="00AC4D7B">
        <w:rPr>
          <w:noProof/>
        </w:rPr>
        <w:drawing>
          <wp:inline distT="0" distB="0" distL="0" distR="0" wp14:anchorId="1A4A6266" wp14:editId="32ADACC9">
            <wp:extent cx="3158770" cy="1133475"/>
            <wp:effectExtent l="0" t="0" r="381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62645" cy="1134866"/>
                    </a:xfrm>
                    <a:prstGeom prst="rect">
                      <a:avLst/>
                    </a:prstGeom>
                  </pic:spPr>
                </pic:pic>
              </a:graphicData>
            </a:graphic>
          </wp:inline>
        </w:drawing>
      </w:r>
    </w:p>
    <w:p w14:paraId="6103ABF7" w14:textId="77777777" w:rsidR="007F5DB3" w:rsidRPr="00AC4D7B" w:rsidRDefault="007F5DB3" w:rsidP="007F5DB3">
      <w:pPr>
        <w:rPr>
          <w:b/>
          <w:bCs/>
        </w:rPr>
      </w:pPr>
    </w:p>
    <w:p w14:paraId="64E90483" w14:textId="77777777" w:rsidR="007F5DB3" w:rsidRPr="00AC4D7B" w:rsidRDefault="007F5DB3" w:rsidP="007F5DB3">
      <w:pPr>
        <w:rPr>
          <w:b/>
          <w:bCs/>
        </w:rPr>
      </w:pPr>
      <w:r w:rsidRPr="00AC4D7B">
        <w:rPr>
          <w:b/>
          <w:bCs/>
        </w:rPr>
        <w:t>Achievements</w:t>
      </w:r>
    </w:p>
    <w:p w14:paraId="5A5EF100" w14:textId="77777777" w:rsidR="007F5DB3" w:rsidRPr="00AC4D7B" w:rsidRDefault="007F5DB3" w:rsidP="007F5DB3">
      <w:pPr>
        <w:rPr>
          <w:b/>
          <w:bCs/>
        </w:rPr>
      </w:pPr>
    </w:p>
    <w:p w14:paraId="07507DEC" w14:textId="77777777" w:rsidR="007F5DB3" w:rsidRPr="00AC4D7B" w:rsidRDefault="007F5DB3" w:rsidP="007F5DB3">
      <w:r w:rsidRPr="00AC4D7B">
        <w:t xml:space="preserve">As the national support programmes for businesses begin to reduce, a South </w:t>
      </w:r>
      <w:proofErr w:type="spellStart"/>
      <w:r w:rsidRPr="00AC4D7B">
        <w:t>Ribble</w:t>
      </w:r>
      <w:proofErr w:type="spellEnd"/>
      <w:r w:rsidRPr="00AC4D7B">
        <w:t xml:space="preserve"> business support programme will begin in quarter one 2021/22. Planned delivery will include a desktop research activity and a borough wide business survey to identify the local needs and objectives which will then define the overall business support programme. The programme should reduce the potential for business failures, support viable businesses, safeguard jobs, and support economic recovery following the impact of the pandemic. A reserve of £150k has been set aside in 2020/21 to support local businesses.</w:t>
      </w:r>
    </w:p>
    <w:p w14:paraId="35FB6FF2" w14:textId="77777777" w:rsidR="007F5DB3" w:rsidRPr="00AC4D7B" w:rsidRDefault="007F5DB3" w:rsidP="007F5DB3"/>
    <w:p w14:paraId="0A026D03" w14:textId="77777777" w:rsidR="007F5DB3" w:rsidRPr="00AC4D7B" w:rsidRDefault="007F5DB3" w:rsidP="007F5DB3">
      <w:r w:rsidRPr="00AC4D7B">
        <w:t>The Community Wealth Building project has made good progress with the appointment of the Community Wealth Building Coordinator. This will enable the programme to move at pace with a detailed programme to be prepared in quarter one of 2021/22 incorporating ongoing activity to develop a social value policy and procurement portal to help measure outcomes and quantify benefits for the community such as job creation and local spend. A reserve of £150k has been set aside in 2020/21 to support community wealth building projects.</w:t>
      </w:r>
    </w:p>
    <w:p w14:paraId="1A1CB441" w14:textId="77777777" w:rsidR="007F5DB3" w:rsidRPr="00AC4D7B" w:rsidRDefault="007F5DB3" w:rsidP="007F5DB3"/>
    <w:p w14:paraId="5A3BE2E0" w14:textId="77777777" w:rsidR="007F5DB3" w:rsidRPr="00AC4D7B" w:rsidRDefault="007F5DB3" w:rsidP="007F5DB3">
      <w:r w:rsidRPr="00AC4D7B">
        <w:t xml:space="preserve">Significant progress with establishing the Credit Union for South </w:t>
      </w:r>
      <w:proofErr w:type="spellStart"/>
      <w:r w:rsidRPr="00AC4D7B">
        <w:t>Ribble</w:t>
      </w:r>
      <w:proofErr w:type="spellEnd"/>
      <w:r w:rsidRPr="00AC4D7B">
        <w:t xml:space="preserve">. Unify Credit Union have extended their common bond to include all people who live and work in South </w:t>
      </w:r>
      <w:proofErr w:type="spellStart"/>
      <w:r w:rsidRPr="00AC4D7B">
        <w:t>Ribble</w:t>
      </w:r>
      <w:proofErr w:type="spellEnd"/>
      <w:r w:rsidRPr="00AC4D7B">
        <w:t xml:space="preserve">, which has increased the accessibility of the credit union’s services. The credit union branch, which is to be based at </w:t>
      </w:r>
      <w:proofErr w:type="spellStart"/>
      <w:r w:rsidRPr="00AC4D7B">
        <w:t>Towngate</w:t>
      </w:r>
      <w:proofErr w:type="spellEnd"/>
      <w:r w:rsidRPr="00AC4D7B">
        <w:t xml:space="preserve"> has been undergoing renovations and improvements which are due to be completed for opening by the end of June 2021.</w:t>
      </w:r>
    </w:p>
    <w:p w14:paraId="467B8D3B" w14:textId="77777777" w:rsidR="007F5DB3" w:rsidRPr="00AC4D7B" w:rsidRDefault="007F5DB3" w:rsidP="007F5DB3"/>
    <w:p w14:paraId="0CE5F2D1" w14:textId="77777777" w:rsidR="007F5DB3" w:rsidRPr="00AC4D7B" w:rsidRDefault="007F5DB3" w:rsidP="007F5DB3">
      <w:r w:rsidRPr="00AC4D7B">
        <w:t>Work to deliver year 1 of the Town Deal has been boosted by the news that the Town Investment Plan bid, as part of the Government’s £3.6 billion Town Fund was successful. The Leyland Town Board has the potential to now use £25 million to invest in the proposals put forward around three key project areas, which are Leyland town centre improvements, Leyland Market improvements and a business hub development for business for workspace, events and skills. Going forward, the project will deliver against the Head of Terms as set out by Ministry of Housing, Communities and Local Government (MHCLG) in the award letter. A project framework, procurement route and governance will be agreed for the delivery of the project to support Leyland Town Board and the Council.</w:t>
      </w:r>
    </w:p>
    <w:p w14:paraId="6CA1025B" w14:textId="77777777" w:rsidR="007F5DB3" w:rsidRPr="00AC4D7B" w:rsidRDefault="007F5DB3" w:rsidP="007F5DB3"/>
    <w:p w14:paraId="77E4535E" w14:textId="77777777" w:rsidR="007F5DB3" w:rsidRPr="00AC4D7B" w:rsidRDefault="007F5DB3" w:rsidP="007F5DB3">
      <w:r w:rsidRPr="00AC4D7B">
        <w:rPr>
          <w:rFonts w:cs="Arial"/>
          <w:szCs w:val="22"/>
        </w:rPr>
        <w:t>Of the three projects within this priority, two are green and one has not yet started.</w:t>
      </w:r>
    </w:p>
    <w:p w14:paraId="0D5F3629" w14:textId="77777777" w:rsidR="007F5DB3" w:rsidRPr="00AC4D7B" w:rsidRDefault="007F5DB3" w:rsidP="007F5DB3"/>
    <w:p w14:paraId="18AD83DC" w14:textId="77777777" w:rsidR="007F5DB3" w:rsidRPr="00AC4D7B" w:rsidRDefault="007F5DB3" w:rsidP="007F5DB3">
      <w:pPr>
        <w:rPr>
          <w:b/>
          <w:bCs/>
        </w:rPr>
      </w:pPr>
      <w:r w:rsidRPr="00AC4D7B">
        <w:rPr>
          <w:noProof/>
        </w:rPr>
        <w:drawing>
          <wp:inline distT="0" distB="0" distL="0" distR="0" wp14:anchorId="4BCA6AAB" wp14:editId="2F6AFF2F">
            <wp:extent cx="6120130" cy="1577340"/>
            <wp:effectExtent l="0" t="0" r="0" b="381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1577340"/>
                    </a:xfrm>
                    <a:prstGeom prst="rect">
                      <a:avLst/>
                    </a:prstGeom>
                  </pic:spPr>
                </pic:pic>
              </a:graphicData>
            </a:graphic>
          </wp:inline>
        </w:drawing>
      </w:r>
      <w:r w:rsidRPr="00AC4D7B">
        <w:rPr>
          <w:b/>
          <w:bCs/>
        </w:rPr>
        <w:br w:type="page"/>
      </w:r>
    </w:p>
    <w:p w14:paraId="53A854E7" w14:textId="77777777" w:rsidR="007F5DB3" w:rsidRPr="00AC4D7B" w:rsidRDefault="007F5DB3" w:rsidP="007F5DB3">
      <w:pPr>
        <w:jc w:val="left"/>
        <w:rPr>
          <w:b/>
          <w:bCs/>
        </w:rPr>
      </w:pPr>
      <w:r w:rsidRPr="00AC4D7B">
        <w:rPr>
          <w:noProof/>
        </w:rPr>
        <w:drawing>
          <wp:inline distT="0" distB="0" distL="0" distR="0" wp14:anchorId="36CC787B" wp14:editId="5D36C852">
            <wp:extent cx="3219450" cy="869252"/>
            <wp:effectExtent l="0" t="0" r="0" b="762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40371" cy="874901"/>
                    </a:xfrm>
                    <a:prstGeom prst="rect">
                      <a:avLst/>
                    </a:prstGeom>
                  </pic:spPr>
                </pic:pic>
              </a:graphicData>
            </a:graphic>
          </wp:inline>
        </w:drawing>
      </w:r>
    </w:p>
    <w:p w14:paraId="7BCE14C8" w14:textId="77777777" w:rsidR="007F5DB3" w:rsidRPr="00AC4D7B" w:rsidRDefault="007F5DB3" w:rsidP="007F5DB3">
      <w:pPr>
        <w:jc w:val="left"/>
        <w:rPr>
          <w:b/>
          <w:bCs/>
        </w:rPr>
      </w:pPr>
    </w:p>
    <w:p w14:paraId="2C0027F5" w14:textId="77777777" w:rsidR="007F5DB3" w:rsidRPr="00AC4D7B" w:rsidRDefault="007F5DB3" w:rsidP="007F5DB3">
      <w:pPr>
        <w:jc w:val="left"/>
        <w:rPr>
          <w:b/>
          <w:bCs/>
        </w:rPr>
      </w:pPr>
      <w:r w:rsidRPr="00AC4D7B">
        <w:rPr>
          <w:b/>
          <w:bCs/>
        </w:rPr>
        <w:t>Achievements:</w:t>
      </w:r>
    </w:p>
    <w:p w14:paraId="1D0999AE" w14:textId="77777777" w:rsidR="007F5DB3" w:rsidRPr="00AC4D7B" w:rsidRDefault="007F5DB3" w:rsidP="007F5DB3">
      <w:pPr>
        <w:jc w:val="left"/>
        <w:rPr>
          <w:b/>
          <w:bCs/>
        </w:rPr>
      </w:pPr>
    </w:p>
    <w:p w14:paraId="14595A1E" w14:textId="77777777" w:rsidR="007F5DB3" w:rsidRPr="00AC4D7B" w:rsidRDefault="007F5DB3" w:rsidP="007F5DB3">
      <w:r w:rsidRPr="00AC4D7B">
        <w:t xml:space="preserve">As part of the project to support the green agenda, the ‘Reduce, Reuse, Recycle’ campaign, which finished in March 2021 has resulted in a significant reduction of contaminated bins, a total of 2,636, which represents overall a 75% reduction. Work has also progressed to finalise location plans for the installation of four additional electric vehicle charging points. The electric vehicle charge points will </w:t>
      </w:r>
      <w:proofErr w:type="gramStart"/>
      <w:r w:rsidRPr="00AC4D7B">
        <w:t>be located in</w:t>
      </w:r>
      <w:proofErr w:type="gramEnd"/>
      <w:r w:rsidRPr="00AC4D7B">
        <w:t xml:space="preserve"> the car parks at King Street in Leyland, Hope Terrace in </w:t>
      </w:r>
      <w:proofErr w:type="spellStart"/>
      <w:r w:rsidRPr="00AC4D7B">
        <w:t>Lockstock</w:t>
      </w:r>
      <w:proofErr w:type="spellEnd"/>
      <w:r w:rsidRPr="00AC4D7B">
        <w:t xml:space="preserve"> Hall, Bamber Bridge Leisure Centre and </w:t>
      </w:r>
      <w:proofErr w:type="spellStart"/>
      <w:r w:rsidRPr="00AC4D7B">
        <w:t>Kingsfold</w:t>
      </w:r>
      <w:proofErr w:type="spellEnd"/>
      <w:r w:rsidRPr="00AC4D7B">
        <w:t xml:space="preserve"> Community Centre. </w:t>
      </w:r>
    </w:p>
    <w:p w14:paraId="42E2E353" w14:textId="77777777" w:rsidR="007F5DB3" w:rsidRPr="00AC4D7B" w:rsidRDefault="007F5DB3" w:rsidP="007F5DB3"/>
    <w:p w14:paraId="1537CA5C" w14:textId="77777777" w:rsidR="007F5DB3" w:rsidRPr="00AC4D7B" w:rsidRDefault="007F5DB3" w:rsidP="007F5DB3">
      <w:r w:rsidRPr="00AC4D7B">
        <w:t xml:space="preserve">The project to improve leisure facilities has made good progress. Work undertaken across the leisure centre estates includes completion of </w:t>
      </w:r>
      <w:proofErr w:type="gramStart"/>
      <w:r w:rsidRPr="00AC4D7B">
        <w:t>a number of</w:t>
      </w:r>
      <w:proofErr w:type="gramEnd"/>
      <w:r w:rsidRPr="00AC4D7B">
        <w:t xml:space="preserve"> improvements to the leisure centre estate. These works include a number of works that are part of compliance/health and safety works; but also addressing dilapidation works which includes the interior redecoration of all the leisure centres, (i.e. faulty ceiling tiles and changing room tiles), new Boiler, landscaping, and lined car park at Leyland Leisure Centre. A new water storage tank and all mirrors replaced in the dance studios at Bamber Bridge Leisure Centre. Looking forward at quarter one 2021/22, a decarbonisation report will be commissioned for each leisure Centre and grant applications will be submitted to support decarbonisation projects.</w:t>
      </w:r>
    </w:p>
    <w:p w14:paraId="185AF1C8" w14:textId="77777777" w:rsidR="007F5DB3" w:rsidRPr="00AC4D7B" w:rsidRDefault="007F5DB3" w:rsidP="007F5DB3">
      <w:pPr>
        <w:jc w:val="left"/>
      </w:pPr>
    </w:p>
    <w:p w14:paraId="73FA4EA2" w14:textId="77777777" w:rsidR="007F5DB3" w:rsidRPr="00AC4D7B" w:rsidRDefault="007F5DB3" w:rsidP="007F5DB3">
      <w:r w:rsidRPr="00AC4D7B">
        <w:t>The project to commence building affordable homes has focussed on progressing design works at the McKenzie Arms site to allow a tender to be issued for the appointment of a contractor to deliver the scheme. The Tom Hanson House development on Station Road, which will provide nine new affordable flats has been delayed, however it will be completed in early 2021/22 and handed over to the Community Gateway Association.</w:t>
      </w:r>
    </w:p>
    <w:p w14:paraId="64A799E8" w14:textId="77777777" w:rsidR="007F5DB3" w:rsidRPr="00AC4D7B" w:rsidRDefault="007F5DB3" w:rsidP="007F5DB3"/>
    <w:p w14:paraId="0CC83945" w14:textId="77777777" w:rsidR="007F5DB3" w:rsidRPr="00AC4D7B" w:rsidRDefault="007F5DB3" w:rsidP="007F5DB3">
      <w:r w:rsidRPr="00AC4D7B">
        <w:t>The bring Worden Hall back into use project has begun following planning approval, the exciting project will see a range of refurbishment work to the site. Work that has begun includes, intrusive survey work to inform the progressing design activities; the development of Interior design and branding proposals; Folly café will be temporarily relocated to allow refurbishment works on the Hall to be undertaken. The project will see the Hall transformed into a flexible space for the community and events such as weddings.</w:t>
      </w:r>
    </w:p>
    <w:p w14:paraId="7849B353" w14:textId="77777777" w:rsidR="007F5DB3" w:rsidRPr="00AC4D7B" w:rsidRDefault="007F5DB3" w:rsidP="007F5DB3">
      <w:pPr>
        <w:rPr>
          <w:b/>
          <w:bCs/>
        </w:rPr>
      </w:pPr>
    </w:p>
    <w:p w14:paraId="3E717E40" w14:textId="77777777" w:rsidR="007F5DB3" w:rsidRPr="00AC4D7B" w:rsidRDefault="007F5DB3" w:rsidP="007F5DB3">
      <w:r w:rsidRPr="00AC4D7B">
        <w:t>Of the four projects within this priority, one is rated green and three are rated as amber.</w:t>
      </w:r>
    </w:p>
    <w:p w14:paraId="230523E9" w14:textId="77777777" w:rsidR="007F5DB3" w:rsidRPr="00AC4D7B" w:rsidRDefault="007F5DB3" w:rsidP="007F5DB3"/>
    <w:p w14:paraId="173F6023" w14:textId="77777777" w:rsidR="007F5DB3" w:rsidRPr="00AC4D7B" w:rsidRDefault="007F5DB3" w:rsidP="007F5DB3">
      <w:r w:rsidRPr="00AC4D7B">
        <w:rPr>
          <w:noProof/>
        </w:rPr>
        <w:drawing>
          <wp:inline distT="0" distB="0" distL="0" distR="0" wp14:anchorId="19AFD020" wp14:editId="08D02967">
            <wp:extent cx="6120130" cy="179578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1795780"/>
                    </a:xfrm>
                    <a:prstGeom prst="rect">
                      <a:avLst/>
                    </a:prstGeom>
                  </pic:spPr>
                </pic:pic>
              </a:graphicData>
            </a:graphic>
          </wp:inline>
        </w:drawing>
      </w:r>
    </w:p>
    <w:p w14:paraId="7557E4EB" w14:textId="77777777" w:rsidR="007F5DB3" w:rsidRPr="00AC4D7B" w:rsidRDefault="007F5DB3" w:rsidP="007F5DB3">
      <w:pPr>
        <w:rPr>
          <w:b/>
          <w:bCs/>
        </w:rPr>
      </w:pPr>
      <w:r w:rsidRPr="00AC4D7B">
        <w:rPr>
          <w:noProof/>
        </w:rPr>
        <w:drawing>
          <wp:inline distT="0" distB="0" distL="0" distR="0" wp14:anchorId="34D11CBA" wp14:editId="5547C9E9">
            <wp:extent cx="5657850" cy="4505499"/>
            <wp:effectExtent l="0" t="0" r="0"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69208" cy="4514543"/>
                    </a:xfrm>
                    <a:prstGeom prst="rect">
                      <a:avLst/>
                    </a:prstGeom>
                  </pic:spPr>
                </pic:pic>
              </a:graphicData>
            </a:graphic>
          </wp:inline>
        </w:drawing>
      </w:r>
    </w:p>
    <w:p w14:paraId="47F61324" w14:textId="77777777" w:rsidR="007F5DB3" w:rsidRPr="00AC4D7B" w:rsidRDefault="007F5DB3" w:rsidP="007F5DB3">
      <w:pPr>
        <w:rPr>
          <w:b/>
          <w:bCs/>
        </w:rPr>
      </w:pPr>
    </w:p>
    <w:p w14:paraId="46492B03" w14:textId="77777777" w:rsidR="007F5DB3" w:rsidRPr="00AC4D7B" w:rsidRDefault="007F5DB3" w:rsidP="007F5DB3">
      <w:pPr>
        <w:rPr>
          <w:b/>
          <w:bCs/>
        </w:rPr>
      </w:pPr>
      <w:r w:rsidRPr="00AC4D7B">
        <w:rPr>
          <w:noProof/>
        </w:rPr>
        <w:drawing>
          <wp:inline distT="0" distB="0" distL="0" distR="0" wp14:anchorId="3E19CE48" wp14:editId="7F0B6370">
            <wp:extent cx="5553075" cy="426938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59909" cy="4274634"/>
                    </a:xfrm>
                    <a:prstGeom prst="rect">
                      <a:avLst/>
                    </a:prstGeom>
                  </pic:spPr>
                </pic:pic>
              </a:graphicData>
            </a:graphic>
          </wp:inline>
        </w:drawing>
      </w:r>
      <w:r w:rsidRPr="00AC4D7B">
        <w:rPr>
          <w:b/>
          <w:bCs/>
        </w:rPr>
        <w:br w:type="page"/>
      </w:r>
    </w:p>
    <w:p w14:paraId="0003F141" w14:textId="77777777" w:rsidR="007F5DB3" w:rsidRPr="00AC4D7B" w:rsidRDefault="007F5DB3" w:rsidP="007F5DB3">
      <w:pPr>
        <w:jc w:val="left"/>
        <w:rPr>
          <w:b/>
          <w:bCs/>
        </w:rPr>
      </w:pPr>
      <w:r w:rsidRPr="00AC4D7B">
        <w:rPr>
          <w:noProof/>
        </w:rPr>
        <w:drawing>
          <wp:inline distT="0" distB="0" distL="0" distR="0" wp14:anchorId="72F2C43C" wp14:editId="665F1812">
            <wp:extent cx="6120130" cy="2218055"/>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2218055"/>
                    </a:xfrm>
                    <a:prstGeom prst="rect">
                      <a:avLst/>
                    </a:prstGeom>
                  </pic:spPr>
                </pic:pic>
              </a:graphicData>
            </a:graphic>
          </wp:inline>
        </w:drawing>
      </w:r>
    </w:p>
    <w:p w14:paraId="324AF1F4" w14:textId="77777777" w:rsidR="007F5DB3" w:rsidRPr="00AC4D7B" w:rsidRDefault="007F5DB3" w:rsidP="007F5DB3">
      <w:pPr>
        <w:jc w:val="left"/>
        <w:rPr>
          <w:b/>
          <w:bCs/>
        </w:rPr>
      </w:pPr>
    </w:p>
    <w:p w14:paraId="0030DEFC" w14:textId="77777777" w:rsidR="007F5DB3" w:rsidRPr="00AC4D7B" w:rsidRDefault="007F5DB3" w:rsidP="007F5DB3">
      <w:pPr>
        <w:jc w:val="left"/>
        <w:rPr>
          <w:b/>
          <w:bCs/>
        </w:rPr>
      </w:pPr>
      <w:r w:rsidRPr="00AC4D7B">
        <w:rPr>
          <w:b/>
          <w:bCs/>
        </w:rPr>
        <w:t>Performance of the Corporate Strategy Measures</w:t>
      </w:r>
    </w:p>
    <w:p w14:paraId="6DE71377" w14:textId="77777777" w:rsidR="007F5DB3" w:rsidRPr="00AC4D7B" w:rsidRDefault="007F5DB3" w:rsidP="007F5DB3">
      <w:pPr>
        <w:jc w:val="left"/>
        <w:rPr>
          <w:b/>
          <w:bCs/>
        </w:rPr>
      </w:pPr>
    </w:p>
    <w:p w14:paraId="54E2C157" w14:textId="77777777" w:rsidR="007F5DB3" w:rsidRPr="00AC4D7B" w:rsidRDefault="007F5DB3" w:rsidP="007F5DB3">
      <w:pPr>
        <w:jc w:val="left"/>
        <w:rPr>
          <w:b/>
          <w:bCs/>
        </w:rPr>
      </w:pPr>
      <w:r w:rsidRPr="00AC4D7B">
        <w:rPr>
          <w:noProof/>
        </w:rPr>
        <w:drawing>
          <wp:inline distT="0" distB="0" distL="0" distR="0" wp14:anchorId="692B687E" wp14:editId="41549093">
            <wp:extent cx="5524500" cy="62674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24500" cy="6267450"/>
                    </a:xfrm>
                    <a:prstGeom prst="rect">
                      <a:avLst/>
                    </a:prstGeom>
                  </pic:spPr>
                </pic:pic>
              </a:graphicData>
            </a:graphic>
          </wp:inline>
        </w:drawing>
      </w:r>
      <w:r w:rsidRPr="00AC4D7B">
        <w:rPr>
          <w:b/>
          <w:bCs/>
        </w:rPr>
        <w:br w:type="page"/>
      </w:r>
    </w:p>
    <w:p w14:paraId="1A201607" w14:textId="77777777" w:rsidR="007F5DB3" w:rsidRPr="00AC4D7B" w:rsidRDefault="007F5DB3" w:rsidP="007F5DB3">
      <w:pPr>
        <w:jc w:val="left"/>
        <w:rPr>
          <w:rFonts w:cs="Arial"/>
          <w:b/>
          <w:bCs/>
          <w:szCs w:val="22"/>
        </w:rPr>
      </w:pPr>
      <w:r w:rsidRPr="00AC4D7B">
        <w:rPr>
          <w:rFonts w:cs="Arial"/>
          <w:b/>
          <w:bCs/>
          <w:szCs w:val="22"/>
        </w:rPr>
        <w:t>Key Organisational Performance Measures</w:t>
      </w:r>
    </w:p>
    <w:p w14:paraId="5BF9C1D7" w14:textId="77777777" w:rsidR="007F5DB3" w:rsidRPr="00AC4D7B" w:rsidRDefault="007F5DB3" w:rsidP="007F5DB3">
      <w:pPr>
        <w:jc w:val="left"/>
        <w:rPr>
          <w:rFonts w:cs="Arial"/>
          <w:b/>
          <w:bCs/>
          <w:szCs w:val="22"/>
        </w:rPr>
      </w:pPr>
    </w:p>
    <w:p w14:paraId="178E30E5" w14:textId="77777777" w:rsidR="007F5DB3" w:rsidRPr="00AC4D7B" w:rsidRDefault="007F5DB3" w:rsidP="007F5DB3">
      <w:pPr>
        <w:jc w:val="left"/>
        <w:rPr>
          <w:b/>
          <w:bCs/>
        </w:rPr>
      </w:pPr>
      <w:r w:rsidRPr="00AC4D7B">
        <w:rPr>
          <w:noProof/>
        </w:rPr>
        <w:drawing>
          <wp:inline distT="0" distB="0" distL="0" distR="0" wp14:anchorId="643B3955" wp14:editId="4F135B3A">
            <wp:extent cx="5911702" cy="5952543"/>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17784" cy="5958667"/>
                    </a:xfrm>
                    <a:prstGeom prst="rect">
                      <a:avLst/>
                    </a:prstGeom>
                  </pic:spPr>
                </pic:pic>
              </a:graphicData>
            </a:graphic>
          </wp:inline>
        </w:drawing>
      </w:r>
      <w:r w:rsidRPr="00AC4D7B">
        <w:rPr>
          <w:b/>
          <w:bCs/>
        </w:rPr>
        <w:br w:type="page"/>
      </w:r>
    </w:p>
    <w:p w14:paraId="44F68839" w14:textId="77777777" w:rsidR="007F5DB3" w:rsidRPr="00AC4D7B" w:rsidRDefault="007F5DB3" w:rsidP="007F5DB3">
      <w:pPr>
        <w:rPr>
          <w:b/>
          <w:bCs/>
        </w:rPr>
      </w:pPr>
      <w:r w:rsidRPr="00AC4D7B">
        <w:rPr>
          <w:b/>
          <w:bCs/>
        </w:rPr>
        <w:t>Financial Performance</w:t>
      </w:r>
    </w:p>
    <w:p w14:paraId="40D4D40A" w14:textId="77777777" w:rsidR="007F5DB3" w:rsidRPr="00AC4D7B" w:rsidRDefault="007F5DB3" w:rsidP="007F5DB3"/>
    <w:p w14:paraId="3FD75B99" w14:textId="77777777" w:rsidR="007F5DB3" w:rsidRPr="00AC4D7B" w:rsidRDefault="007F5DB3" w:rsidP="007F5DB3">
      <w:pPr>
        <w:rPr>
          <w:rFonts w:cs="Arial"/>
          <w:szCs w:val="22"/>
        </w:rPr>
      </w:pPr>
      <w:r w:rsidRPr="00AC4D7B">
        <w:rPr>
          <w:rFonts w:cs="Arial"/>
          <w:szCs w:val="22"/>
        </w:rPr>
        <w:t>In 2020/21, the Council set a balanced annual budget of £14.677m.</w:t>
      </w:r>
    </w:p>
    <w:p w14:paraId="43E1DFDD" w14:textId="77777777" w:rsidR="007F5DB3" w:rsidRPr="00AC4D7B" w:rsidRDefault="007F5DB3" w:rsidP="007F5DB3">
      <w:pPr>
        <w:rPr>
          <w:rFonts w:cs="Arial"/>
          <w:szCs w:val="22"/>
        </w:rPr>
      </w:pPr>
    </w:p>
    <w:p w14:paraId="4B55EE9C" w14:textId="77777777" w:rsidR="007F5DB3" w:rsidRPr="00AC4D7B" w:rsidRDefault="007F5DB3" w:rsidP="007F5DB3">
      <w:pPr>
        <w:rPr>
          <w:rFonts w:cs="Arial"/>
          <w:szCs w:val="22"/>
        </w:rPr>
      </w:pPr>
      <w:r w:rsidRPr="00AC4D7B">
        <w:rPr>
          <w:rFonts w:cs="Arial"/>
          <w:szCs w:val="22"/>
        </w:rPr>
        <w:t xml:space="preserve">The draft outturn report for 2020/21, approved by Cabinet on 16 June 2021, showed a forecast net surplus of £0.570m. The report and appendices can be found </w:t>
      </w:r>
      <w:hyperlink r:id="rId37" w:history="1">
        <w:r w:rsidRPr="00AC4D7B">
          <w:rPr>
            <w:rStyle w:val="Hyperlink"/>
            <w:rFonts w:cs="Arial"/>
            <w:szCs w:val="22"/>
          </w:rPr>
          <w:t>here</w:t>
        </w:r>
      </w:hyperlink>
      <w:r w:rsidRPr="00AC4D7B">
        <w:rPr>
          <w:rFonts w:cs="Arial"/>
          <w:szCs w:val="22"/>
        </w:rPr>
        <w:t>.</w:t>
      </w:r>
    </w:p>
    <w:p w14:paraId="3AAFC1E5" w14:textId="77777777" w:rsidR="007F5DB3" w:rsidRPr="00AC4D7B" w:rsidRDefault="007F5DB3" w:rsidP="007F5DB3">
      <w:pPr>
        <w:rPr>
          <w:rFonts w:cs="Arial"/>
          <w:szCs w:val="22"/>
        </w:rPr>
      </w:pPr>
    </w:p>
    <w:p w14:paraId="03AE4543" w14:textId="77777777" w:rsidR="007F5DB3" w:rsidRPr="00AC4D7B" w:rsidRDefault="007F5DB3" w:rsidP="007F5DB3">
      <w:pPr>
        <w:rPr>
          <w:rFonts w:cs="Arial"/>
          <w:szCs w:val="22"/>
        </w:rPr>
      </w:pPr>
      <w:r w:rsidRPr="00AC4D7B">
        <w:rPr>
          <w:rFonts w:cs="Arial"/>
          <w:szCs w:val="22"/>
        </w:rPr>
        <w:t>The outturn position is summarised in the table below:</w:t>
      </w:r>
    </w:p>
    <w:p w14:paraId="4FA3D15D" w14:textId="77777777" w:rsidR="007F5DB3" w:rsidRPr="00AC4D7B" w:rsidRDefault="007F5DB3" w:rsidP="007F5DB3">
      <w:pPr>
        <w:rPr>
          <w:rFonts w:cs="Arial"/>
          <w:szCs w:val="22"/>
        </w:rPr>
      </w:pPr>
    </w:p>
    <w:tbl>
      <w:tblPr>
        <w:tblW w:w="9660" w:type="dxa"/>
        <w:tblLook w:val="04A0" w:firstRow="1" w:lastRow="0" w:firstColumn="1" w:lastColumn="0" w:noHBand="0" w:noVBand="1"/>
      </w:tblPr>
      <w:tblGrid>
        <w:gridCol w:w="4445"/>
        <w:gridCol w:w="1302"/>
        <w:gridCol w:w="1303"/>
        <w:gridCol w:w="1303"/>
        <w:gridCol w:w="1307"/>
      </w:tblGrid>
      <w:tr w:rsidR="007F5DB3" w:rsidRPr="00AC4D7B" w14:paraId="62328FE8" w14:textId="77777777" w:rsidTr="007F5DB3">
        <w:trPr>
          <w:trHeight w:val="570"/>
        </w:trPr>
        <w:tc>
          <w:tcPr>
            <w:tcW w:w="4445" w:type="dxa"/>
            <w:vMerge w:val="restart"/>
            <w:tcBorders>
              <w:top w:val="single" w:sz="4" w:space="0" w:color="auto"/>
              <w:left w:val="single" w:sz="4" w:space="0" w:color="auto"/>
              <w:bottom w:val="single" w:sz="4" w:space="0" w:color="000000"/>
              <w:right w:val="nil"/>
            </w:tcBorders>
            <w:shd w:val="clear" w:color="000000" w:fill="D9D9D9"/>
            <w:noWrap/>
            <w:vAlign w:val="center"/>
            <w:hideMark/>
          </w:tcPr>
          <w:p w14:paraId="5AA3B533" w14:textId="77777777" w:rsidR="007F5DB3" w:rsidRPr="00AC4D7B" w:rsidRDefault="007F5DB3" w:rsidP="007F5DB3">
            <w:pPr>
              <w:rPr>
                <w:rFonts w:cs="Arial"/>
                <w:color w:val="000000"/>
              </w:rPr>
            </w:pPr>
            <w:r w:rsidRPr="00AC4D7B">
              <w:rPr>
                <w:rFonts w:cs="Arial"/>
                <w:color w:val="000000"/>
              </w:rPr>
              <w:t> </w:t>
            </w:r>
          </w:p>
        </w:tc>
        <w:tc>
          <w:tcPr>
            <w:tcW w:w="1302" w:type="dxa"/>
            <w:tcBorders>
              <w:top w:val="single" w:sz="4" w:space="0" w:color="auto"/>
              <w:left w:val="single" w:sz="4" w:space="0" w:color="auto"/>
              <w:bottom w:val="nil"/>
              <w:right w:val="single" w:sz="4" w:space="0" w:color="auto"/>
            </w:tcBorders>
            <w:shd w:val="clear" w:color="000000" w:fill="D9D9D9"/>
            <w:vAlign w:val="center"/>
            <w:hideMark/>
          </w:tcPr>
          <w:p w14:paraId="556B4C41" w14:textId="77777777" w:rsidR="007F5DB3" w:rsidRPr="00AC4D7B" w:rsidRDefault="007F5DB3" w:rsidP="007F5DB3">
            <w:pPr>
              <w:jc w:val="center"/>
              <w:rPr>
                <w:rFonts w:cs="Arial"/>
                <w:color w:val="000000"/>
              </w:rPr>
            </w:pPr>
            <w:r w:rsidRPr="00AC4D7B">
              <w:rPr>
                <w:rFonts w:cs="Arial"/>
                <w:color w:val="000000"/>
              </w:rPr>
              <w:t>Original Budget</w:t>
            </w:r>
          </w:p>
        </w:tc>
        <w:tc>
          <w:tcPr>
            <w:tcW w:w="1303" w:type="dxa"/>
            <w:tcBorders>
              <w:top w:val="single" w:sz="4" w:space="0" w:color="auto"/>
              <w:left w:val="nil"/>
              <w:bottom w:val="nil"/>
              <w:right w:val="single" w:sz="4" w:space="0" w:color="auto"/>
            </w:tcBorders>
            <w:shd w:val="clear" w:color="000000" w:fill="D9D9D9"/>
            <w:vAlign w:val="center"/>
            <w:hideMark/>
          </w:tcPr>
          <w:p w14:paraId="10593494" w14:textId="77777777" w:rsidR="007F5DB3" w:rsidRPr="00AC4D7B" w:rsidRDefault="007F5DB3" w:rsidP="007F5DB3">
            <w:pPr>
              <w:jc w:val="center"/>
              <w:rPr>
                <w:rFonts w:cs="Arial"/>
                <w:color w:val="000000"/>
              </w:rPr>
            </w:pPr>
            <w:r w:rsidRPr="00AC4D7B">
              <w:rPr>
                <w:rFonts w:cs="Arial"/>
                <w:color w:val="000000"/>
              </w:rPr>
              <w:t>Current Budget</w:t>
            </w:r>
          </w:p>
        </w:tc>
        <w:tc>
          <w:tcPr>
            <w:tcW w:w="1303" w:type="dxa"/>
            <w:tcBorders>
              <w:top w:val="single" w:sz="4" w:space="0" w:color="auto"/>
              <w:left w:val="nil"/>
              <w:bottom w:val="nil"/>
              <w:right w:val="single" w:sz="4" w:space="0" w:color="auto"/>
            </w:tcBorders>
            <w:shd w:val="clear" w:color="000000" w:fill="D9D9D9"/>
            <w:vAlign w:val="center"/>
            <w:hideMark/>
          </w:tcPr>
          <w:p w14:paraId="4942D8DF" w14:textId="77777777" w:rsidR="007F5DB3" w:rsidRPr="00AC4D7B" w:rsidRDefault="007F5DB3" w:rsidP="007F5DB3">
            <w:pPr>
              <w:jc w:val="center"/>
              <w:rPr>
                <w:rFonts w:cs="Arial"/>
                <w:color w:val="000000"/>
              </w:rPr>
            </w:pPr>
            <w:r w:rsidRPr="00AC4D7B">
              <w:rPr>
                <w:rFonts w:cs="Arial"/>
                <w:color w:val="000000"/>
              </w:rPr>
              <w:t>Outturn</w:t>
            </w:r>
          </w:p>
        </w:tc>
        <w:tc>
          <w:tcPr>
            <w:tcW w:w="1307" w:type="dxa"/>
            <w:tcBorders>
              <w:top w:val="single" w:sz="4" w:space="0" w:color="auto"/>
              <w:left w:val="nil"/>
              <w:bottom w:val="nil"/>
              <w:right w:val="single" w:sz="4" w:space="0" w:color="auto"/>
            </w:tcBorders>
            <w:shd w:val="clear" w:color="000000" w:fill="D9D9D9"/>
            <w:vAlign w:val="center"/>
            <w:hideMark/>
          </w:tcPr>
          <w:p w14:paraId="2486CB50" w14:textId="77777777" w:rsidR="007F5DB3" w:rsidRPr="00AC4D7B" w:rsidRDefault="007F5DB3" w:rsidP="007F5DB3">
            <w:pPr>
              <w:jc w:val="center"/>
              <w:rPr>
                <w:rFonts w:cs="Arial"/>
                <w:color w:val="000000"/>
              </w:rPr>
            </w:pPr>
            <w:r w:rsidRPr="00AC4D7B">
              <w:rPr>
                <w:rFonts w:cs="Arial"/>
                <w:color w:val="000000"/>
              </w:rPr>
              <w:t>Outturn Variance</w:t>
            </w:r>
          </w:p>
        </w:tc>
      </w:tr>
      <w:tr w:rsidR="007F5DB3" w:rsidRPr="00AC4D7B" w14:paraId="5B164F99" w14:textId="77777777" w:rsidTr="007F5DB3">
        <w:trPr>
          <w:trHeight w:val="285"/>
        </w:trPr>
        <w:tc>
          <w:tcPr>
            <w:tcW w:w="4445" w:type="dxa"/>
            <w:vMerge/>
            <w:tcBorders>
              <w:top w:val="single" w:sz="4" w:space="0" w:color="auto"/>
              <w:left w:val="single" w:sz="4" w:space="0" w:color="auto"/>
              <w:bottom w:val="single" w:sz="4" w:space="0" w:color="000000"/>
              <w:right w:val="nil"/>
            </w:tcBorders>
            <w:vAlign w:val="center"/>
            <w:hideMark/>
          </w:tcPr>
          <w:p w14:paraId="48C79AF0" w14:textId="77777777" w:rsidR="007F5DB3" w:rsidRPr="00AC4D7B" w:rsidRDefault="007F5DB3" w:rsidP="007F5DB3">
            <w:pPr>
              <w:rPr>
                <w:rFonts w:cs="Arial"/>
                <w:color w:val="000000"/>
              </w:rPr>
            </w:pPr>
          </w:p>
        </w:tc>
        <w:tc>
          <w:tcPr>
            <w:tcW w:w="1302" w:type="dxa"/>
            <w:tcBorders>
              <w:top w:val="nil"/>
              <w:left w:val="single" w:sz="4" w:space="0" w:color="auto"/>
              <w:bottom w:val="single" w:sz="4" w:space="0" w:color="auto"/>
              <w:right w:val="single" w:sz="4" w:space="0" w:color="auto"/>
            </w:tcBorders>
            <w:shd w:val="clear" w:color="000000" w:fill="D9D9D9"/>
            <w:noWrap/>
            <w:vAlign w:val="center"/>
            <w:hideMark/>
          </w:tcPr>
          <w:p w14:paraId="2C8FB2FE" w14:textId="77777777" w:rsidR="007F5DB3" w:rsidRPr="00AC4D7B" w:rsidRDefault="007F5DB3" w:rsidP="007F5DB3">
            <w:pPr>
              <w:jc w:val="center"/>
              <w:rPr>
                <w:rFonts w:cs="Arial"/>
                <w:color w:val="000000"/>
              </w:rPr>
            </w:pPr>
            <w:r w:rsidRPr="00AC4D7B">
              <w:rPr>
                <w:rFonts w:cs="Arial"/>
                <w:color w:val="000000"/>
              </w:rPr>
              <w:t>£’000</w:t>
            </w:r>
          </w:p>
        </w:tc>
        <w:tc>
          <w:tcPr>
            <w:tcW w:w="1303" w:type="dxa"/>
            <w:tcBorders>
              <w:top w:val="nil"/>
              <w:left w:val="nil"/>
              <w:bottom w:val="single" w:sz="4" w:space="0" w:color="auto"/>
              <w:right w:val="single" w:sz="4" w:space="0" w:color="auto"/>
            </w:tcBorders>
            <w:shd w:val="clear" w:color="000000" w:fill="D9D9D9"/>
            <w:noWrap/>
            <w:vAlign w:val="center"/>
            <w:hideMark/>
          </w:tcPr>
          <w:p w14:paraId="1FD290E5" w14:textId="77777777" w:rsidR="007F5DB3" w:rsidRPr="00AC4D7B" w:rsidRDefault="007F5DB3" w:rsidP="007F5DB3">
            <w:pPr>
              <w:jc w:val="center"/>
              <w:rPr>
                <w:rFonts w:cs="Arial"/>
                <w:color w:val="000000"/>
              </w:rPr>
            </w:pPr>
            <w:r w:rsidRPr="00AC4D7B">
              <w:rPr>
                <w:rFonts w:cs="Arial"/>
                <w:color w:val="000000"/>
              </w:rPr>
              <w:t>£’000</w:t>
            </w:r>
          </w:p>
        </w:tc>
        <w:tc>
          <w:tcPr>
            <w:tcW w:w="1303" w:type="dxa"/>
            <w:tcBorders>
              <w:top w:val="nil"/>
              <w:left w:val="nil"/>
              <w:bottom w:val="single" w:sz="4" w:space="0" w:color="auto"/>
              <w:right w:val="single" w:sz="4" w:space="0" w:color="auto"/>
            </w:tcBorders>
            <w:shd w:val="clear" w:color="000000" w:fill="D9D9D9"/>
            <w:noWrap/>
            <w:vAlign w:val="center"/>
            <w:hideMark/>
          </w:tcPr>
          <w:p w14:paraId="6C0D53C4" w14:textId="77777777" w:rsidR="007F5DB3" w:rsidRPr="00AC4D7B" w:rsidRDefault="007F5DB3" w:rsidP="007F5DB3">
            <w:pPr>
              <w:jc w:val="center"/>
              <w:rPr>
                <w:rFonts w:cs="Arial"/>
                <w:color w:val="000000"/>
              </w:rPr>
            </w:pPr>
            <w:r w:rsidRPr="00AC4D7B">
              <w:rPr>
                <w:rFonts w:cs="Arial"/>
                <w:color w:val="000000"/>
              </w:rPr>
              <w:t>£’000</w:t>
            </w:r>
          </w:p>
        </w:tc>
        <w:tc>
          <w:tcPr>
            <w:tcW w:w="1307" w:type="dxa"/>
            <w:tcBorders>
              <w:top w:val="nil"/>
              <w:left w:val="nil"/>
              <w:bottom w:val="single" w:sz="4" w:space="0" w:color="auto"/>
              <w:right w:val="single" w:sz="4" w:space="0" w:color="auto"/>
            </w:tcBorders>
            <w:shd w:val="clear" w:color="000000" w:fill="D9D9D9"/>
            <w:noWrap/>
            <w:vAlign w:val="center"/>
            <w:hideMark/>
          </w:tcPr>
          <w:p w14:paraId="56537758" w14:textId="77777777" w:rsidR="007F5DB3" w:rsidRPr="00AC4D7B" w:rsidRDefault="007F5DB3" w:rsidP="007F5DB3">
            <w:pPr>
              <w:jc w:val="center"/>
              <w:rPr>
                <w:rFonts w:cs="Arial"/>
                <w:color w:val="000000"/>
              </w:rPr>
            </w:pPr>
            <w:r w:rsidRPr="00AC4D7B">
              <w:rPr>
                <w:rFonts w:cs="Arial"/>
                <w:color w:val="000000"/>
              </w:rPr>
              <w:t>£’000</w:t>
            </w:r>
          </w:p>
        </w:tc>
      </w:tr>
      <w:tr w:rsidR="007F5DB3" w:rsidRPr="00AC4D7B" w14:paraId="56900322" w14:textId="77777777" w:rsidTr="007F5DB3">
        <w:trPr>
          <w:trHeight w:val="285"/>
        </w:trPr>
        <w:tc>
          <w:tcPr>
            <w:tcW w:w="4445" w:type="dxa"/>
            <w:tcBorders>
              <w:top w:val="nil"/>
              <w:left w:val="single" w:sz="4" w:space="0" w:color="auto"/>
              <w:bottom w:val="nil"/>
              <w:right w:val="nil"/>
            </w:tcBorders>
            <w:shd w:val="clear" w:color="auto" w:fill="auto"/>
            <w:noWrap/>
            <w:vAlign w:val="center"/>
            <w:hideMark/>
          </w:tcPr>
          <w:p w14:paraId="01F87841" w14:textId="77777777" w:rsidR="007F5DB3" w:rsidRPr="00AC4D7B" w:rsidRDefault="007F5DB3" w:rsidP="007F5DB3">
            <w:pPr>
              <w:rPr>
                <w:rFonts w:cs="Arial"/>
                <w:color w:val="000000"/>
              </w:rPr>
            </w:pPr>
            <w:r w:rsidRPr="00AC4D7B">
              <w:rPr>
                <w:rFonts w:cs="Arial"/>
                <w:color w:val="000000"/>
              </w:rPr>
              <w:t>Corporate</w:t>
            </w:r>
          </w:p>
        </w:tc>
        <w:tc>
          <w:tcPr>
            <w:tcW w:w="1302" w:type="dxa"/>
            <w:tcBorders>
              <w:top w:val="nil"/>
              <w:left w:val="single" w:sz="4" w:space="0" w:color="BFBFBF"/>
              <w:bottom w:val="nil"/>
              <w:right w:val="single" w:sz="4" w:space="0" w:color="BFBFBF"/>
            </w:tcBorders>
            <w:shd w:val="clear" w:color="auto" w:fill="auto"/>
            <w:noWrap/>
            <w:vAlign w:val="center"/>
            <w:hideMark/>
          </w:tcPr>
          <w:p w14:paraId="3429F6A8" w14:textId="77777777" w:rsidR="007F5DB3" w:rsidRPr="00AC4D7B" w:rsidRDefault="007F5DB3" w:rsidP="007F5DB3">
            <w:pPr>
              <w:jc w:val="right"/>
              <w:rPr>
                <w:rFonts w:cs="Arial"/>
                <w:color w:val="000000"/>
              </w:rPr>
            </w:pPr>
            <w:r w:rsidRPr="00AC4D7B">
              <w:rPr>
                <w:rFonts w:cs="Arial"/>
                <w:color w:val="000000"/>
              </w:rPr>
              <w:t xml:space="preserve">496 </w:t>
            </w:r>
          </w:p>
        </w:tc>
        <w:tc>
          <w:tcPr>
            <w:tcW w:w="1303" w:type="dxa"/>
            <w:tcBorders>
              <w:top w:val="nil"/>
              <w:left w:val="nil"/>
              <w:bottom w:val="nil"/>
              <w:right w:val="single" w:sz="4" w:space="0" w:color="BFBFBF"/>
            </w:tcBorders>
            <w:shd w:val="clear" w:color="auto" w:fill="auto"/>
            <w:noWrap/>
            <w:vAlign w:val="center"/>
            <w:hideMark/>
          </w:tcPr>
          <w:p w14:paraId="48E868D8" w14:textId="77777777" w:rsidR="007F5DB3" w:rsidRPr="00AC4D7B" w:rsidRDefault="007F5DB3" w:rsidP="007F5DB3">
            <w:pPr>
              <w:jc w:val="right"/>
              <w:rPr>
                <w:rFonts w:cs="Arial"/>
                <w:color w:val="000000"/>
              </w:rPr>
            </w:pPr>
            <w:r w:rsidRPr="00AC4D7B">
              <w:rPr>
                <w:rFonts w:cs="Arial"/>
                <w:color w:val="000000"/>
              </w:rPr>
              <w:t xml:space="preserve">344 </w:t>
            </w:r>
          </w:p>
        </w:tc>
        <w:tc>
          <w:tcPr>
            <w:tcW w:w="1303" w:type="dxa"/>
            <w:tcBorders>
              <w:top w:val="nil"/>
              <w:left w:val="nil"/>
              <w:bottom w:val="nil"/>
              <w:right w:val="single" w:sz="4" w:space="0" w:color="BFBFBF"/>
            </w:tcBorders>
            <w:shd w:val="clear" w:color="auto" w:fill="auto"/>
            <w:noWrap/>
            <w:vAlign w:val="center"/>
            <w:hideMark/>
          </w:tcPr>
          <w:p w14:paraId="170B00D6" w14:textId="77777777" w:rsidR="007F5DB3" w:rsidRPr="00AC4D7B" w:rsidRDefault="007F5DB3" w:rsidP="007F5DB3">
            <w:pPr>
              <w:jc w:val="right"/>
              <w:rPr>
                <w:rFonts w:cs="Arial"/>
                <w:color w:val="000000"/>
              </w:rPr>
            </w:pPr>
            <w:r w:rsidRPr="00AC4D7B">
              <w:rPr>
                <w:rFonts w:cs="Arial"/>
                <w:color w:val="000000"/>
              </w:rPr>
              <w:t xml:space="preserve">516 </w:t>
            </w:r>
          </w:p>
        </w:tc>
        <w:tc>
          <w:tcPr>
            <w:tcW w:w="1307" w:type="dxa"/>
            <w:tcBorders>
              <w:top w:val="nil"/>
              <w:left w:val="nil"/>
              <w:bottom w:val="nil"/>
              <w:right w:val="single" w:sz="4" w:space="0" w:color="auto"/>
            </w:tcBorders>
            <w:shd w:val="clear" w:color="auto" w:fill="auto"/>
            <w:noWrap/>
            <w:vAlign w:val="center"/>
            <w:hideMark/>
          </w:tcPr>
          <w:p w14:paraId="1C2BC778" w14:textId="77777777" w:rsidR="007F5DB3" w:rsidRPr="00AC4D7B" w:rsidRDefault="007F5DB3" w:rsidP="007F5DB3">
            <w:pPr>
              <w:jc w:val="right"/>
              <w:rPr>
                <w:rFonts w:cs="Arial"/>
                <w:color w:val="000000"/>
              </w:rPr>
            </w:pPr>
            <w:r w:rsidRPr="00AC4D7B">
              <w:rPr>
                <w:rFonts w:cs="Arial"/>
                <w:color w:val="000000"/>
              </w:rPr>
              <w:t xml:space="preserve">171 </w:t>
            </w:r>
          </w:p>
        </w:tc>
      </w:tr>
      <w:tr w:rsidR="007F5DB3" w:rsidRPr="00AC4D7B" w14:paraId="11D2871A" w14:textId="77777777" w:rsidTr="007F5DB3">
        <w:trPr>
          <w:trHeight w:val="285"/>
        </w:trPr>
        <w:tc>
          <w:tcPr>
            <w:tcW w:w="4445" w:type="dxa"/>
            <w:tcBorders>
              <w:top w:val="nil"/>
              <w:left w:val="single" w:sz="4" w:space="0" w:color="auto"/>
              <w:bottom w:val="nil"/>
              <w:right w:val="nil"/>
            </w:tcBorders>
            <w:shd w:val="clear" w:color="auto" w:fill="auto"/>
            <w:noWrap/>
            <w:vAlign w:val="center"/>
            <w:hideMark/>
          </w:tcPr>
          <w:p w14:paraId="6DD5268F" w14:textId="77777777" w:rsidR="007F5DB3" w:rsidRPr="00AC4D7B" w:rsidRDefault="007F5DB3" w:rsidP="007F5DB3">
            <w:pPr>
              <w:rPr>
                <w:rFonts w:cs="Arial"/>
                <w:color w:val="000000"/>
              </w:rPr>
            </w:pPr>
            <w:r w:rsidRPr="00AC4D7B">
              <w:rPr>
                <w:rFonts w:cs="Arial"/>
                <w:color w:val="000000"/>
              </w:rPr>
              <w:t>Neighbourhoods &amp; Development</w:t>
            </w:r>
          </w:p>
        </w:tc>
        <w:tc>
          <w:tcPr>
            <w:tcW w:w="1302" w:type="dxa"/>
            <w:tcBorders>
              <w:top w:val="nil"/>
              <w:left w:val="single" w:sz="4" w:space="0" w:color="BFBFBF"/>
              <w:bottom w:val="nil"/>
              <w:right w:val="single" w:sz="4" w:space="0" w:color="BFBFBF"/>
            </w:tcBorders>
            <w:shd w:val="clear" w:color="auto" w:fill="auto"/>
            <w:noWrap/>
            <w:vAlign w:val="center"/>
            <w:hideMark/>
          </w:tcPr>
          <w:p w14:paraId="25353BC7" w14:textId="77777777" w:rsidR="007F5DB3" w:rsidRPr="00AC4D7B" w:rsidRDefault="007F5DB3" w:rsidP="007F5DB3">
            <w:pPr>
              <w:jc w:val="right"/>
              <w:rPr>
                <w:rFonts w:cs="Arial"/>
                <w:color w:val="000000"/>
              </w:rPr>
            </w:pPr>
            <w:r w:rsidRPr="00AC4D7B">
              <w:rPr>
                <w:rFonts w:cs="Arial"/>
                <w:color w:val="000000"/>
              </w:rPr>
              <w:t xml:space="preserve">7,230 </w:t>
            </w:r>
          </w:p>
        </w:tc>
        <w:tc>
          <w:tcPr>
            <w:tcW w:w="1303" w:type="dxa"/>
            <w:tcBorders>
              <w:top w:val="nil"/>
              <w:left w:val="nil"/>
              <w:bottom w:val="nil"/>
              <w:right w:val="single" w:sz="4" w:space="0" w:color="BFBFBF"/>
            </w:tcBorders>
            <w:shd w:val="clear" w:color="auto" w:fill="auto"/>
            <w:noWrap/>
            <w:vAlign w:val="center"/>
            <w:hideMark/>
          </w:tcPr>
          <w:p w14:paraId="064316A4" w14:textId="77777777" w:rsidR="007F5DB3" w:rsidRPr="00AC4D7B" w:rsidRDefault="007F5DB3" w:rsidP="007F5DB3">
            <w:pPr>
              <w:jc w:val="right"/>
              <w:rPr>
                <w:rFonts w:cs="Arial"/>
                <w:color w:val="000000"/>
              </w:rPr>
            </w:pPr>
            <w:r w:rsidRPr="00AC4D7B">
              <w:rPr>
                <w:rFonts w:cs="Arial"/>
                <w:color w:val="000000"/>
              </w:rPr>
              <w:t xml:space="preserve">7,261 </w:t>
            </w:r>
          </w:p>
        </w:tc>
        <w:tc>
          <w:tcPr>
            <w:tcW w:w="1303" w:type="dxa"/>
            <w:tcBorders>
              <w:top w:val="nil"/>
              <w:left w:val="nil"/>
              <w:bottom w:val="nil"/>
              <w:right w:val="single" w:sz="4" w:space="0" w:color="BFBFBF"/>
            </w:tcBorders>
            <w:shd w:val="clear" w:color="auto" w:fill="auto"/>
            <w:noWrap/>
            <w:vAlign w:val="center"/>
            <w:hideMark/>
          </w:tcPr>
          <w:p w14:paraId="56C840C8" w14:textId="77777777" w:rsidR="007F5DB3" w:rsidRPr="00AC4D7B" w:rsidRDefault="007F5DB3" w:rsidP="007F5DB3">
            <w:pPr>
              <w:jc w:val="right"/>
              <w:rPr>
                <w:rFonts w:cs="Arial"/>
                <w:color w:val="000000"/>
              </w:rPr>
            </w:pPr>
            <w:r w:rsidRPr="00AC4D7B">
              <w:rPr>
                <w:rFonts w:cs="Arial"/>
                <w:color w:val="000000"/>
              </w:rPr>
              <w:t xml:space="preserve">6,784 </w:t>
            </w:r>
          </w:p>
        </w:tc>
        <w:tc>
          <w:tcPr>
            <w:tcW w:w="1307" w:type="dxa"/>
            <w:tcBorders>
              <w:top w:val="nil"/>
              <w:left w:val="nil"/>
              <w:bottom w:val="nil"/>
              <w:right w:val="single" w:sz="4" w:space="0" w:color="auto"/>
            </w:tcBorders>
            <w:shd w:val="clear" w:color="auto" w:fill="auto"/>
            <w:noWrap/>
            <w:vAlign w:val="center"/>
            <w:hideMark/>
          </w:tcPr>
          <w:p w14:paraId="5B6A2321" w14:textId="77777777" w:rsidR="007F5DB3" w:rsidRPr="00AC4D7B" w:rsidRDefault="007F5DB3" w:rsidP="007F5DB3">
            <w:pPr>
              <w:jc w:val="right"/>
              <w:rPr>
                <w:rFonts w:cs="Arial"/>
                <w:color w:val="000000"/>
              </w:rPr>
            </w:pPr>
            <w:r w:rsidRPr="00AC4D7B">
              <w:rPr>
                <w:rFonts w:cs="Arial"/>
                <w:color w:val="000000"/>
              </w:rPr>
              <w:t>(477)</w:t>
            </w:r>
          </w:p>
        </w:tc>
      </w:tr>
      <w:tr w:rsidR="007F5DB3" w:rsidRPr="00AC4D7B" w14:paraId="4370D7D4" w14:textId="77777777" w:rsidTr="007F5DB3">
        <w:trPr>
          <w:trHeight w:val="285"/>
        </w:trPr>
        <w:tc>
          <w:tcPr>
            <w:tcW w:w="4445" w:type="dxa"/>
            <w:tcBorders>
              <w:top w:val="nil"/>
              <w:left w:val="single" w:sz="4" w:space="0" w:color="auto"/>
              <w:bottom w:val="nil"/>
              <w:right w:val="nil"/>
            </w:tcBorders>
            <w:shd w:val="clear" w:color="auto" w:fill="auto"/>
            <w:noWrap/>
            <w:vAlign w:val="center"/>
            <w:hideMark/>
          </w:tcPr>
          <w:p w14:paraId="5495A951" w14:textId="77777777" w:rsidR="007F5DB3" w:rsidRPr="00AC4D7B" w:rsidRDefault="007F5DB3" w:rsidP="007F5DB3">
            <w:pPr>
              <w:rPr>
                <w:rFonts w:cs="Arial"/>
                <w:color w:val="000000"/>
              </w:rPr>
            </w:pPr>
            <w:r w:rsidRPr="00AC4D7B">
              <w:rPr>
                <w:rFonts w:cs="Arial"/>
                <w:color w:val="000000"/>
              </w:rPr>
              <w:t>Planning &amp; Property</w:t>
            </w:r>
          </w:p>
        </w:tc>
        <w:tc>
          <w:tcPr>
            <w:tcW w:w="1302" w:type="dxa"/>
            <w:tcBorders>
              <w:top w:val="nil"/>
              <w:left w:val="single" w:sz="4" w:space="0" w:color="BFBFBF"/>
              <w:bottom w:val="nil"/>
              <w:right w:val="single" w:sz="4" w:space="0" w:color="BFBFBF"/>
            </w:tcBorders>
            <w:shd w:val="clear" w:color="auto" w:fill="auto"/>
            <w:noWrap/>
            <w:vAlign w:val="center"/>
            <w:hideMark/>
          </w:tcPr>
          <w:p w14:paraId="0C8D5D19" w14:textId="77777777" w:rsidR="007F5DB3" w:rsidRPr="00AC4D7B" w:rsidRDefault="007F5DB3" w:rsidP="007F5DB3">
            <w:pPr>
              <w:jc w:val="right"/>
              <w:rPr>
                <w:rFonts w:cs="Arial"/>
                <w:color w:val="000000"/>
              </w:rPr>
            </w:pPr>
            <w:r w:rsidRPr="00AC4D7B">
              <w:rPr>
                <w:rFonts w:cs="Arial"/>
                <w:color w:val="000000"/>
              </w:rPr>
              <w:t xml:space="preserve">701 </w:t>
            </w:r>
          </w:p>
        </w:tc>
        <w:tc>
          <w:tcPr>
            <w:tcW w:w="1303" w:type="dxa"/>
            <w:tcBorders>
              <w:top w:val="nil"/>
              <w:left w:val="nil"/>
              <w:bottom w:val="nil"/>
              <w:right w:val="single" w:sz="4" w:space="0" w:color="BFBFBF"/>
            </w:tcBorders>
            <w:shd w:val="clear" w:color="auto" w:fill="auto"/>
            <w:noWrap/>
            <w:vAlign w:val="center"/>
            <w:hideMark/>
          </w:tcPr>
          <w:p w14:paraId="2639454D" w14:textId="77777777" w:rsidR="007F5DB3" w:rsidRPr="00AC4D7B" w:rsidRDefault="007F5DB3" w:rsidP="007F5DB3">
            <w:pPr>
              <w:jc w:val="right"/>
              <w:rPr>
                <w:rFonts w:cs="Arial"/>
                <w:color w:val="000000"/>
              </w:rPr>
            </w:pPr>
            <w:r w:rsidRPr="00AC4D7B">
              <w:rPr>
                <w:rFonts w:cs="Arial"/>
                <w:color w:val="000000"/>
              </w:rPr>
              <w:t xml:space="preserve">738 </w:t>
            </w:r>
          </w:p>
        </w:tc>
        <w:tc>
          <w:tcPr>
            <w:tcW w:w="1303" w:type="dxa"/>
            <w:tcBorders>
              <w:top w:val="nil"/>
              <w:left w:val="nil"/>
              <w:bottom w:val="nil"/>
              <w:right w:val="single" w:sz="4" w:space="0" w:color="BFBFBF"/>
            </w:tcBorders>
            <w:shd w:val="clear" w:color="auto" w:fill="auto"/>
            <w:noWrap/>
            <w:vAlign w:val="center"/>
            <w:hideMark/>
          </w:tcPr>
          <w:p w14:paraId="7E245DCE" w14:textId="77777777" w:rsidR="007F5DB3" w:rsidRPr="00AC4D7B" w:rsidRDefault="007F5DB3" w:rsidP="007F5DB3">
            <w:pPr>
              <w:jc w:val="right"/>
              <w:rPr>
                <w:rFonts w:cs="Arial"/>
                <w:color w:val="000000"/>
              </w:rPr>
            </w:pPr>
            <w:r w:rsidRPr="00AC4D7B">
              <w:rPr>
                <w:rFonts w:cs="Arial"/>
                <w:color w:val="000000"/>
              </w:rPr>
              <w:t xml:space="preserve">539 </w:t>
            </w:r>
          </w:p>
        </w:tc>
        <w:tc>
          <w:tcPr>
            <w:tcW w:w="1307" w:type="dxa"/>
            <w:tcBorders>
              <w:top w:val="nil"/>
              <w:left w:val="nil"/>
              <w:bottom w:val="nil"/>
              <w:right w:val="single" w:sz="4" w:space="0" w:color="auto"/>
            </w:tcBorders>
            <w:shd w:val="clear" w:color="auto" w:fill="auto"/>
            <w:noWrap/>
            <w:vAlign w:val="center"/>
            <w:hideMark/>
          </w:tcPr>
          <w:p w14:paraId="542FA8F0" w14:textId="77777777" w:rsidR="007F5DB3" w:rsidRPr="00AC4D7B" w:rsidRDefault="007F5DB3" w:rsidP="007F5DB3">
            <w:pPr>
              <w:jc w:val="right"/>
              <w:rPr>
                <w:rFonts w:cs="Arial"/>
                <w:color w:val="000000"/>
              </w:rPr>
            </w:pPr>
            <w:r w:rsidRPr="00AC4D7B">
              <w:rPr>
                <w:rFonts w:cs="Arial"/>
                <w:color w:val="000000"/>
              </w:rPr>
              <w:t>(200)</w:t>
            </w:r>
          </w:p>
        </w:tc>
      </w:tr>
      <w:tr w:rsidR="007F5DB3" w:rsidRPr="00AC4D7B" w14:paraId="1584E79C" w14:textId="77777777" w:rsidTr="007F5DB3">
        <w:trPr>
          <w:trHeight w:val="285"/>
        </w:trPr>
        <w:tc>
          <w:tcPr>
            <w:tcW w:w="4445" w:type="dxa"/>
            <w:tcBorders>
              <w:top w:val="nil"/>
              <w:left w:val="single" w:sz="4" w:space="0" w:color="auto"/>
              <w:bottom w:val="nil"/>
              <w:right w:val="nil"/>
            </w:tcBorders>
            <w:shd w:val="clear" w:color="auto" w:fill="auto"/>
            <w:noWrap/>
            <w:vAlign w:val="center"/>
            <w:hideMark/>
          </w:tcPr>
          <w:p w14:paraId="5B14B548" w14:textId="77777777" w:rsidR="007F5DB3" w:rsidRPr="00AC4D7B" w:rsidRDefault="007F5DB3" w:rsidP="007F5DB3">
            <w:pPr>
              <w:rPr>
                <w:rFonts w:cs="Arial"/>
                <w:color w:val="000000"/>
              </w:rPr>
            </w:pPr>
            <w:r w:rsidRPr="00AC4D7B">
              <w:rPr>
                <w:rFonts w:cs="Arial"/>
                <w:color w:val="000000"/>
              </w:rPr>
              <w:t>Customer &amp; Digital</w:t>
            </w:r>
          </w:p>
        </w:tc>
        <w:tc>
          <w:tcPr>
            <w:tcW w:w="1302" w:type="dxa"/>
            <w:tcBorders>
              <w:top w:val="nil"/>
              <w:left w:val="single" w:sz="4" w:space="0" w:color="BFBFBF"/>
              <w:bottom w:val="nil"/>
              <w:right w:val="single" w:sz="4" w:space="0" w:color="BFBFBF"/>
            </w:tcBorders>
            <w:shd w:val="clear" w:color="auto" w:fill="auto"/>
            <w:noWrap/>
            <w:vAlign w:val="center"/>
            <w:hideMark/>
          </w:tcPr>
          <w:p w14:paraId="447B801F" w14:textId="77777777" w:rsidR="007F5DB3" w:rsidRPr="00AC4D7B" w:rsidRDefault="007F5DB3" w:rsidP="007F5DB3">
            <w:pPr>
              <w:jc w:val="right"/>
              <w:rPr>
                <w:rFonts w:cs="Arial"/>
                <w:color w:val="000000"/>
              </w:rPr>
            </w:pPr>
            <w:r w:rsidRPr="00AC4D7B">
              <w:rPr>
                <w:rFonts w:cs="Arial"/>
                <w:color w:val="000000"/>
              </w:rPr>
              <w:t xml:space="preserve">2,394 </w:t>
            </w:r>
          </w:p>
        </w:tc>
        <w:tc>
          <w:tcPr>
            <w:tcW w:w="1303" w:type="dxa"/>
            <w:tcBorders>
              <w:top w:val="nil"/>
              <w:left w:val="nil"/>
              <w:bottom w:val="nil"/>
              <w:right w:val="single" w:sz="4" w:space="0" w:color="BFBFBF"/>
            </w:tcBorders>
            <w:shd w:val="clear" w:color="auto" w:fill="auto"/>
            <w:noWrap/>
            <w:vAlign w:val="center"/>
            <w:hideMark/>
          </w:tcPr>
          <w:p w14:paraId="50EEED7E" w14:textId="77777777" w:rsidR="007F5DB3" w:rsidRPr="00AC4D7B" w:rsidRDefault="007F5DB3" w:rsidP="007F5DB3">
            <w:pPr>
              <w:jc w:val="right"/>
              <w:rPr>
                <w:rFonts w:cs="Arial"/>
                <w:color w:val="000000"/>
              </w:rPr>
            </w:pPr>
            <w:r w:rsidRPr="00AC4D7B">
              <w:rPr>
                <w:rFonts w:cs="Arial"/>
                <w:color w:val="000000"/>
              </w:rPr>
              <w:t xml:space="preserve">2,420 </w:t>
            </w:r>
          </w:p>
        </w:tc>
        <w:tc>
          <w:tcPr>
            <w:tcW w:w="1303" w:type="dxa"/>
            <w:tcBorders>
              <w:top w:val="nil"/>
              <w:left w:val="nil"/>
              <w:bottom w:val="nil"/>
              <w:right w:val="single" w:sz="4" w:space="0" w:color="BFBFBF"/>
            </w:tcBorders>
            <w:shd w:val="clear" w:color="auto" w:fill="auto"/>
            <w:noWrap/>
            <w:vAlign w:val="center"/>
            <w:hideMark/>
          </w:tcPr>
          <w:p w14:paraId="7919D881" w14:textId="77777777" w:rsidR="007F5DB3" w:rsidRPr="00AC4D7B" w:rsidRDefault="007F5DB3" w:rsidP="007F5DB3">
            <w:pPr>
              <w:jc w:val="right"/>
              <w:rPr>
                <w:rFonts w:cs="Arial"/>
                <w:color w:val="000000"/>
              </w:rPr>
            </w:pPr>
            <w:r w:rsidRPr="00AC4D7B">
              <w:rPr>
                <w:rFonts w:cs="Arial"/>
                <w:color w:val="000000"/>
              </w:rPr>
              <w:t xml:space="preserve">2,399 </w:t>
            </w:r>
          </w:p>
        </w:tc>
        <w:tc>
          <w:tcPr>
            <w:tcW w:w="1307" w:type="dxa"/>
            <w:tcBorders>
              <w:top w:val="nil"/>
              <w:left w:val="nil"/>
              <w:bottom w:val="nil"/>
              <w:right w:val="single" w:sz="4" w:space="0" w:color="auto"/>
            </w:tcBorders>
            <w:shd w:val="clear" w:color="auto" w:fill="auto"/>
            <w:noWrap/>
            <w:vAlign w:val="center"/>
            <w:hideMark/>
          </w:tcPr>
          <w:p w14:paraId="6F93D5FB" w14:textId="77777777" w:rsidR="007F5DB3" w:rsidRPr="00AC4D7B" w:rsidRDefault="007F5DB3" w:rsidP="007F5DB3">
            <w:pPr>
              <w:jc w:val="right"/>
              <w:rPr>
                <w:rFonts w:cs="Arial"/>
                <w:color w:val="000000"/>
              </w:rPr>
            </w:pPr>
            <w:r w:rsidRPr="00AC4D7B">
              <w:rPr>
                <w:rFonts w:cs="Arial"/>
                <w:color w:val="000000"/>
              </w:rPr>
              <w:t>(20)</w:t>
            </w:r>
          </w:p>
        </w:tc>
      </w:tr>
      <w:tr w:rsidR="007F5DB3" w:rsidRPr="00AC4D7B" w14:paraId="01B163DF" w14:textId="77777777" w:rsidTr="007F5DB3">
        <w:trPr>
          <w:trHeight w:val="285"/>
        </w:trPr>
        <w:tc>
          <w:tcPr>
            <w:tcW w:w="4445" w:type="dxa"/>
            <w:tcBorders>
              <w:top w:val="nil"/>
              <w:left w:val="single" w:sz="4" w:space="0" w:color="auto"/>
              <w:bottom w:val="nil"/>
              <w:right w:val="nil"/>
            </w:tcBorders>
            <w:shd w:val="clear" w:color="auto" w:fill="auto"/>
            <w:noWrap/>
            <w:vAlign w:val="center"/>
            <w:hideMark/>
          </w:tcPr>
          <w:p w14:paraId="26B61507" w14:textId="77777777" w:rsidR="007F5DB3" w:rsidRPr="00AC4D7B" w:rsidRDefault="007F5DB3" w:rsidP="007F5DB3">
            <w:pPr>
              <w:rPr>
                <w:rFonts w:cs="Arial"/>
                <w:color w:val="000000"/>
              </w:rPr>
            </w:pPr>
            <w:r w:rsidRPr="00AC4D7B">
              <w:rPr>
                <w:rFonts w:cs="Arial"/>
                <w:color w:val="000000"/>
              </w:rPr>
              <w:t>Governance</w:t>
            </w:r>
          </w:p>
        </w:tc>
        <w:tc>
          <w:tcPr>
            <w:tcW w:w="1302" w:type="dxa"/>
            <w:tcBorders>
              <w:top w:val="nil"/>
              <w:left w:val="single" w:sz="4" w:space="0" w:color="BFBFBF"/>
              <w:bottom w:val="nil"/>
              <w:right w:val="single" w:sz="4" w:space="0" w:color="BFBFBF"/>
            </w:tcBorders>
            <w:shd w:val="clear" w:color="auto" w:fill="auto"/>
            <w:noWrap/>
            <w:vAlign w:val="center"/>
            <w:hideMark/>
          </w:tcPr>
          <w:p w14:paraId="325180B7" w14:textId="77777777" w:rsidR="007F5DB3" w:rsidRPr="00AC4D7B" w:rsidRDefault="007F5DB3" w:rsidP="007F5DB3">
            <w:pPr>
              <w:jc w:val="right"/>
              <w:rPr>
                <w:rFonts w:cs="Arial"/>
                <w:color w:val="000000"/>
              </w:rPr>
            </w:pPr>
            <w:r w:rsidRPr="00AC4D7B">
              <w:rPr>
                <w:rFonts w:cs="Arial"/>
                <w:color w:val="000000"/>
              </w:rPr>
              <w:t xml:space="preserve">1,757 </w:t>
            </w:r>
          </w:p>
        </w:tc>
        <w:tc>
          <w:tcPr>
            <w:tcW w:w="1303" w:type="dxa"/>
            <w:tcBorders>
              <w:top w:val="nil"/>
              <w:left w:val="nil"/>
              <w:bottom w:val="nil"/>
              <w:right w:val="single" w:sz="4" w:space="0" w:color="BFBFBF"/>
            </w:tcBorders>
            <w:shd w:val="clear" w:color="auto" w:fill="auto"/>
            <w:noWrap/>
            <w:vAlign w:val="center"/>
            <w:hideMark/>
          </w:tcPr>
          <w:p w14:paraId="7BC3B7C8" w14:textId="77777777" w:rsidR="007F5DB3" w:rsidRPr="00AC4D7B" w:rsidRDefault="007F5DB3" w:rsidP="007F5DB3">
            <w:pPr>
              <w:jc w:val="right"/>
              <w:rPr>
                <w:rFonts w:cs="Arial"/>
                <w:color w:val="000000"/>
              </w:rPr>
            </w:pPr>
            <w:r w:rsidRPr="00AC4D7B">
              <w:rPr>
                <w:rFonts w:cs="Arial"/>
                <w:color w:val="000000"/>
              </w:rPr>
              <w:t xml:space="preserve">1,697 </w:t>
            </w:r>
          </w:p>
        </w:tc>
        <w:tc>
          <w:tcPr>
            <w:tcW w:w="1303" w:type="dxa"/>
            <w:tcBorders>
              <w:top w:val="nil"/>
              <w:left w:val="nil"/>
              <w:bottom w:val="nil"/>
              <w:right w:val="single" w:sz="4" w:space="0" w:color="BFBFBF"/>
            </w:tcBorders>
            <w:shd w:val="clear" w:color="auto" w:fill="auto"/>
            <w:noWrap/>
            <w:vAlign w:val="center"/>
            <w:hideMark/>
          </w:tcPr>
          <w:p w14:paraId="1E6E628D" w14:textId="77777777" w:rsidR="007F5DB3" w:rsidRPr="00AC4D7B" w:rsidRDefault="007F5DB3" w:rsidP="007F5DB3">
            <w:pPr>
              <w:jc w:val="right"/>
              <w:rPr>
                <w:rFonts w:cs="Arial"/>
                <w:color w:val="000000"/>
              </w:rPr>
            </w:pPr>
            <w:r w:rsidRPr="00AC4D7B">
              <w:rPr>
                <w:rFonts w:cs="Arial"/>
                <w:color w:val="000000"/>
              </w:rPr>
              <w:t xml:space="preserve">1,647 </w:t>
            </w:r>
          </w:p>
        </w:tc>
        <w:tc>
          <w:tcPr>
            <w:tcW w:w="1307" w:type="dxa"/>
            <w:tcBorders>
              <w:top w:val="nil"/>
              <w:left w:val="nil"/>
              <w:bottom w:val="nil"/>
              <w:right w:val="single" w:sz="4" w:space="0" w:color="auto"/>
            </w:tcBorders>
            <w:shd w:val="clear" w:color="auto" w:fill="auto"/>
            <w:noWrap/>
            <w:vAlign w:val="center"/>
            <w:hideMark/>
          </w:tcPr>
          <w:p w14:paraId="0BC78E79" w14:textId="77777777" w:rsidR="007F5DB3" w:rsidRPr="00AC4D7B" w:rsidRDefault="007F5DB3" w:rsidP="007F5DB3">
            <w:pPr>
              <w:jc w:val="right"/>
              <w:rPr>
                <w:rFonts w:cs="Arial"/>
                <w:color w:val="000000"/>
              </w:rPr>
            </w:pPr>
            <w:r w:rsidRPr="00AC4D7B">
              <w:rPr>
                <w:rFonts w:cs="Arial"/>
                <w:color w:val="000000"/>
              </w:rPr>
              <w:t>(50)</w:t>
            </w:r>
          </w:p>
        </w:tc>
      </w:tr>
      <w:tr w:rsidR="007F5DB3" w:rsidRPr="00AC4D7B" w14:paraId="0A3BD6A8" w14:textId="77777777" w:rsidTr="007F5DB3">
        <w:trPr>
          <w:trHeight w:val="285"/>
        </w:trPr>
        <w:tc>
          <w:tcPr>
            <w:tcW w:w="4445" w:type="dxa"/>
            <w:tcBorders>
              <w:top w:val="nil"/>
              <w:left w:val="single" w:sz="4" w:space="0" w:color="auto"/>
              <w:bottom w:val="nil"/>
              <w:right w:val="nil"/>
            </w:tcBorders>
            <w:shd w:val="clear" w:color="auto" w:fill="auto"/>
            <w:noWrap/>
            <w:vAlign w:val="center"/>
            <w:hideMark/>
          </w:tcPr>
          <w:p w14:paraId="0D510010" w14:textId="77777777" w:rsidR="007F5DB3" w:rsidRPr="00AC4D7B" w:rsidRDefault="007F5DB3" w:rsidP="007F5DB3">
            <w:pPr>
              <w:rPr>
                <w:rFonts w:cs="Arial"/>
                <w:color w:val="000000"/>
              </w:rPr>
            </w:pPr>
            <w:r w:rsidRPr="00AC4D7B">
              <w:rPr>
                <w:rFonts w:cs="Arial"/>
                <w:color w:val="000000"/>
              </w:rPr>
              <w:t>Communications &amp; Visitor Economy</w:t>
            </w:r>
          </w:p>
        </w:tc>
        <w:tc>
          <w:tcPr>
            <w:tcW w:w="1302" w:type="dxa"/>
            <w:tcBorders>
              <w:top w:val="nil"/>
              <w:left w:val="single" w:sz="4" w:space="0" w:color="BFBFBF"/>
              <w:bottom w:val="nil"/>
              <w:right w:val="single" w:sz="4" w:space="0" w:color="BFBFBF"/>
            </w:tcBorders>
            <w:shd w:val="clear" w:color="auto" w:fill="auto"/>
            <w:noWrap/>
            <w:vAlign w:val="center"/>
            <w:hideMark/>
          </w:tcPr>
          <w:p w14:paraId="777C1312" w14:textId="77777777" w:rsidR="007F5DB3" w:rsidRPr="00AC4D7B" w:rsidRDefault="007F5DB3" w:rsidP="007F5DB3">
            <w:pPr>
              <w:jc w:val="right"/>
              <w:rPr>
                <w:rFonts w:cs="Arial"/>
                <w:color w:val="000000"/>
              </w:rPr>
            </w:pPr>
            <w:r w:rsidRPr="00AC4D7B">
              <w:rPr>
                <w:rFonts w:cs="Arial"/>
                <w:color w:val="000000"/>
              </w:rPr>
              <w:t xml:space="preserve">203 </w:t>
            </w:r>
          </w:p>
        </w:tc>
        <w:tc>
          <w:tcPr>
            <w:tcW w:w="1303" w:type="dxa"/>
            <w:tcBorders>
              <w:top w:val="nil"/>
              <w:left w:val="nil"/>
              <w:bottom w:val="nil"/>
              <w:right w:val="single" w:sz="4" w:space="0" w:color="BFBFBF"/>
            </w:tcBorders>
            <w:shd w:val="clear" w:color="auto" w:fill="auto"/>
            <w:noWrap/>
            <w:vAlign w:val="center"/>
            <w:hideMark/>
          </w:tcPr>
          <w:p w14:paraId="6DF47F48" w14:textId="77777777" w:rsidR="007F5DB3" w:rsidRPr="00AC4D7B" w:rsidRDefault="007F5DB3" w:rsidP="007F5DB3">
            <w:pPr>
              <w:jc w:val="right"/>
              <w:rPr>
                <w:rFonts w:cs="Arial"/>
                <w:color w:val="000000"/>
              </w:rPr>
            </w:pPr>
            <w:r w:rsidRPr="00AC4D7B">
              <w:rPr>
                <w:rFonts w:cs="Arial"/>
                <w:color w:val="000000"/>
              </w:rPr>
              <w:t xml:space="preserve">278 </w:t>
            </w:r>
          </w:p>
        </w:tc>
        <w:tc>
          <w:tcPr>
            <w:tcW w:w="1303" w:type="dxa"/>
            <w:tcBorders>
              <w:top w:val="nil"/>
              <w:left w:val="nil"/>
              <w:bottom w:val="nil"/>
              <w:right w:val="single" w:sz="4" w:space="0" w:color="BFBFBF"/>
            </w:tcBorders>
            <w:shd w:val="clear" w:color="auto" w:fill="auto"/>
            <w:noWrap/>
            <w:vAlign w:val="center"/>
            <w:hideMark/>
          </w:tcPr>
          <w:p w14:paraId="57C3D17C" w14:textId="77777777" w:rsidR="007F5DB3" w:rsidRPr="00AC4D7B" w:rsidRDefault="007F5DB3" w:rsidP="007F5DB3">
            <w:pPr>
              <w:jc w:val="right"/>
              <w:rPr>
                <w:rFonts w:cs="Arial"/>
                <w:color w:val="000000"/>
              </w:rPr>
            </w:pPr>
            <w:r w:rsidRPr="00AC4D7B">
              <w:rPr>
                <w:rFonts w:cs="Arial"/>
                <w:color w:val="000000"/>
              </w:rPr>
              <w:t xml:space="preserve">303 </w:t>
            </w:r>
          </w:p>
        </w:tc>
        <w:tc>
          <w:tcPr>
            <w:tcW w:w="1307" w:type="dxa"/>
            <w:tcBorders>
              <w:top w:val="nil"/>
              <w:left w:val="nil"/>
              <w:bottom w:val="nil"/>
              <w:right w:val="single" w:sz="4" w:space="0" w:color="auto"/>
            </w:tcBorders>
            <w:shd w:val="clear" w:color="auto" w:fill="auto"/>
            <w:noWrap/>
            <w:vAlign w:val="center"/>
            <w:hideMark/>
          </w:tcPr>
          <w:p w14:paraId="0E486448" w14:textId="77777777" w:rsidR="007F5DB3" w:rsidRPr="00AC4D7B" w:rsidRDefault="007F5DB3" w:rsidP="007F5DB3">
            <w:pPr>
              <w:jc w:val="right"/>
              <w:rPr>
                <w:rFonts w:cs="Arial"/>
                <w:color w:val="000000"/>
              </w:rPr>
            </w:pPr>
            <w:r w:rsidRPr="00AC4D7B">
              <w:rPr>
                <w:rFonts w:cs="Arial"/>
                <w:color w:val="000000"/>
              </w:rPr>
              <w:t xml:space="preserve">26 </w:t>
            </w:r>
          </w:p>
        </w:tc>
      </w:tr>
      <w:tr w:rsidR="007F5DB3" w:rsidRPr="00AC4D7B" w14:paraId="6BDCEC61" w14:textId="77777777" w:rsidTr="007F5DB3">
        <w:trPr>
          <w:trHeight w:val="285"/>
        </w:trPr>
        <w:tc>
          <w:tcPr>
            <w:tcW w:w="4445" w:type="dxa"/>
            <w:tcBorders>
              <w:top w:val="nil"/>
              <w:left w:val="single" w:sz="4" w:space="0" w:color="auto"/>
              <w:bottom w:val="nil"/>
              <w:right w:val="nil"/>
            </w:tcBorders>
            <w:shd w:val="clear" w:color="auto" w:fill="auto"/>
            <w:noWrap/>
            <w:vAlign w:val="center"/>
            <w:hideMark/>
          </w:tcPr>
          <w:p w14:paraId="34A69CDC" w14:textId="77777777" w:rsidR="007F5DB3" w:rsidRPr="00AC4D7B" w:rsidRDefault="007F5DB3" w:rsidP="007F5DB3">
            <w:pPr>
              <w:rPr>
                <w:rFonts w:cs="Arial"/>
                <w:color w:val="000000"/>
              </w:rPr>
            </w:pPr>
            <w:r w:rsidRPr="00AC4D7B">
              <w:rPr>
                <w:rFonts w:cs="Arial"/>
                <w:color w:val="000000"/>
              </w:rPr>
              <w:t>Finance</w:t>
            </w:r>
          </w:p>
        </w:tc>
        <w:tc>
          <w:tcPr>
            <w:tcW w:w="1302" w:type="dxa"/>
            <w:tcBorders>
              <w:top w:val="nil"/>
              <w:left w:val="single" w:sz="4" w:space="0" w:color="BFBFBF"/>
              <w:bottom w:val="nil"/>
              <w:right w:val="single" w:sz="4" w:space="0" w:color="BFBFBF"/>
            </w:tcBorders>
            <w:shd w:val="clear" w:color="auto" w:fill="auto"/>
            <w:noWrap/>
            <w:vAlign w:val="center"/>
            <w:hideMark/>
          </w:tcPr>
          <w:p w14:paraId="76DC75BE" w14:textId="77777777" w:rsidR="007F5DB3" w:rsidRPr="00AC4D7B" w:rsidRDefault="007F5DB3" w:rsidP="007F5DB3">
            <w:pPr>
              <w:jc w:val="right"/>
              <w:rPr>
                <w:rFonts w:cs="Arial"/>
                <w:color w:val="000000"/>
              </w:rPr>
            </w:pPr>
            <w:r w:rsidRPr="00AC4D7B">
              <w:rPr>
                <w:rFonts w:cs="Arial"/>
                <w:color w:val="000000"/>
              </w:rPr>
              <w:t xml:space="preserve">754 </w:t>
            </w:r>
          </w:p>
        </w:tc>
        <w:tc>
          <w:tcPr>
            <w:tcW w:w="1303" w:type="dxa"/>
            <w:tcBorders>
              <w:top w:val="nil"/>
              <w:left w:val="nil"/>
              <w:bottom w:val="nil"/>
              <w:right w:val="single" w:sz="4" w:space="0" w:color="BFBFBF"/>
            </w:tcBorders>
            <w:shd w:val="clear" w:color="auto" w:fill="auto"/>
            <w:noWrap/>
            <w:vAlign w:val="center"/>
            <w:hideMark/>
          </w:tcPr>
          <w:p w14:paraId="029DE15B" w14:textId="77777777" w:rsidR="007F5DB3" w:rsidRPr="00AC4D7B" w:rsidRDefault="007F5DB3" w:rsidP="007F5DB3">
            <w:pPr>
              <w:jc w:val="right"/>
              <w:rPr>
                <w:rFonts w:cs="Arial"/>
                <w:color w:val="000000"/>
              </w:rPr>
            </w:pPr>
            <w:r w:rsidRPr="00AC4D7B">
              <w:rPr>
                <w:rFonts w:cs="Arial"/>
                <w:color w:val="000000"/>
              </w:rPr>
              <w:t xml:space="preserve">717 </w:t>
            </w:r>
          </w:p>
        </w:tc>
        <w:tc>
          <w:tcPr>
            <w:tcW w:w="1303" w:type="dxa"/>
            <w:tcBorders>
              <w:top w:val="nil"/>
              <w:left w:val="nil"/>
              <w:bottom w:val="nil"/>
              <w:right w:val="single" w:sz="4" w:space="0" w:color="BFBFBF"/>
            </w:tcBorders>
            <w:shd w:val="clear" w:color="auto" w:fill="auto"/>
            <w:noWrap/>
            <w:vAlign w:val="center"/>
            <w:hideMark/>
          </w:tcPr>
          <w:p w14:paraId="7DDAFFC0" w14:textId="77777777" w:rsidR="007F5DB3" w:rsidRPr="00AC4D7B" w:rsidRDefault="007F5DB3" w:rsidP="007F5DB3">
            <w:pPr>
              <w:jc w:val="right"/>
              <w:rPr>
                <w:rFonts w:cs="Arial"/>
                <w:color w:val="000000"/>
              </w:rPr>
            </w:pPr>
            <w:r w:rsidRPr="00AC4D7B">
              <w:rPr>
                <w:rFonts w:cs="Arial"/>
                <w:color w:val="000000"/>
              </w:rPr>
              <w:t xml:space="preserve">871 </w:t>
            </w:r>
          </w:p>
        </w:tc>
        <w:tc>
          <w:tcPr>
            <w:tcW w:w="1307" w:type="dxa"/>
            <w:tcBorders>
              <w:top w:val="nil"/>
              <w:left w:val="nil"/>
              <w:bottom w:val="nil"/>
              <w:right w:val="single" w:sz="4" w:space="0" w:color="auto"/>
            </w:tcBorders>
            <w:shd w:val="clear" w:color="auto" w:fill="auto"/>
            <w:noWrap/>
            <w:vAlign w:val="center"/>
            <w:hideMark/>
          </w:tcPr>
          <w:p w14:paraId="55926296" w14:textId="77777777" w:rsidR="007F5DB3" w:rsidRPr="00AC4D7B" w:rsidRDefault="007F5DB3" w:rsidP="007F5DB3">
            <w:pPr>
              <w:jc w:val="right"/>
              <w:rPr>
                <w:rFonts w:cs="Arial"/>
                <w:color w:val="000000"/>
              </w:rPr>
            </w:pPr>
            <w:r w:rsidRPr="00AC4D7B">
              <w:rPr>
                <w:rFonts w:cs="Arial"/>
                <w:color w:val="000000"/>
              </w:rPr>
              <w:t xml:space="preserve">154 </w:t>
            </w:r>
          </w:p>
        </w:tc>
      </w:tr>
      <w:tr w:rsidR="007F5DB3" w:rsidRPr="00AC4D7B" w14:paraId="4418DA88" w14:textId="77777777" w:rsidTr="007F5DB3">
        <w:trPr>
          <w:trHeight w:val="285"/>
        </w:trPr>
        <w:tc>
          <w:tcPr>
            <w:tcW w:w="4445" w:type="dxa"/>
            <w:tcBorders>
              <w:top w:val="nil"/>
              <w:left w:val="single" w:sz="4" w:space="0" w:color="auto"/>
              <w:bottom w:val="nil"/>
              <w:right w:val="nil"/>
            </w:tcBorders>
            <w:shd w:val="clear" w:color="auto" w:fill="auto"/>
            <w:noWrap/>
            <w:vAlign w:val="center"/>
            <w:hideMark/>
          </w:tcPr>
          <w:p w14:paraId="156547EB" w14:textId="77777777" w:rsidR="007F5DB3" w:rsidRPr="00AC4D7B" w:rsidRDefault="007F5DB3" w:rsidP="007F5DB3">
            <w:pPr>
              <w:rPr>
                <w:rFonts w:cs="Arial"/>
                <w:color w:val="000000"/>
              </w:rPr>
            </w:pPr>
            <w:r w:rsidRPr="00AC4D7B">
              <w:rPr>
                <w:rFonts w:cs="Arial"/>
                <w:color w:val="000000"/>
              </w:rPr>
              <w:t>Transformation &amp; Partnerships</w:t>
            </w:r>
          </w:p>
        </w:tc>
        <w:tc>
          <w:tcPr>
            <w:tcW w:w="1302" w:type="dxa"/>
            <w:tcBorders>
              <w:top w:val="nil"/>
              <w:left w:val="single" w:sz="4" w:space="0" w:color="BFBFBF"/>
              <w:bottom w:val="nil"/>
              <w:right w:val="single" w:sz="4" w:space="0" w:color="BFBFBF"/>
            </w:tcBorders>
            <w:shd w:val="clear" w:color="auto" w:fill="auto"/>
            <w:noWrap/>
            <w:vAlign w:val="center"/>
            <w:hideMark/>
          </w:tcPr>
          <w:p w14:paraId="6984AD74" w14:textId="77777777" w:rsidR="007F5DB3" w:rsidRPr="00AC4D7B" w:rsidRDefault="007F5DB3" w:rsidP="007F5DB3">
            <w:pPr>
              <w:jc w:val="right"/>
              <w:rPr>
                <w:rFonts w:cs="Arial"/>
                <w:color w:val="000000"/>
              </w:rPr>
            </w:pPr>
            <w:r w:rsidRPr="00AC4D7B">
              <w:rPr>
                <w:rFonts w:cs="Arial"/>
                <w:color w:val="000000"/>
              </w:rPr>
              <w:t xml:space="preserve">512 </w:t>
            </w:r>
          </w:p>
        </w:tc>
        <w:tc>
          <w:tcPr>
            <w:tcW w:w="1303" w:type="dxa"/>
            <w:tcBorders>
              <w:top w:val="nil"/>
              <w:left w:val="nil"/>
              <w:bottom w:val="nil"/>
              <w:right w:val="single" w:sz="4" w:space="0" w:color="BFBFBF"/>
            </w:tcBorders>
            <w:shd w:val="clear" w:color="auto" w:fill="auto"/>
            <w:noWrap/>
            <w:vAlign w:val="center"/>
            <w:hideMark/>
          </w:tcPr>
          <w:p w14:paraId="21FF25FE" w14:textId="77777777" w:rsidR="007F5DB3" w:rsidRPr="00AC4D7B" w:rsidRDefault="007F5DB3" w:rsidP="007F5DB3">
            <w:pPr>
              <w:jc w:val="right"/>
              <w:rPr>
                <w:rFonts w:cs="Arial"/>
                <w:color w:val="000000"/>
              </w:rPr>
            </w:pPr>
            <w:r w:rsidRPr="00AC4D7B">
              <w:rPr>
                <w:rFonts w:cs="Arial"/>
                <w:color w:val="000000"/>
              </w:rPr>
              <w:t xml:space="preserve">638 </w:t>
            </w:r>
          </w:p>
        </w:tc>
        <w:tc>
          <w:tcPr>
            <w:tcW w:w="1303" w:type="dxa"/>
            <w:tcBorders>
              <w:top w:val="nil"/>
              <w:left w:val="nil"/>
              <w:bottom w:val="nil"/>
              <w:right w:val="single" w:sz="4" w:space="0" w:color="BFBFBF"/>
            </w:tcBorders>
            <w:shd w:val="clear" w:color="auto" w:fill="auto"/>
            <w:noWrap/>
            <w:vAlign w:val="center"/>
            <w:hideMark/>
          </w:tcPr>
          <w:p w14:paraId="5461357F" w14:textId="77777777" w:rsidR="007F5DB3" w:rsidRPr="00AC4D7B" w:rsidRDefault="007F5DB3" w:rsidP="007F5DB3">
            <w:pPr>
              <w:jc w:val="right"/>
              <w:rPr>
                <w:rFonts w:cs="Arial"/>
                <w:color w:val="000000"/>
              </w:rPr>
            </w:pPr>
            <w:r w:rsidRPr="00AC4D7B">
              <w:rPr>
                <w:rFonts w:cs="Arial"/>
                <w:color w:val="000000"/>
              </w:rPr>
              <w:t xml:space="preserve">530 </w:t>
            </w:r>
          </w:p>
        </w:tc>
        <w:tc>
          <w:tcPr>
            <w:tcW w:w="1307" w:type="dxa"/>
            <w:tcBorders>
              <w:top w:val="nil"/>
              <w:left w:val="nil"/>
              <w:bottom w:val="nil"/>
              <w:right w:val="single" w:sz="4" w:space="0" w:color="auto"/>
            </w:tcBorders>
            <w:shd w:val="clear" w:color="auto" w:fill="auto"/>
            <w:noWrap/>
            <w:vAlign w:val="center"/>
            <w:hideMark/>
          </w:tcPr>
          <w:p w14:paraId="304E3A21" w14:textId="77777777" w:rsidR="007F5DB3" w:rsidRPr="00AC4D7B" w:rsidRDefault="007F5DB3" w:rsidP="007F5DB3">
            <w:pPr>
              <w:jc w:val="right"/>
              <w:rPr>
                <w:rFonts w:cs="Arial"/>
                <w:color w:val="000000"/>
              </w:rPr>
            </w:pPr>
            <w:r w:rsidRPr="00AC4D7B">
              <w:rPr>
                <w:rFonts w:cs="Arial"/>
                <w:color w:val="000000"/>
              </w:rPr>
              <w:t>(108)</w:t>
            </w:r>
          </w:p>
        </w:tc>
      </w:tr>
      <w:tr w:rsidR="007F5DB3" w:rsidRPr="00AC4D7B" w14:paraId="0E0FEB28" w14:textId="77777777" w:rsidTr="007F5DB3">
        <w:trPr>
          <w:trHeight w:val="285"/>
        </w:trPr>
        <w:tc>
          <w:tcPr>
            <w:tcW w:w="4445" w:type="dxa"/>
            <w:tcBorders>
              <w:top w:val="nil"/>
              <w:left w:val="single" w:sz="4" w:space="0" w:color="auto"/>
              <w:bottom w:val="nil"/>
              <w:right w:val="nil"/>
            </w:tcBorders>
            <w:shd w:val="clear" w:color="auto" w:fill="auto"/>
            <w:noWrap/>
            <w:vAlign w:val="center"/>
            <w:hideMark/>
          </w:tcPr>
          <w:p w14:paraId="08846562" w14:textId="77777777" w:rsidR="007F5DB3" w:rsidRPr="00AC4D7B" w:rsidRDefault="007F5DB3" w:rsidP="007F5DB3">
            <w:pPr>
              <w:rPr>
                <w:rFonts w:cs="Arial"/>
                <w:color w:val="000000"/>
              </w:rPr>
            </w:pPr>
            <w:r w:rsidRPr="00AC4D7B">
              <w:rPr>
                <w:rFonts w:cs="Arial"/>
                <w:color w:val="000000"/>
              </w:rPr>
              <w:t>Pensions Deficit Contributions</w:t>
            </w:r>
          </w:p>
        </w:tc>
        <w:tc>
          <w:tcPr>
            <w:tcW w:w="1302" w:type="dxa"/>
            <w:tcBorders>
              <w:top w:val="nil"/>
              <w:left w:val="single" w:sz="4" w:space="0" w:color="BFBFBF"/>
              <w:bottom w:val="nil"/>
              <w:right w:val="single" w:sz="4" w:space="0" w:color="BFBFBF"/>
            </w:tcBorders>
            <w:shd w:val="clear" w:color="auto" w:fill="auto"/>
            <w:noWrap/>
            <w:vAlign w:val="center"/>
            <w:hideMark/>
          </w:tcPr>
          <w:p w14:paraId="5A320923" w14:textId="77777777" w:rsidR="007F5DB3" w:rsidRPr="00AC4D7B" w:rsidRDefault="007F5DB3" w:rsidP="007F5DB3">
            <w:pPr>
              <w:jc w:val="right"/>
              <w:rPr>
                <w:rFonts w:cs="Arial"/>
                <w:color w:val="000000"/>
              </w:rPr>
            </w:pPr>
            <w:r w:rsidRPr="00AC4D7B">
              <w:rPr>
                <w:rFonts w:cs="Arial"/>
                <w:color w:val="000000"/>
              </w:rPr>
              <w:t xml:space="preserve">25 </w:t>
            </w:r>
          </w:p>
        </w:tc>
        <w:tc>
          <w:tcPr>
            <w:tcW w:w="1303" w:type="dxa"/>
            <w:tcBorders>
              <w:top w:val="nil"/>
              <w:left w:val="nil"/>
              <w:bottom w:val="nil"/>
              <w:right w:val="single" w:sz="4" w:space="0" w:color="BFBFBF"/>
            </w:tcBorders>
            <w:shd w:val="clear" w:color="auto" w:fill="auto"/>
            <w:noWrap/>
            <w:vAlign w:val="center"/>
            <w:hideMark/>
          </w:tcPr>
          <w:p w14:paraId="4C9567D2" w14:textId="77777777" w:rsidR="007F5DB3" w:rsidRPr="00AC4D7B" w:rsidRDefault="007F5DB3" w:rsidP="007F5DB3">
            <w:pPr>
              <w:jc w:val="right"/>
              <w:rPr>
                <w:rFonts w:cs="Arial"/>
                <w:color w:val="000000"/>
              </w:rPr>
            </w:pPr>
            <w:r w:rsidRPr="00AC4D7B">
              <w:rPr>
                <w:rFonts w:cs="Arial"/>
                <w:color w:val="000000"/>
              </w:rPr>
              <w:t xml:space="preserve">25 </w:t>
            </w:r>
          </w:p>
        </w:tc>
        <w:tc>
          <w:tcPr>
            <w:tcW w:w="1303" w:type="dxa"/>
            <w:tcBorders>
              <w:top w:val="nil"/>
              <w:left w:val="nil"/>
              <w:bottom w:val="nil"/>
              <w:right w:val="single" w:sz="4" w:space="0" w:color="BFBFBF"/>
            </w:tcBorders>
            <w:shd w:val="clear" w:color="auto" w:fill="auto"/>
            <w:noWrap/>
            <w:vAlign w:val="center"/>
            <w:hideMark/>
          </w:tcPr>
          <w:p w14:paraId="1ABCB08B" w14:textId="77777777" w:rsidR="007F5DB3" w:rsidRPr="00AC4D7B" w:rsidRDefault="007F5DB3" w:rsidP="007F5DB3">
            <w:pPr>
              <w:jc w:val="right"/>
              <w:rPr>
                <w:rFonts w:cs="Arial"/>
                <w:color w:val="000000"/>
              </w:rPr>
            </w:pPr>
            <w:r w:rsidRPr="00AC4D7B">
              <w:rPr>
                <w:rFonts w:cs="Arial"/>
                <w:color w:val="000000"/>
              </w:rPr>
              <w:t xml:space="preserve">1 </w:t>
            </w:r>
          </w:p>
        </w:tc>
        <w:tc>
          <w:tcPr>
            <w:tcW w:w="1307" w:type="dxa"/>
            <w:tcBorders>
              <w:top w:val="nil"/>
              <w:left w:val="nil"/>
              <w:bottom w:val="nil"/>
              <w:right w:val="single" w:sz="4" w:space="0" w:color="auto"/>
            </w:tcBorders>
            <w:shd w:val="clear" w:color="auto" w:fill="auto"/>
            <w:noWrap/>
            <w:vAlign w:val="center"/>
            <w:hideMark/>
          </w:tcPr>
          <w:p w14:paraId="53CD8263" w14:textId="77777777" w:rsidR="007F5DB3" w:rsidRPr="00AC4D7B" w:rsidRDefault="007F5DB3" w:rsidP="007F5DB3">
            <w:pPr>
              <w:jc w:val="right"/>
              <w:rPr>
                <w:rFonts w:cs="Arial"/>
                <w:color w:val="000000"/>
              </w:rPr>
            </w:pPr>
            <w:r w:rsidRPr="00AC4D7B">
              <w:rPr>
                <w:rFonts w:cs="Arial"/>
                <w:color w:val="000000"/>
              </w:rPr>
              <w:t>(24)</w:t>
            </w:r>
          </w:p>
        </w:tc>
      </w:tr>
      <w:tr w:rsidR="007F5DB3" w:rsidRPr="00AC4D7B" w14:paraId="40D3C025" w14:textId="77777777" w:rsidTr="007F5DB3">
        <w:trPr>
          <w:trHeight w:val="285"/>
        </w:trPr>
        <w:tc>
          <w:tcPr>
            <w:tcW w:w="4445" w:type="dxa"/>
            <w:tcBorders>
              <w:top w:val="nil"/>
              <w:left w:val="single" w:sz="4" w:space="0" w:color="auto"/>
              <w:bottom w:val="nil"/>
              <w:right w:val="nil"/>
            </w:tcBorders>
            <w:shd w:val="clear" w:color="auto" w:fill="auto"/>
            <w:noWrap/>
            <w:vAlign w:val="center"/>
            <w:hideMark/>
          </w:tcPr>
          <w:p w14:paraId="13BD132F" w14:textId="77777777" w:rsidR="007F5DB3" w:rsidRPr="00AC4D7B" w:rsidRDefault="007F5DB3" w:rsidP="007F5DB3">
            <w:pPr>
              <w:rPr>
                <w:rFonts w:cs="Arial"/>
                <w:color w:val="000000"/>
              </w:rPr>
            </w:pPr>
            <w:r w:rsidRPr="00AC4D7B">
              <w:rPr>
                <w:rFonts w:cs="Arial"/>
                <w:color w:val="000000"/>
              </w:rPr>
              <w:t>Savings Targets</w:t>
            </w:r>
          </w:p>
        </w:tc>
        <w:tc>
          <w:tcPr>
            <w:tcW w:w="1302" w:type="dxa"/>
            <w:tcBorders>
              <w:top w:val="nil"/>
              <w:left w:val="single" w:sz="4" w:space="0" w:color="BFBFBF"/>
              <w:bottom w:val="nil"/>
              <w:right w:val="single" w:sz="4" w:space="0" w:color="BFBFBF"/>
            </w:tcBorders>
            <w:shd w:val="clear" w:color="auto" w:fill="auto"/>
            <w:noWrap/>
            <w:vAlign w:val="center"/>
            <w:hideMark/>
          </w:tcPr>
          <w:p w14:paraId="5795A7A6" w14:textId="77777777" w:rsidR="007F5DB3" w:rsidRPr="00AC4D7B" w:rsidRDefault="007F5DB3" w:rsidP="007F5DB3">
            <w:pPr>
              <w:jc w:val="right"/>
              <w:rPr>
                <w:rFonts w:cs="Arial"/>
                <w:color w:val="000000"/>
              </w:rPr>
            </w:pPr>
            <w:r w:rsidRPr="00AC4D7B">
              <w:rPr>
                <w:rFonts w:cs="Arial"/>
                <w:color w:val="000000"/>
              </w:rPr>
              <w:t>(305)</w:t>
            </w:r>
          </w:p>
        </w:tc>
        <w:tc>
          <w:tcPr>
            <w:tcW w:w="1303" w:type="dxa"/>
            <w:tcBorders>
              <w:top w:val="nil"/>
              <w:left w:val="nil"/>
              <w:bottom w:val="nil"/>
              <w:right w:val="single" w:sz="4" w:space="0" w:color="BFBFBF"/>
            </w:tcBorders>
            <w:shd w:val="clear" w:color="auto" w:fill="auto"/>
            <w:noWrap/>
            <w:vAlign w:val="center"/>
            <w:hideMark/>
          </w:tcPr>
          <w:p w14:paraId="234D6047" w14:textId="77777777" w:rsidR="007F5DB3" w:rsidRPr="00AC4D7B" w:rsidRDefault="007F5DB3" w:rsidP="007F5DB3">
            <w:pPr>
              <w:jc w:val="right"/>
              <w:rPr>
                <w:rFonts w:cs="Arial"/>
                <w:color w:val="000000"/>
              </w:rPr>
            </w:pPr>
            <w:r w:rsidRPr="00AC4D7B">
              <w:rPr>
                <w:rFonts w:cs="Arial"/>
                <w:color w:val="000000"/>
              </w:rPr>
              <w:t>(187)</w:t>
            </w:r>
          </w:p>
        </w:tc>
        <w:tc>
          <w:tcPr>
            <w:tcW w:w="1303" w:type="dxa"/>
            <w:tcBorders>
              <w:top w:val="nil"/>
              <w:left w:val="nil"/>
              <w:bottom w:val="nil"/>
              <w:right w:val="single" w:sz="4" w:space="0" w:color="BFBFBF"/>
            </w:tcBorders>
            <w:shd w:val="clear" w:color="auto" w:fill="auto"/>
            <w:noWrap/>
            <w:vAlign w:val="center"/>
            <w:hideMark/>
          </w:tcPr>
          <w:p w14:paraId="6A733684" w14:textId="77777777" w:rsidR="007F5DB3" w:rsidRPr="00AC4D7B" w:rsidRDefault="007F5DB3" w:rsidP="007F5DB3">
            <w:pPr>
              <w:jc w:val="right"/>
              <w:rPr>
                <w:rFonts w:cs="Arial"/>
                <w:color w:val="000000"/>
              </w:rPr>
            </w:pPr>
            <w:r w:rsidRPr="00AC4D7B">
              <w:rPr>
                <w:rFonts w:cs="Arial"/>
                <w:color w:val="000000"/>
              </w:rPr>
              <w:t xml:space="preserve">-  </w:t>
            </w:r>
          </w:p>
        </w:tc>
        <w:tc>
          <w:tcPr>
            <w:tcW w:w="1307" w:type="dxa"/>
            <w:tcBorders>
              <w:top w:val="nil"/>
              <w:left w:val="nil"/>
              <w:bottom w:val="nil"/>
              <w:right w:val="single" w:sz="4" w:space="0" w:color="auto"/>
            </w:tcBorders>
            <w:shd w:val="clear" w:color="auto" w:fill="auto"/>
            <w:noWrap/>
            <w:vAlign w:val="center"/>
            <w:hideMark/>
          </w:tcPr>
          <w:p w14:paraId="60FF6508" w14:textId="77777777" w:rsidR="007F5DB3" w:rsidRPr="00AC4D7B" w:rsidRDefault="007F5DB3" w:rsidP="007F5DB3">
            <w:pPr>
              <w:jc w:val="right"/>
              <w:rPr>
                <w:rFonts w:cs="Arial"/>
                <w:color w:val="000000"/>
              </w:rPr>
            </w:pPr>
            <w:r w:rsidRPr="00AC4D7B">
              <w:rPr>
                <w:rFonts w:cs="Arial"/>
                <w:color w:val="000000"/>
              </w:rPr>
              <w:t xml:space="preserve">187 </w:t>
            </w:r>
          </w:p>
        </w:tc>
      </w:tr>
      <w:tr w:rsidR="007F5DB3" w:rsidRPr="00AC4D7B" w14:paraId="357EC4D7" w14:textId="77777777" w:rsidTr="007F5DB3">
        <w:trPr>
          <w:trHeight w:val="300"/>
        </w:trPr>
        <w:tc>
          <w:tcPr>
            <w:tcW w:w="4445" w:type="dxa"/>
            <w:tcBorders>
              <w:top w:val="nil"/>
              <w:left w:val="single" w:sz="4" w:space="0" w:color="auto"/>
              <w:bottom w:val="nil"/>
              <w:right w:val="nil"/>
            </w:tcBorders>
            <w:shd w:val="clear" w:color="auto" w:fill="auto"/>
            <w:noWrap/>
            <w:vAlign w:val="center"/>
            <w:hideMark/>
          </w:tcPr>
          <w:p w14:paraId="167F15EC" w14:textId="77777777" w:rsidR="007F5DB3" w:rsidRPr="00AC4D7B" w:rsidRDefault="007F5DB3" w:rsidP="007F5DB3">
            <w:pPr>
              <w:rPr>
                <w:rFonts w:cs="Arial"/>
                <w:b/>
                <w:bCs/>
                <w:color w:val="000000"/>
              </w:rPr>
            </w:pPr>
            <w:r w:rsidRPr="00AC4D7B">
              <w:rPr>
                <w:rFonts w:cs="Arial"/>
                <w:b/>
                <w:bCs/>
                <w:color w:val="000000"/>
              </w:rPr>
              <w:t>Net Cost of Services</w:t>
            </w:r>
          </w:p>
        </w:tc>
        <w:tc>
          <w:tcPr>
            <w:tcW w:w="1302" w:type="dxa"/>
            <w:tcBorders>
              <w:top w:val="single" w:sz="4" w:space="0" w:color="auto"/>
              <w:left w:val="single" w:sz="4" w:space="0" w:color="BFBFBF"/>
              <w:bottom w:val="nil"/>
              <w:right w:val="single" w:sz="4" w:space="0" w:color="BFBFBF"/>
            </w:tcBorders>
            <w:shd w:val="clear" w:color="auto" w:fill="auto"/>
            <w:noWrap/>
            <w:vAlign w:val="center"/>
            <w:hideMark/>
          </w:tcPr>
          <w:p w14:paraId="2478C758" w14:textId="77777777" w:rsidR="007F5DB3" w:rsidRPr="00AC4D7B" w:rsidRDefault="007F5DB3" w:rsidP="007F5DB3">
            <w:pPr>
              <w:jc w:val="right"/>
              <w:rPr>
                <w:rFonts w:cs="Arial"/>
                <w:b/>
                <w:bCs/>
                <w:color w:val="000000"/>
              </w:rPr>
            </w:pPr>
            <w:r w:rsidRPr="00AC4D7B">
              <w:rPr>
                <w:rFonts w:cs="Arial"/>
                <w:b/>
                <w:bCs/>
                <w:color w:val="000000"/>
              </w:rPr>
              <w:t xml:space="preserve">13,766 </w:t>
            </w:r>
          </w:p>
        </w:tc>
        <w:tc>
          <w:tcPr>
            <w:tcW w:w="1303" w:type="dxa"/>
            <w:tcBorders>
              <w:top w:val="single" w:sz="4" w:space="0" w:color="auto"/>
              <w:left w:val="nil"/>
              <w:bottom w:val="nil"/>
              <w:right w:val="single" w:sz="4" w:space="0" w:color="BFBFBF"/>
            </w:tcBorders>
            <w:shd w:val="clear" w:color="auto" w:fill="auto"/>
            <w:noWrap/>
            <w:vAlign w:val="center"/>
            <w:hideMark/>
          </w:tcPr>
          <w:p w14:paraId="48842ED2" w14:textId="77777777" w:rsidR="007F5DB3" w:rsidRPr="00AC4D7B" w:rsidRDefault="007F5DB3" w:rsidP="007F5DB3">
            <w:pPr>
              <w:jc w:val="right"/>
              <w:rPr>
                <w:rFonts w:cs="Arial"/>
                <w:b/>
                <w:bCs/>
                <w:color w:val="000000"/>
              </w:rPr>
            </w:pPr>
            <w:r w:rsidRPr="00AC4D7B">
              <w:rPr>
                <w:rFonts w:cs="Arial"/>
                <w:b/>
                <w:bCs/>
                <w:color w:val="000000"/>
              </w:rPr>
              <w:t xml:space="preserve">13,931 </w:t>
            </w:r>
          </w:p>
        </w:tc>
        <w:tc>
          <w:tcPr>
            <w:tcW w:w="1303" w:type="dxa"/>
            <w:tcBorders>
              <w:top w:val="single" w:sz="4" w:space="0" w:color="auto"/>
              <w:left w:val="nil"/>
              <w:bottom w:val="nil"/>
              <w:right w:val="single" w:sz="4" w:space="0" w:color="BFBFBF"/>
            </w:tcBorders>
            <w:shd w:val="clear" w:color="auto" w:fill="auto"/>
            <w:noWrap/>
            <w:vAlign w:val="center"/>
            <w:hideMark/>
          </w:tcPr>
          <w:p w14:paraId="1204FC71" w14:textId="77777777" w:rsidR="007F5DB3" w:rsidRPr="00AC4D7B" w:rsidRDefault="007F5DB3" w:rsidP="007F5DB3">
            <w:pPr>
              <w:jc w:val="right"/>
              <w:rPr>
                <w:rFonts w:cs="Arial"/>
                <w:b/>
                <w:bCs/>
                <w:color w:val="000000"/>
              </w:rPr>
            </w:pPr>
            <w:r w:rsidRPr="00AC4D7B">
              <w:rPr>
                <w:rFonts w:cs="Arial"/>
                <w:b/>
                <w:bCs/>
                <w:color w:val="000000"/>
              </w:rPr>
              <w:t xml:space="preserve">13,590 </w:t>
            </w:r>
          </w:p>
        </w:tc>
        <w:tc>
          <w:tcPr>
            <w:tcW w:w="1307" w:type="dxa"/>
            <w:tcBorders>
              <w:top w:val="single" w:sz="4" w:space="0" w:color="auto"/>
              <w:left w:val="nil"/>
              <w:bottom w:val="nil"/>
              <w:right w:val="single" w:sz="4" w:space="0" w:color="auto"/>
            </w:tcBorders>
            <w:shd w:val="clear" w:color="auto" w:fill="auto"/>
            <w:noWrap/>
            <w:vAlign w:val="center"/>
            <w:hideMark/>
          </w:tcPr>
          <w:p w14:paraId="64553FD5" w14:textId="77777777" w:rsidR="007F5DB3" w:rsidRPr="00AC4D7B" w:rsidRDefault="007F5DB3" w:rsidP="007F5DB3">
            <w:pPr>
              <w:jc w:val="right"/>
              <w:rPr>
                <w:rFonts w:cs="Arial"/>
                <w:b/>
                <w:bCs/>
                <w:color w:val="000000"/>
              </w:rPr>
            </w:pPr>
            <w:r w:rsidRPr="00AC4D7B">
              <w:rPr>
                <w:rFonts w:cs="Arial"/>
                <w:b/>
                <w:bCs/>
                <w:color w:val="000000"/>
              </w:rPr>
              <w:t>(341)</w:t>
            </w:r>
          </w:p>
        </w:tc>
      </w:tr>
      <w:tr w:rsidR="007F5DB3" w:rsidRPr="00AC4D7B" w14:paraId="587A847F" w14:textId="77777777" w:rsidTr="007F5DB3">
        <w:trPr>
          <w:trHeight w:val="285"/>
        </w:trPr>
        <w:tc>
          <w:tcPr>
            <w:tcW w:w="4445" w:type="dxa"/>
            <w:tcBorders>
              <w:top w:val="nil"/>
              <w:left w:val="single" w:sz="4" w:space="0" w:color="auto"/>
              <w:bottom w:val="nil"/>
              <w:right w:val="nil"/>
            </w:tcBorders>
            <w:shd w:val="clear" w:color="auto" w:fill="auto"/>
            <w:noWrap/>
            <w:vAlign w:val="center"/>
            <w:hideMark/>
          </w:tcPr>
          <w:p w14:paraId="5B524C9D" w14:textId="77777777" w:rsidR="007F5DB3" w:rsidRPr="00AC4D7B" w:rsidRDefault="007F5DB3" w:rsidP="007F5DB3">
            <w:pPr>
              <w:rPr>
                <w:rFonts w:cs="Arial"/>
                <w:color w:val="000000"/>
              </w:rPr>
            </w:pPr>
            <w:r w:rsidRPr="00AC4D7B">
              <w:rPr>
                <w:rFonts w:cs="Arial"/>
                <w:color w:val="000000"/>
              </w:rPr>
              <w:t> </w:t>
            </w:r>
          </w:p>
        </w:tc>
        <w:tc>
          <w:tcPr>
            <w:tcW w:w="1302" w:type="dxa"/>
            <w:tcBorders>
              <w:top w:val="nil"/>
              <w:left w:val="single" w:sz="4" w:space="0" w:color="BFBFBF"/>
              <w:bottom w:val="nil"/>
              <w:right w:val="single" w:sz="4" w:space="0" w:color="BFBFBF"/>
            </w:tcBorders>
            <w:shd w:val="clear" w:color="auto" w:fill="auto"/>
            <w:noWrap/>
            <w:vAlign w:val="center"/>
            <w:hideMark/>
          </w:tcPr>
          <w:p w14:paraId="7F51FB13" w14:textId="77777777" w:rsidR="007F5DB3" w:rsidRPr="00AC4D7B" w:rsidRDefault="007F5DB3" w:rsidP="007F5DB3">
            <w:pPr>
              <w:jc w:val="right"/>
              <w:rPr>
                <w:rFonts w:cs="Arial"/>
                <w:color w:val="000000"/>
              </w:rPr>
            </w:pPr>
            <w:r w:rsidRPr="00AC4D7B">
              <w:rPr>
                <w:rFonts w:cs="Arial"/>
                <w:color w:val="000000"/>
              </w:rPr>
              <w:t> </w:t>
            </w:r>
          </w:p>
        </w:tc>
        <w:tc>
          <w:tcPr>
            <w:tcW w:w="1303" w:type="dxa"/>
            <w:tcBorders>
              <w:top w:val="nil"/>
              <w:left w:val="nil"/>
              <w:bottom w:val="nil"/>
              <w:right w:val="single" w:sz="4" w:space="0" w:color="BFBFBF"/>
            </w:tcBorders>
            <w:shd w:val="clear" w:color="auto" w:fill="auto"/>
            <w:noWrap/>
            <w:vAlign w:val="center"/>
            <w:hideMark/>
          </w:tcPr>
          <w:p w14:paraId="0719F228" w14:textId="77777777" w:rsidR="007F5DB3" w:rsidRPr="00AC4D7B" w:rsidRDefault="007F5DB3" w:rsidP="007F5DB3">
            <w:pPr>
              <w:jc w:val="right"/>
              <w:rPr>
                <w:rFonts w:cs="Arial"/>
                <w:color w:val="000000"/>
              </w:rPr>
            </w:pPr>
            <w:r w:rsidRPr="00AC4D7B">
              <w:rPr>
                <w:rFonts w:cs="Arial"/>
                <w:color w:val="000000"/>
              </w:rPr>
              <w:t> </w:t>
            </w:r>
          </w:p>
        </w:tc>
        <w:tc>
          <w:tcPr>
            <w:tcW w:w="1303" w:type="dxa"/>
            <w:tcBorders>
              <w:top w:val="nil"/>
              <w:left w:val="nil"/>
              <w:bottom w:val="nil"/>
              <w:right w:val="single" w:sz="4" w:space="0" w:color="BFBFBF"/>
            </w:tcBorders>
            <w:shd w:val="clear" w:color="auto" w:fill="auto"/>
            <w:noWrap/>
            <w:vAlign w:val="center"/>
            <w:hideMark/>
          </w:tcPr>
          <w:p w14:paraId="096B8B87" w14:textId="77777777" w:rsidR="007F5DB3" w:rsidRPr="00AC4D7B" w:rsidRDefault="007F5DB3" w:rsidP="007F5DB3">
            <w:pPr>
              <w:jc w:val="right"/>
              <w:rPr>
                <w:rFonts w:cs="Arial"/>
                <w:color w:val="000000"/>
              </w:rPr>
            </w:pPr>
            <w:r w:rsidRPr="00AC4D7B">
              <w:rPr>
                <w:rFonts w:cs="Arial"/>
                <w:color w:val="000000"/>
              </w:rPr>
              <w:t> </w:t>
            </w:r>
          </w:p>
        </w:tc>
        <w:tc>
          <w:tcPr>
            <w:tcW w:w="1307" w:type="dxa"/>
            <w:tcBorders>
              <w:top w:val="nil"/>
              <w:left w:val="nil"/>
              <w:bottom w:val="nil"/>
              <w:right w:val="single" w:sz="4" w:space="0" w:color="auto"/>
            </w:tcBorders>
            <w:shd w:val="clear" w:color="auto" w:fill="auto"/>
            <w:noWrap/>
            <w:vAlign w:val="center"/>
            <w:hideMark/>
          </w:tcPr>
          <w:p w14:paraId="7DD466D9" w14:textId="77777777" w:rsidR="007F5DB3" w:rsidRPr="00AC4D7B" w:rsidRDefault="007F5DB3" w:rsidP="007F5DB3">
            <w:pPr>
              <w:jc w:val="right"/>
              <w:rPr>
                <w:rFonts w:cs="Arial"/>
                <w:color w:val="000000"/>
              </w:rPr>
            </w:pPr>
            <w:r w:rsidRPr="00AC4D7B">
              <w:rPr>
                <w:rFonts w:cs="Arial"/>
                <w:color w:val="000000"/>
              </w:rPr>
              <w:t> </w:t>
            </w:r>
          </w:p>
        </w:tc>
      </w:tr>
      <w:tr w:rsidR="007F5DB3" w:rsidRPr="00AC4D7B" w14:paraId="799C5910" w14:textId="77777777" w:rsidTr="007F5DB3">
        <w:trPr>
          <w:trHeight w:val="285"/>
        </w:trPr>
        <w:tc>
          <w:tcPr>
            <w:tcW w:w="4445" w:type="dxa"/>
            <w:tcBorders>
              <w:top w:val="nil"/>
              <w:left w:val="single" w:sz="4" w:space="0" w:color="auto"/>
              <w:bottom w:val="nil"/>
              <w:right w:val="nil"/>
            </w:tcBorders>
            <w:shd w:val="clear" w:color="auto" w:fill="auto"/>
            <w:noWrap/>
            <w:vAlign w:val="center"/>
            <w:hideMark/>
          </w:tcPr>
          <w:p w14:paraId="6F39EB1A" w14:textId="77777777" w:rsidR="007F5DB3" w:rsidRPr="00AC4D7B" w:rsidRDefault="007F5DB3" w:rsidP="007F5DB3">
            <w:pPr>
              <w:rPr>
                <w:rFonts w:cs="Arial"/>
                <w:color w:val="000000"/>
              </w:rPr>
            </w:pPr>
            <w:r w:rsidRPr="00AC4D7B">
              <w:rPr>
                <w:rFonts w:cs="Arial"/>
                <w:color w:val="000000"/>
              </w:rPr>
              <w:t>Provision for repayment of debt</w:t>
            </w:r>
          </w:p>
        </w:tc>
        <w:tc>
          <w:tcPr>
            <w:tcW w:w="1302" w:type="dxa"/>
            <w:tcBorders>
              <w:top w:val="nil"/>
              <w:left w:val="single" w:sz="4" w:space="0" w:color="BFBFBF"/>
              <w:bottom w:val="nil"/>
              <w:right w:val="single" w:sz="4" w:space="0" w:color="BFBFBF"/>
            </w:tcBorders>
            <w:shd w:val="clear" w:color="auto" w:fill="auto"/>
            <w:noWrap/>
            <w:vAlign w:val="center"/>
            <w:hideMark/>
          </w:tcPr>
          <w:p w14:paraId="1BFD4506" w14:textId="77777777" w:rsidR="007F5DB3" w:rsidRPr="00AC4D7B" w:rsidRDefault="007F5DB3" w:rsidP="007F5DB3">
            <w:pPr>
              <w:jc w:val="right"/>
              <w:rPr>
                <w:rFonts w:cs="Arial"/>
                <w:color w:val="000000"/>
              </w:rPr>
            </w:pPr>
            <w:r w:rsidRPr="00AC4D7B">
              <w:rPr>
                <w:rFonts w:cs="Arial"/>
                <w:color w:val="000000"/>
              </w:rPr>
              <w:t xml:space="preserve">649 </w:t>
            </w:r>
          </w:p>
        </w:tc>
        <w:tc>
          <w:tcPr>
            <w:tcW w:w="1303" w:type="dxa"/>
            <w:tcBorders>
              <w:top w:val="nil"/>
              <w:left w:val="nil"/>
              <w:bottom w:val="nil"/>
              <w:right w:val="single" w:sz="4" w:space="0" w:color="BFBFBF"/>
            </w:tcBorders>
            <w:shd w:val="clear" w:color="auto" w:fill="auto"/>
            <w:noWrap/>
            <w:vAlign w:val="center"/>
            <w:hideMark/>
          </w:tcPr>
          <w:p w14:paraId="5E4DC554" w14:textId="77777777" w:rsidR="007F5DB3" w:rsidRPr="00AC4D7B" w:rsidRDefault="007F5DB3" w:rsidP="007F5DB3">
            <w:pPr>
              <w:jc w:val="right"/>
              <w:rPr>
                <w:rFonts w:cs="Arial"/>
                <w:color w:val="000000"/>
              </w:rPr>
            </w:pPr>
            <w:r w:rsidRPr="00AC4D7B">
              <w:rPr>
                <w:rFonts w:cs="Arial"/>
                <w:color w:val="000000"/>
              </w:rPr>
              <w:t xml:space="preserve">649 </w:t>
            </w:r>
          </w:p>
        </w:tc>
        <w:tc>
          <w:tcPr>
            <w:tcW w:w="1303" w:type="dxa"/>
            <w:tcBorders>
              <w:top w:val="nil"/>
              <w:left w:val="nil"/>
              <w:bottom w:val="nil"/>
              <w:right w:val="single" w:sz="4" w:space="0" w:color="BFBFBF"/>
            </w:tcBorders>
            <w:shd w:val="clear" w:color="auto" w:fill="auto"/>
            <w:noWrap/>
            <w:vAlign w:val="center"/>
            <w:hideMark/>
          </w:tcPr>
          <w:p w14:paraId="689812A9" w14:textId="77777777" w:rsidR="007F5DB3" w:rsidRPr="00AC4D7B" w:rsidRDefault="007F5DB3" w:rsidP="007F5DB3">
            <w:pPr>
              <w:jc w:val="right"/>
              <w:rPr>
                <w:rFonts w:cs="Arial"/>
                <w:color w:val="000000"/>
              </w:rPr>
            </w:pPr>
            <w:r w:rsidRPr="00AC4D7B">
              <w:rPr>
                <w:rFonts w:cs="Arial"/>
                <w:color w:val="000000"/>
              </w:rPr>
              <w:t xml:space="preserve">619 </w:t>
            </w:r>
          </w:p>
        </w:tc>
        <w:tc>
          <w:tcPr>
            <w:tcW w:w="1307" w:type="dxa"/>
            <w:tcBorders>
              <w:top w:val="nil"/>
              <w:left w:val="nil"/>
              <w:bottom w:val="nil"/>
              <w:right w:val="single" w:sz="4" w:space="0" w:color="auto"/>
            </w:tcBorders>
            <w:shd w:val="clear" w:color="auto" w:fill="auto"/>
            <w:noWrap/>
            <w:vAlign w:val="center"/>
            <w:hideMark/>
          </w:tcPr>
          <w:p w14:paraId="2D10D3DC" w14:textId="77777777" w:rsidR="007F5DB3" w:rsidRPr="00AC4D7B" w:rsidRDefault="007F5DB3" w:rsidP="007F5DB3">
            <w:pPr>
              <w:jc w:val="right"/>
              <w:rPr>
                <w:rFonts w:cs="Arial"/>
                <w:color w:val="000000"/>
              </w:rPr>
            </w:pPr>
            <w:r w:rsidRPr="00AC4D7B">
              <w:rPr>
                <w:rFonts w:cs="Arial"/>
                <w:color w:val="000000"/>
              </w:rPr>
              <w:t>(31)</w:t>
            </w:r>
          </w:p>
        </w:tc>
      </w:tr>
      <w:tr w:rsidR="007F5DB3" w:rsidRPr="00AC4D7B" w14:paraId="7A2BE986" w14:textId="77777777" w:rsidTr="007F5DB3">
        <w:trPr>
          <w:trHeight w:val="285"/>
        </w:trPr>
        <w:tc>
          <w:tcPr>
            <w:tcW w:w="4445" w:type="dxa"/>
            <w:tcBorders>
              <w:top w:val="nil"/>
              <w:left w:val="single" w:sz="4" w:space="0" w:color="auto"/>
              <w:bottom w:val="nil"/>
              <w:right w:val="nil"/>
            </w:tcBorders>
            <w:shd w:val="clear" w:color="auto" w:fill="auto"/>
            <w:noWrap/>
            <w:vAlign w:val="center"/>
            <w:hideMark/>
          </w:tcPr>
          <w:p w14:paraId="7E11B937" w14:textId="77777777" w:rsidR="007F5DB3" w:rsidRPr="00AC4D7B" w:rsidRDefault="007F5DB3" w:rsidP="007F5DB3">
            <w:pPr>
              <w:rPr>
                <w:rFonts w:cs="Arial"/>
                <w:color w:val="000000"/>
              </w:rPr>
            </w:pPr>
            <w:r w:rsidRPr="00AC4D7B">
              <w:rPr>
                <w:rFonts w:cs="Arial"/>
                <w:color w:val="000000"/>
              </w:rPr>
              <w:t>Interest payable / (receivable)</w:t>
            </w:r>
          </w:p>
        </w:tc>
        <w:tc>
          <w:tcPr>
            <w:tcW w:w="1302" w:type="dxa"/>
            <w:tcBorders>
              <w:top w:val="nil"/>
              <w:left w:val="single" w:sz="4" w:space="0" w:color="BFBFBF"/>
              <w:bottom w:val="nil"/>
              <w:right w:val="single" w:sz="4" w:space="0" w:color="BFBFBF"/>
            </w:tcBorders>
            <w:shd w:val="clear" w:color="auto" w:fill="auto"/>
            <w:noWrap/>
            <w:vAlign w:val="center"/>
            <w:hideMark/>
          </w:tcPr>
          <w:p w14:paraId="08FB5D4F" w14:textId="77777777" w:rsidR="007F5DB3" w:rsidRPr="00AC4D7B" w:rsidRDefault="007F5DB3" w:rsidP="007F5DB3">
            <w:pPr>
              <w:jc w:val="right"/>
              <w:rPr>
                <w:rFonts w:cs="Arial"/>
                <w:color w:val="000000"/>
              </w:rPr>
            </w:pPr>
            <w:r w:rsidRPr="00AC4D7B">
              <w:rPr>
                <w:rFonts w:cs="Arial"/>
                <w:color w:val="000000"/>
              </w:rPr>
              <w:t>(170)</w:t>
            </w:r>
          </w:p>
        </w:tc>
        <w:tc>
          <w:tcPr>
            <w:tcW w:w="1303" w:type="dxa"/>
            <w:tcBorders>
              <w:top w:val="nil"/>
              <w:left w:val="nil"/>
              <w:bottom w:val="nil"/>
              <w:right w:val="single" w:sz="4" w:space="0" w:color="BFBFBF"/>
            </w:tcBorders>
            <w:shd w:val="clear" w:color="auto" w:fill="auto"/>
            <w:noWrap/>
            <w:vAlign w:val="center"/>
            <w:hideMark/>
          </w:tcPr>
          <w:p w14:paraId="2E374996" w14:textId="77777777" w:rsidR="007F5DB3" w:rsidRPr="00AC4D7B" w:rsidRDefault="007F5DB3" w:rsidP="007F5DB3">
            <w:pPr>
              <w:jc w:val="right"/>
              <w:rPr>
                <w:rFonts w:cs="Arial"/>
                <w:color w:val="000000"/>
              </w:rPr>
            </w:pPr>
            <w:r w:rsidRPr="00AC4D7B">
              <w:rPr>
                <w:rFonts w:cs="Arial"/>
                <w:color w:val="000000"/>
              </w:rPr>
              <w:t>(170)</w:t>
            </w:r>
          </w:p>
        </w:tc>
        <w:tc>
          <w:tcPr>
            <w:tcW w:w="1303" w:type="dxa"/>
            <w:tcBorders>
              <w:top w:val="nil"/>
              <w:left w:val="nil"/>
              <w:bottom w:val="nil"/>
              <w:right w:val="single" w:sz="4" w:space="0" w:color="BFBFBF"/>
            </w:tcBorders>
            <w:shd w:val="clear" w:color="auto" w:fill="auto"/>
            <w:noWrap/>
            <w:vAlign w:val="center"/>
            <w:hideMark/>
          </w:tcPr>
          <w:p w14:paraId="1A0EC793" w14:textId="77777777" w:rsidR="007F5DB3" w:rsidRPr="00AC4D7B" w:rsidRDefault="007F5DB3" w:rsidP="007F5DB3">
            <w:pPr>
              <w:jc w:val="right"/>
              <w:rPr>
                <w:rFonts w:cs="Arial"/>
                <w:color w:val="000000"/>
              </w:rPr>
            </w:pPr>
            <w:r w:rsidRPr="00AC4D7B">
              <w:rPr>
                <w:rFonts w:cs="Arial"/>
                <w:color w:val="000000"/>
              </w:rPr>
              <w:t>(66)</w:t>
            </w:r>
          </w:p>
        </w:tc>
        <w:tc>
          <w:tcPr>
            <w:tcW w:w="1307" w:type="dxa"/>
            <w:tcBorders>
              <w:top w:val="nil"/>
              <w:left w:val="nil"/>
              <w:bottom w:val="nil"/>
              <w:right w:val="single" w:sz="4" w:space="0" w:color="auto"/>
            </w:tcBorders>
            <w:shd w:val="clear" w:color="auto" w:fill="auto"/>
            <w:noWrap/>
            <w:vAlign w:val="center"/>
            <w:hideMark/>
          </w:tcPr>
          <w:p w14:paraId="440B2233" w14:textId="77777777" w:rsidR="007F5DB3" w:rsidRPr="00AC4D7B" w:rsidRDefault="007F5DB3" w:rsidP="007F5DB3">
            <w:pPr>
              <w:jc w:val="right"/>
              <w:rPr>
                <w:rFonts w:cs="Arial"/>
                <w:color w:val="000000"/>
              </w:rPr>
            </w:pPr>
            <w:r w:rsidRPr="00AC4D7B">
              <w:rPr>
                <w:rFonts w:cs="Arial"/>
                <w:color w:val="000000"/>
              </w:rPr>
              <w:t xml:space="preserve">104 </w:t>
            </w:r>
          </w:p>
        </w:tc>
      </w:tr>
      <w:tr w:rsidR="007F5DB3" w:rsidRPr="00AC4D7B" w14:paraId="5B96CF4F" w14:textId="77777777" w:rsidTr="007F5DB3">
        <w:trPr>
          <w:trHeight w:val="285"/>
        </w:trPr>
        <w:tc>
          <w:tcPr>
            <w:tcW w:w="4445" w:type="dxa"/>
            <w:tcBorders>
              <w:top w:val="nil"/>
              <w:left w:val="single" w:sz="4" w:space="0" w:color="auto"/>
              <w:bottom w:val="nil"/>
              <w:right w:val="nil"/>
            </w:tcBorders>
            <w:shd w:val="clear" w:color="auto" w:fill="auto"/>
            <w:noWrap/>
            <w:vAlign w:val="center"/>
            <w:hideMark/>
          </w:tcPr>
          <w:p w14:paraId="01AAA235" w14:textId="77777777" w:rsidR="007F5DB3" w:rsidRPr="00AC4D7B" w:rsidRDefault="007F5DB3" w:rsidP="007F5DB3">
            <w:pPr>
              <w:rPr>
                <w:rFonts w:cs="Arial"/>
                <w:color w:val="000000"/>
              </w:rPr>
            </w:pPr>
            <w:r w:rsidRPr="00AC4D7B">
              <w:rPr>
                <w:rFonts w:cs="Arial"/>
                <w:color w:val="000000"/>
              </w:rPr>
              <w:t>Parish Precepts</w:t>
            </w:r>
          </w:p>
        </w:tc>
        <w:tc>
          <w:tcPr>
            <w:tcW w:w="1302" w:type="dxa"/>
            <w:tcBorders>
              <w:top w:val="nil"/>
              <w:left w:val="single" w:sz="4" w:space="0" w:color="BFBFBF"/>
              <w:bottom w:val="nil"/>
              <w:right w:val="single" w:sz="4" w:space="0" w:color="BFBFBF"/>
            </w:tcBorders>
            <w:shd w:val="clear" w:color="auto" w:fill="auto"/>
            <w:noWrap/>
            <w:vAlign w:val="center"/>
            <w:hideMark/>
          </w:tcPr>
          <w:p w14:paraId="0A1D8DB8" w14:textId="77777777" w:rsidR="007F5DB3" w:rsidRPr="00AC4D7B" w:rsidRDefault="007F5DB3" w:rsidP="007F5DB3">
            <w:pPr>
              <w:jc w:val="right"/>
              <w:rPr>
                <w:rFonts w:cs="Arial"/>
                <w:color w:val="000000"/>
              </w:rPr>
            </w:pPr>
            <w:r w:rsidRPr="00AC4D7B">
              <w:rPr>
                <w:rFonts w:cs="Arial"/>
                <w:color w:val="000000"/>
              </w:rPr>
              <w:t xml:space="preserve">432 </w:t>
            </w:r>
          </w:p>
        </w:tc>
        <w:tc>
          <w:tcPr>
            <w:tcW w:w="1303" w:type="dxa"/>
            <w:tcBorders>
              <w:top w:val="nil"/>
              <w:left w:val="nil"/>
              <w:bottom w:val="nil"/>
              <w:right w:val="single" w:sz="4" w:space="0" w:color="BFBFBF"/>
            </w:tcBorders>
            <w:shd w:val="clear" w:color="auto" w:fill="auto"/>
            <w:noWrap/>
            <w:vAlign w:val="center"/>
            <w:hideMark/>
          </w:tcPr>
          <w:p w14:paraId="2AD283BF" w14:textId="77777777" w:rsidR="007F5DB3" w:rsidRPr="00AC4D7B" w:rsidRDefault="007F5DB3" w:rsidP="007F5DB3">
            <w:pPr>
              <w:jc w:val="right"/>
              <w:rPr>
                <w:rFonts w:cs="Arial"/>
                <w:color w:val="000000"/>
              </w:rPr>
            </w:pPr>
            <w:r w:rsidRPr="00AC4D7B">
              <w:rPr>
                <w:rFonts w:cs="Arial"/>
                <w:color w:val="000000"/>
              </w:rPr>
              <w:t xml:space="preserve">432 </w:t>
            </w:r>
          </w:p>
        </w:tc>
        <w:tc>
          <w:tcPr>
            <w:tcW w:w="1303" w:type="dxa"/>
            <w:tcBorders>
              <w:top w:val="nil"/>
              <w:left w:val="nil"/>
              <w:bottom w:val="nil"/>
              <w:right w:val="single" w:sz="4" w:space="0" w:color="BFBFBF"/>
            </w:tcBorders>
            <w:shd w:val="clear" w:color="auto" w:fill="auto"/>
            <w:noWrap/>
            <w:vAlign w:val="center"/>
            <w:hideMark/>
          </w:tcPr>
          <w:p w14:paraId="6914EDD2" w14:textId="77777777" w:rsidR="007F5DB3" w:rsidRPr="00AC4D7B" w:rsidRDefault="007F5DB3" w:rsidP="007F5DB3">
            <w:pPr>
              <w:jc w:val="right"/>
              <w:rPr>
                <w:rFonts w:cs="Arial"/>
                <w:color w:val="000000"/>
              </w:rPr>
            </w:pPr>
            <w:r w:rsidRPr="00AC4D7B">
              <w:rPr>
                <w:rFonts w:cs="Arial"/>
                <w:color w:val="000000"/>
              </w:rPr>
              <w:t xml:space="preserve">440 </w:t>
            </w:r>
          </w:p>
        </w:tc>
        <w:tc>
          <w:tcPr>
            <w:tcW w:w="1307" w:type="dxa"/>
            <w:tcBorders>
              <w:top w:val="nil"/>
              <w:left w:val="nil"/>
              <w:bottom w:val="nil"/>
              <w:right w:val="single" w:sz="4" w:space="0" w:color="auto"/>
            </w:tcBorders>
            <w:shd w:val="clear" w:color="auto" w:fill="auto"/>
            <w:noWrap/>
            <w:vAlign w:val="center"/>
            <w:hideMark/>
          </w:tcPr>
          <w:p w14:paraId="62F49220" w14:textId="77777777" w:rsidR="007F5DB3" w:rsidRPr="00AC4D7B" w:rsidRDefault="007F5DB3" w:rsidP="007F5DB3">
            <w:pPr>
              <w:jc w:val="right"/>
              <w:rPr>
                <w:rFonts w:cs="Arial"/>
                <w:color w:val="000000"/>
              </w:rPr>
            </w:pPr>
            <w:r w:rsidRPr="00AC4D7B">
              <w:rPr>
                <w:rFonts w:cs="Arial"/>
                <w:color w:val="000000"/>
              </w:rPr>
              <w:t xml:space="preserve">8 </w:t>
            </w:r>
          </w:p>
        </w:tc>
      </w:tr>
      <w:tr w:rsidR="007F5DB3" w:rsidRPr="00AC4D7B" w14:paraId="5E60DC82" w14:textId="77777777" w:rsidTr="007F5DB3">
        <w:trPr>
          <w:trHeight w:val="300"/>
        </w:trPr>
        <w:tc>
          <w:tcPr>
            <w:tcW w:w="4445" w:type="dxa"/>
            <w:tcBorders>
              <w:top w:val="nil"/>
              <w:left w:val="single" w:sz="4" w:space="0" w:color="auto"/>
              <w:bottom w:val="nil"/>
              <w:right w:val="nil"/>
            </w:tcBorders>
            <w:shd w:val="clear" w:color="auto" w:fill="auto"/>
            <w:noWrap/>
            <w:vAlign w:val="center"/>
            <w:hideMark/>
          </w:tcPr>
          <w:p w14:paraId="439BE2F0" w14:textId="77777777" w:rsidR="007F5DB3" w:rsidRPr="00AC4D7B" w:rsidRDefault="007F5DB3" w:rsidP="007F5DB3">
            <w:pPr>
              <w:rPr>
                <w:rFonts w:cs="Arial"/>
                <w:b/>
                <w:bCs/>
                <w:color w:val="000000"/>
              </w:rPr>
            </w:pPr>
            <w:r w:rsidRPr="00AC4D7B">
              <w:rPr>
                <w:rFonts w:cs="Arial"/>
                <w:b/>
                <w:bCs/>
                <w:color w:val="000000"/>
              </w:rPr>
              <w:t>Funding Requirement</w:t>
            </w:r>
          </w:p>
        </w:tc>
        <w:tc>
          <w:tcPr>
            <w:tcW w:w="1302" w:type="dxa"/>
            <w:tcBorders>
              <w:top w:val="single" w:sz="4" w:space="0" w:color="auto"/>
              <w:left w:val="single" w:sz="4" w:space="0" w:color="BFBFBF"/>
              <w:bottom w:val="single" w:sz="4" w:space="0" w:color="auto"/>
              <w:right w:val="single" w:sz="4" w:space="0" w:color="BFBFBF"/>
            </w:tcBorders>
            <w:shd w:val="clear" w:color="auto" w:fill="auto"/>
            <w:noWrap/>
            <w:vAlign w:val="center"/>
            <w:hideMark/>
          </w:tcPr>
          <w:p w14:paraId="4E5DF7D7" w14:textId="77777777" w:rsidR="007F5DB3" w:rsidRPr="00AC4D7B" w:rsidRDefault="007F5DB3" w:rsidP="007F5DB3">
            <w:pPr>
              <w:jc w:val="right"/>
              <w:rPr>
                <w:rFonts w:cs="Arial"/>
                <w:b/>
                <w:bCs/>
                <w:color w:val="000000"/>
              </w:rPr>
            </w:pPr>
            <w:r w:rsidRPr="00AC4D7B">
              <w:rPr>
                <w:rFonts w:cs="Arial"/>
                <w:b/>
                <w:bCs/>
                <w:color w:val="000000"/>
              </w:rPr>
              <w:t xml:space="preserve">14,677 </w:t>
            </w:r>
          </w:p>
        </w:tc>
        <w:tc>
          <w:tcPr>
            <w:tcW w:w="1303" w:type="dxa"/>
            <w:tcBorders>
              <w:top w:val="single" w:sz="4" w:space="0" w:color="auto"/>
              <w:left w:val="nil"/>
              <w:bottom w:val="single" w:sz="4" w:space="0" w:color="auto"/>
              <w:right w:val="single" w:sz="4" w:space="0" w:color="BFBFBF"/>
            </w:tcBorders>
            <w:shd w:val="clear" w:color="auto" w:fill="auto"/>
            <w:noWrap/>
            <w:vAlign w:val="center"/>
            <w:hideMark/>
          </w:tcPr>
          <w:p w14:paraId="05F9C71B" w14:textId="77777777" w:rsidR="007F5DB3" w:rsidRPr="00AC4D7B" w:rsidRDefault="007F5DB3" w:rsidP="007F5DB3">
            <w:pPr>
              <w:jc w:val="right"/>
              <w:rPr>
                <w:rFonts w:cs="Arial"/>
                <w:b/>
                <w:bCs/>
                <w:color w:val="000000"/>
              </w:rPr>
            </w:pPr>
            <w:r w:rsidRPr="00AC4D7B">
              <w:rPr>
                <w:rFonts w:cs="Arial"/>
                <w:b/>
                <w:bCs/>
                <w:color w:val="000000"/>
              </w:rPr>
              <w:t xml:space="preserve">14,843 </w:t>
            </w:r>
          </w:p>
        </w:tc>
        <w:tc>
          <w:tcPr>
            <w:tcW w:w="1303" w:type="dxa"/>
            <w:tcBorders>
              <w:top w:val="single" w:sz="4" w:space="0" w:color="auto"/>
              <w:left w:val="nil"/>
              <w:bottom w:val="single" w:sz="4" w:space="0" w:color="auto"/>
              <w:right w:val="single" w:sz="4" w:space="0" w:color="BFBFBF"/>
            </w:tcBorders>
            <w:shd w:val="clear" w:color="auto" w:fill="auto"/>
            <w:noWrap/>
            <w:vAlign w:val="center"/>
            <w:hideMark/>
          </w:tcPr>
          <w:p w14:paraId="5A57FBAC" w14:textId="77777777" w:rsidR="007F5DB3" w:rsidRPr="00AC4D7B" w:rsidRDefault="007F5DB3" w:rsidP="007F5DB3">
            <w:pPr>
              <w:jc w:val="right"/>
              <w:rPr>
                <w:rFonts w:cs="Arial"/>
                <w:b/>
                <w:bCs/>
                <w:color w:val="000000"/>
              </w:rPr>
            </w:pPr>
            <w:r w:rsidRPr="00AC4D7B">
              <w:rPr>
                <w:rFonts w:cs="Arial"/>
                <w:b/>
                <w:bCs/>
                <w:color w:val="000000"/>
              </w:rPr>
              <w:t xml:space="preserve">14,583 </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14:paraId="7C5EDD68" w14:textId="77777777" w:rsidR="007F5DB3" w:rsidRPr="00AC4D7B" w:rsidRDefault="007F5DB3" w:rsidP="007F5DB3">
            <w:pPr>
              <w:jc w:val="right"/>
              <w:rPr>
                <w:rFonts w:cs="Arial"/>
                <w:b/>
                <w:bCs/>
                <w:color w:val="000000"/>
              </w:rPr>
            </w:pPr>
            <w:r w:rsidRPr="00AC4D7B">
              <w:rPr>
                <w:rFonts w:cs="Arial"/>
                <w:b/>
                <w:bCs/>
                <w:color w:val="000000"/>
              </w:rPr>
              <w:t>(260)</w:t>
            </w:r>
          </w:p>
        </w:tc>
      </w:tr>
      <w:tr w:rsidR="007F5DB3" w:rsidRPr="00AC4D7B" w14:paraId="74814F91" w14:textId="77777777" w:rsidTr="007F5DB3">
        <w:trPr>
          <w:trHeight w:val="300"/>
        </w:trPr>
        <w:tc>
          <w:tcPr>
            <w:tcW w:w="4445" w:type="dxa"/>
            <w:tcBorders>
              <w:top w:val="nil"/>
              <w:left w:val="single" w:sz="4" w:space="0" w:color="auto"/>
              <w:bottom w:val="nil"/>
              <w:right w:val="nil"/>
            </w:tcBorders>
            <w:shd w:val="clear" w:color="auto" w:fill="auto"/>
            <w:noWrap/>
            <w:vAlign w:val="center"/>
            <w:hideMark/>
          </w:tcPr>
          <w:p w14:paraId="44F85FA3" w14:textId="77777777" w:rsidR="007F5DB3" w:rsidRPr="00AC4D7B" w:rsidRDefault="007F5DB3" w:rsidP="007F5DB3">
            <w:pPr>
              <w:rPr>
                <w:rFonts w:cs="Arial"/>
                <w:b/>
                <w:bCs/>
                <w:color w:val="000000"/>
              </w:rPr>
            </w:pPr>
            <w:r w:rsidRPr="00AC4D7B">
              <w:rPr>
                <w:rFonts w:cs="Arial"/>
                <w:b/>
                <w:bCs/>
                <w:color w:val="000000"/>
              </w:rPr>
              <w:t> </w:t>
            </w:r>
          </w:p>
        </w:tc>
        <w:tc>
          <w:tcPr>
            <w:tcW w:w="1302" w:type="dxa"/>
            <w:tcBorders>
              <w:top w:val="nil"/>
              <w:left w:val="single" w:sz="4" w:space="0" w:color="BFBFBF"/>
              <w:bottom w:val="nil"/>
              <w:right w:val="single" w:sz="4" w:space="0" w:color="BFBFBF"/>
            </w:tcBorders>
            <w:shd w:val="clear" w:color="auto" w:fill="auto"/>
            <w:noWrap/>
            <w:vAlign w:val="center"/>
            <w:hideMark/>
          </w:tcPr>
          <w:p w14:paraId="0779C616" w14:textId="77777777" w:rsidR="007F5DB3" w:rsidRPr="00AC4D7B" w:rsidRDefault="007F5DB3" w:rsidP="007F5DB3">
            <w:pPr>
              <w:jc w:val="right"/>
              <w:rPr>
                <w:rFonts w:cs="Arial"/>
                <w:b/>
                <w:bCs/>
                <w:color w:val="000000"/>
              </w:rPr>
            </w:pPr>
            <w:r w:rsidRPr="00AC4D7B">
              <w:rPr>
                <w:rFonts w:cs="Arial"/>
                <w:b/>
                <w:bCs/>
                <w:color w:val="000000"/>
              </w:rPr>
              <w:t> </w:t>
            </w:r>
          </w:p>
        </w:tc>
        <w:tc>
          <w:tcPr>
            <w:tcW w:w="1303" w:type="dxa"/>
            <w:tcBorders>
              <w:top w:val="nil"/>
              <w:left w:val="nil"/>
              <w:bottom w:val="nil"/>
              <w:right w:val="single" w:sz="4" w:space="0" w:color="BFBFBF"/>
            </w:tcBorders>
            <w:shd w:val="clear" w:color="auto" w:fill="auto"/>
            <w:noWrap/>
            <w:vAlign w:val="center"/>
            <w:hideMark/>
          </w:tcPr>
          <w:p w14:paraId="65B0F39C" w14:textId="77777777" w:rsidR="007F5DB3" w:rsidRPr="00AC4D7B" w:rsidRDefault="007F5DB3" w:rsidP="007F5DB3">
            <w:pPr>
              <w:jc w:val="right"/>
              <w:rPr>
                <w:rFonts w:cs="Arial"/>
                <w:b/>
                <w:bCs/>
                <w:color w:val="000000"/>
              </w:rPr>
            </w:pPr>
            <w:r w:rsidRPr="00AC4D7B">
              <w:rPr>
                <w:rFonts w:cs="Arial"/>
                <w:b/>
                <w:bCs/>
                <w:color w:val="000000"/>
              </w:rPr>
              <w:t> </w:t>
            </w:r>
          </w:p>
        </w:tc>
        <w:tc>
          <w:tcPr>
            <w:tcW w:w="1303" w:type="dxa"/>
            <w:tcBorders>
              <w:top w:val="nil"/>
              <w:left w:val="nil"/>
              <w:bottom w:val="nil"/>
              <w:right w:val="single" w:sz="4" w:space="0" w:color="BFBFBF"/>
            </w:tcBorders>
            <w:shd w:val="clear" w:color="auto" w:fill="auto"/>
            <w:noWrap/>
            <w:vAlign w:val="center"/>
            <w:hideMark/>
          </w:tcPr>
          <w:p w14:paraId="507E9BA9" w14:textId="77777777" w:rsidR="007F5DB3" w:rsidRPr="00AC4D7B" w:rsidRDefault="007F5DB3" w:rsidP="007F5DB3">
            <w:pPr>
              <w:jc w:val="right"/>
              <w:rPr>
                <w:rFonts w:cs="Arial"/>
                <w:b/>
                <w:bCs/>
                <w:color w:val="000000"/>
              </w:rPr>
            </w:pPr>
            <w:r w:rsidRPr="00AC4D7B">
              <w:rPr>
                <w:rFonts w:cs="Arial"/>
                <w:b/>
                <w:bCs/>
                <w:color w:val="000000"/>
              </w:rPr>
              <w:t> </w:t>
            </w:r>
          </w:p>
        </w:tc>
        <w:tc>
          <w:tcPr>
            <w:tcW w:w="1307" w:type="dxa"/>
            <w:tcBorders>
              <w:top w:val="nil"/>
              <w:left w:val="nil"/>
              <w:bottom w:val="nil"/>
              <w:right w:val="single" w:sz="4" w:space="0" w:color="auto"/>
            </w:tcBorders>
            <w:shd w:val="clear" w:color="auto" w:fill="auto"/>
            <w:noWrap/>
            <w:vAlign w:val="center"/>
            <w:hideMark/>
          </w:tcPr>
          <w:p w14:paraId="24268321" w14:textId="77777777" w:rsidR="007F5DB3" w:rsidRPr="00AC4D7B" w:rsidRDefault="007F5DB3" w:rsidP="007F5DB3">
            <w:pPr>
              <w:jc w:val="right"/>
              <w:rPr>
                <w:rFonts w:cs="Arial"/>
                <w:b/>
                <w:bCs/>
                <w:color w:val="000000"/>
              </w:rPr>
            </w:pPr>
            <w:r w:rsidRPr="00AC4D7B">
              <w:rPr>
                <w:rFonts w:cs="Arial"/>
                <w:b/>
                <w:bCs/>
                <w:color w:val="000000"/>
              </w:rPr>
              <w:t> </w:t>
            </w:r>
          </w:p>
        </w:tc>
      </w:tr>
      <w:tr w:rsidR="007F5DB3" w:rsidRPr="00AC4D7B" w14:paraId="6D69AAD5" w14:textId="77777777" w:rsidTr="007F5DB3">
        <w:trPr>
          <w:trHeight w:val="285"/>
        </w:trPr>
        <w:tc>
          <w:tcPr>
            <w:tcW w:w="4445" w:type="dxa"/>
            <w:tcBorders>
              <w:top w:val="nil"/>
              <w:left w:val="single" w:sz="4" w:space="0" w:color="auto"/>
              <w:bottom w:val="nil"/>
              <w:right w:val="nil"/>
            </w:tcBorders>
            <w:shd w:val="clear" w:color="auto" w:fill="auto"/>
            <w:noWrap/>
            <w:vAlign w:val="center"/>
            <w:hideMark/>
          </w:tcPr>
          <w:p w14:paraId="1FD671ED" w14:textId="77777777" w:rsidR="007F5DB3" w:rsidRPr="00AC4D7B" w:rsidRDefault="007F5DB3" w:rsidP="007F5DB3">
            <w:pPr>
              <w:rPr>
                <w:rFonts w:cs="Arial"/>
                <w:color w:val="000000"/>
                <w:u w:val="single"/>
              </w:rPr>
            </w:pPr>
            <w:r w:rsidRPr="00AC4D7B">
              <w:rPr>
                <w:rFonts w:cs="Arial"/>
                <w:color w:val="000000"/>
                <w:u w:val="single"/>
              </w:rPr>
              <w:t>Funding:</w:t>
            </w:r>
          </w:p>
        </w:tc>
        <w:tc>
          <w:tcPr>
            <w:tcW w:w="1302" w:type="dxa"/>
            <w:tcBorders>
              <w:top w:val="nil"/>
              <w:left w:val="single" w:sz="4" w:space="0" w:color="BFBFBF"/>
              <w:bottom w:val="nil"/>
              <w:right w:val="single" w:sz="4" w:space="0" w:color="BFBFBF"/>
            </w:tcBorders>
            <w:shd w:val="clear" w:color="auto" w:fill="auto"/>
            <w:noWrap/>
            <w:vAlign w:val="center"/>
            <w:hideMark/>
          </w:tcPr>
          <w:p w14:paraId="00DD5B81" w14:textId="77777777" w:rsidR="007F5DB3" w:rsidRPr="00AC4D7B" w:rsidRDefault="007F5DB3" w:rsidP="007F5DB3">
            <w:pPr>
              <w:jc w:val="right"/>
              <w:rPr>
                <w:rFonts w:cs="Arial"/>
                <w:color w:val="000000"/>
              </w:rPr>
            </w:pPr>
            <w:r w:rsidRPr="00AC4D7B">
              <w:rPr>
                <w:rFonts w:cs="Arial"/>
                <w:color w:val="000000"/>
              </w:rPr>
              <w:t> </w:t>
            </w:r>
          </w:p>
        </w:tc>
        <w:tc>
          <w:tcPr>
            <w:tcW w:w="1303" w:type="dxa"/>
            <w:tcBorders>
              <w:top w:val="nil"/>
              <w:left w:val="nil"/>
              <w:bottom w:val="nil"/>
              <w:right w:val="single" w:sz="4" w:space="0" w:color="BFBFBF"/>
            </w:tcBorders>
            <w:shd w:val="clear" w:color="auto" w:fill="auto"/>
            <w:noWrap/>
            <w:vAlign w:val="center"/>
            <w:hideMark/>
          </w:tcPr>
          <w:p w14:paraId="470C2580" w14:textId="77777777" w:rsidR="007F5DB3" w:rsidRPr="00AC4D7B" w:rsidRDefault="007F5DB3" w:rsidP="007F5DB3">
            <w:pPr>
              <w:jc w:val="right"/>
              <w:rPr>
                <w:rFonts w:cs="Arial"/>
                <w:color w:val="000000"/>
              </w:rPr>
            </w:pPr>
            <w:r w:rsidRPr="00AC4D7B">
              <w:rPr>
                <w:rFonts w:cs="Arial"/>
                <w:color w:val="000000"/>
              </w:rPr>
              <w:t> </w:t>
            </w:r>
          </w:p>
        </w:tc>
        <w:tc>
          <w:tcPr>
            <w:tcW w:w="1303" w:type="dxa"/>
            <w:tcBorders>
              <w:top w:val="nil"/>
              <w:left w:val="nil"/>
              <w:bottom w:val="nil"/>
              <w:right w:val="single" w:sz="4" w:space="0" w:color="BFBFBF"/>
            </w:tcBorders>
            <w:shd w:val="clear" w:color="auto" w:fill="auto"/>
            <w:noWrap/>
            <w:vAlign w:val="center"/>
            <w:hideMark/>
          </w:tcPr>
          <w:p w14:paraId="38077DD6" w14:textId="77777777" w:rsidR="007F5DB3" w:rsidRPr="00AC4D7B" w:rsidRDefault="007F5DB3" w:rsidP="007F5DB3">
            <w:pPr>
              <w:jc w:val="right"/>
              <w:rPr>
                <w:rFonts w:cs="Arial"/>
                <w:color w:val="000000"/>
              </w:rPr>
            </w:pPr>
            <w:r w:rsidRPr="00AC4D7B">
              <w:rPr>
                <w:rFonts w:cs="Arial"/>
                <w:color w:val="000000"/>
              </w:rPr>
              <w:t> </w:t>
            </w:r>
          </w:p>
        </w:tc>
        <w:tc>
          <w:tcPr>
            <w:tcW w:w="1307" w:type="dxa"/>
            <w:tcBorders>
              <w:top w:val="nil"/>
              <w:left w:val="nil"/>
              <w:bottom w:val="nil"/>
              <w:right w:val="single" w:sz="4" w:space="0" w:color="auto"/>
            </w:tcBorders>
            <w:shd w:val="clear" w:color="auto" w:fill="auto"/>
            <w:noWrap/>
            <w:vAlign w:val="center"/>
            <w:hideMark/>
          </w:tcPr>
          <w:p w14:paraId="127353FC" w14:textId="77777777" w:rsidR="007F5DB3" w:rsidRPr="00AC4D7B" w:rsidRDefault="007F5DB3" w:rsidP="007F5DB3">
            <w:pPr>
              <w:jc w:val="right"/>
              <w:rPr>
                <w:rFonts w:cs="Arial"/>
                <w:color w:val="000000"/>
              </w:rPr>
            </w:pPr>
            <w:r w:rsidRPr="00AC4D7B">
              <w:rPr>
                <w:rFonts w:cs="Arial"/>
                <w:color w:val="000000"/>
              </w:rPr>
              <w:t> </w:t>
            </w:r>
          </w:p>
        </w:tc>
      </w:tr>
      <w:tr w:rsidR="007F5DB3" w:rsidRPr="00AC4D7B" w14:paraId="4A23889D" w14:textId="77777777" w:rsidTr="007F5DB3">
        <w:trPr>
          <w:trHeight w:val="285"/>
        </w:trPr>
        <w:tc>
          <w:tcPr>
            <w:tcW w:w="4445" w:type="dxa"/>
            <w:tcBorders>
              <w:top w:val="nil"/>
              <w:left w:val="single" w:sz="4" w:space="0" w:color="auto"/>
              <w:bottom w:val="nil"/>
              <w:right w:val="nil"/>
            </w:tcBorders>
            <w:shd w:val="clear" w:color="auto" w:fill="auto"/>
            <w:noWrap/>
            <w:vAlign w:val="center"/>
            <w:hideMark/>
          </w:tcPr>
          <w:p w14:paraId="09CBA7BE" w14:textId="77777777" w:rsidR="007F5DB3" w:rsidRPr="00AC4D7B" w:rsidRDefault="007F5DB3" w:rsidP="007F5DB3">
            <w:pPr>
              <w:rPr>
                <w:rFonts w:cs="Arial"/>
                <w:color w:val="000000"/>
              </w:rPr>
            </w:pPr>
            <w:r w:rsidRPr="00AC4D7B">
              <w:rPr>
                <w:rFonts w:cs="Arial"/>
                <w:color w:val="000000"/>
              </w:rPr>
              <w:t>Council Tax</w:t>
            </w:r>
          </w:p>
        </w:tc>
        <w:tc>
          <w:tcPr>
            <w:tcW w:w="1302" w:type="dxa"/>
            <w:tcBorders>
              <w:top w:val="nil"/>
              <w:left w:val="single" w:sz="4" w:space="0" w:color="BFBFBF"/>
              <w:bottom w:val="nil"/>
              <w:right w:val="single" w:sz="4" w:space="0" w:color="BFBFBF"/>
            </w:tcBorders>
            <w:shd w:val="clear" w:color="auto" w:fill="auto"/>
            <w:noWrap/>
            <w:vAlign w:val="center"/>
            <w:hideMark/>
          </w:tcPr>
          <w:p w14:paraId="64EEC8F6" w14:textId="77777777" w:rsidR="007F5DB3" w:rsidRPr="00AC4D7B" w:rsidRDefault="007F5DB3" w:rsidP="007F5DB3">
            <w:pPr>
              <w:jc w:val="right"/>
              <w:rPr>
                <w:rFonts w:cs="Arial"/>
                <w:color w:val="000000"/>
              </w:rPr>
            </w:pPr>
            <w:r w:rsidRPr="00AC4D7B">
              <w:rPr>
                <w:rFonts w:cs="Arial"/>
                <w:color w:val="000000"/>
              </w:rPr>
              <w:t>(8,596)</w:t>
            </w:r>
          </w:p>
        </w:tc>
        <w:tc>
          <w:tcPr>
            <w:tcW w:w="1303" w:type="dxa"/>
            <w:tcBorders>
              <w:top w:val="nil"/>
              <w:left w:val="nil"/>
              <w:bottom w:val="nil"/>
              <w:right w:val="single" w:sz="4" w:space="0" w:color="BFBFBF"/>
            </w:tcBorders>
            <w:shd w:val="clear" w:color="auto" w:fill="auto"/>
            <w:noWrap/>
            <w:vAlign w:val="center"/>
            <w:hideMark/>
          </w:tcPr>
          <w:p w14:paraId="37A07443" w14:textId="77777777" w:rsidR="007F5DB3" w:rsidRPr="00AC4D7B" w:rsidRDefault="007F5DB3" w:rsidP="007F5DB3">
            <w:pPr>
              <w:jc w:val="right"/>
              <w:rPr>
                <w:rFonts w:cs="Arial"/>
                <w:color w:val="000000"/>
              </w:rPr>
            </w:pPr>
            <w:r w:rsidRPr="00AC4D7B">
              <w:rPr>
                <w:rFonts w:cs="Arial"/>
                <w:color w:val="000000"/>
              </w:rPr>
              <w:t>(8,596)</w:t>
            </w:r>
          </w:p>
        </w:tc>
        <w:tc>
          <w:tcPr>
            <w:tcW w:w="1303" w:type="dxa"/>
            <w:tcBorders>
              <w:top w:val="nil"/>
              <w:left w:val="nil"/>
              <w:bottom w:val="nil"/>
              <w:right w:val="single" w:sz="4" w:space="0" w:color="BFBFBF"/>
            </w:tcBorders>
            <w:shd w:val="clear" w:color="auto" w:fill="auto"/>
            <w:noWrap/>
            <w:vAlign w:val="center"/>
            <w:hideMark/>
          </w:tcPr>
          <w:p w14:paraId="21990196" w14:textId="77777777" w:rsidR="007F5DB3" w:rsidRPr="00AC4D7B" w:rsidRDefault="007F5DB3" w:rsidP="007F5DB3">
            <w:pPr>
              <w:jc w:val="right"/>
              <w:rPr>
                <w:rFonts w:cs="Arial"/>
                <w:color w:val="000000"/>
              </w:rPr>
            </w:pPr>
            <w:r w:rsidRPr="00AC4D7B">
              <w:rPr>
                <w:rFonts w:cs="Arial"/>
                <w:color w:val="000000"/>
              </w:rPr>
              <w:t>(8,598)</w:t>
            </w:r>
          </w:p>
        </w:tc>
        <w:tc>
          <w:tcPr>
            <w:tcW w:w="1307" w:type="dxa"/>
            <w:tcBorders>
              <w:top w:val="nil"/>
              <w:left w:val="nil"/>
              <w:bottom w:val="nil"/>
              <w:right w:val="single" w:sz="4" w:space="0" w:color="auto"/>
            </w:tcBorders>
            <w:shd w:val="clear" w:color="auto" w:fill="auto"/>
            <w:noWrap/>
            <w:vAlign w:val="center"/>
            <w:hideMark/>
          </w:tcPr>
          <w:p w14:paraId="05DEA9C4" w14:textId="77777777" w:rsidR="007F5DB3" w:rsidRPr="00AC4D7B" w:rsidRDefault="007F5DB3" w:rsidP="007F5DB3">
            <w:pPr>
              <w:jc w:val="right"/>
              <w:rPr>
                <w:rFonts w:cs="Arial"/>
                <w:color w:val="000000"/>
              </w:rPr>
            </w:pPr>
            <w:r w:rsidRPr="00AC4D7B">
              <w:rPr>
                <w:rFonts w:cs="Arial"/>
                <w:color w:val="000000"/>
              </w:rPr>
              <w:t>(2)</w:t>
            </w:r>
          </w:p>
        </w:tc>
      </w:tr>
      <w:tr w:rsidR="007F5DB3" w:rsidRPr="00AC4D7B" w14:paraId="383EBB25" w14:textId="77777777" w:rsidTr="007F5DB3">
        <w:trPr>
          <w:trHeight w:val="285"/>
        </w:trPr>
        <w:tc>
          <w:tcPr>
            <w:tcW w:w="4445" w:type="dxa"/>
            <w:tcBorders>
              <w:top w:val="nil"/>
              <w:left w:val="single" w:sz="4" w:space="0" w:color="auto"/>
              <w:bottom w:val="nil"/>
              <w:right w:val="nil"/>
            </w:tcBorders>
            <w:shd w:val="clear" w:color="auto" w:fill="auto"/>
            <w:noWrap/>
            <w:vAlign w:val="center"/>
            <w:hideMark/>
          </w:tcPr>
          <w:p w14:paraId="503CC2A8" w14:textId="77777777" w:rsidR="007F5DB3" w:rsidRPr="00AC4D7B" w:rsidRDefault="007F5DB3" w:rsidP="007F5DB3">
            <w:pPr>
              <w:rPr>
                <w:rFonts w:cs="Arial"/>
                <w:color w:val="000000"/>
              </w:rPr>
            </w:pPr>
            <w:r w:rsidRPr="00AC4D7B">
              <w:rPr>
                <w:rFonts w:cs="Arial"/>
                <w:color w:val="000000"/>
              </w:rPr>
              <w:t>New Homes Bonus – City Deal</w:t>
            </w:r>
          </w:p>
        </w:tc>
        <w:tc>
          <w:tcPr>
            <w:tcW w:w="1302" w:type="dxa"/>
            <w:tcBorders>
              <w:top w:val="nil"/>
              <w:left w:val="single" w:sz="4" w:space="0" w:color="BFBFBF"/>
              <w:bottom w:val="nil"/>
              <w:right w:val="single" w:sz="4" w:space="0" w:color="BFBFBF"/>
            </w:tcBorders>
            <w:shd w:val="clear" w:color="auto" w:fill="auto"/>
            <w:noWrap/>
            <w:vAlign w:val="center"/>
            <w:hideMark/>
          </w:tcPr>
          <w:p w14:paraId="460475C8" w14:textId="77777777" w:rsidR="007F5DB3" w:rsidRPr="00AC4D7B" w:rsidRDefault="007F5DB3" w:rsidP="007F5DB3">
            <w:pPr>
              <w:jc w:val="right"/>
              <w:rPr>
                <w:rFonts w:cs="Arial"/>
                <w:color w:val="000000"/>
              </w:rPr>
            </w:pPr>
            <w:r w:rsidRPr="00AC4D7B">
              <w:rPr>
                <w:rFonts w:cs="Arial"/>
                <w:color w:val="000000"/>
              </w:rPr>
              <w:t>(601)</w:t>
            </w:r>
          </w:p>
        </w:tc>
        <w:tc>
          <w:tcPr>
            <w:tcW w:w="1303" w:type="dxa"/>
            <w:tcBorders>
              <w:top w:val="nil"/>
              <w:left w:val="nil"/>
              <w:bottom w:val="nil"/>
              <w:right w:val="single" w:sz="4" w:space="0" w:color="BFBFBF"/>
            </w:tcBorders>
            <w:shd w:val="clear" w:color="auto" w:fill="auto"/>
            <w:noWrap/>
            <w:vAlign w:val="center"/>
            <w:hideMark/>
          </w:tcPr>
          <w:p w14:paraId="34274FD3" w14:textId="77777777" w:rsidR="007F5DB3" w:rsidRPr="00AC4D7B" w:rsidRDefault="007F5DB3" w:rsidP="007F5DB3">
            <w:pPr>
              <w:jc w:val="right"/>
              <w:rPr>
                <w:rFonts w:cs="Arial"/>
                <w:color w:val="000000"/>
              </w:rPr>
            </w:pPr>
            <w:r w:rsidRPr="00AC4D7B">
              <w:rPr>
                <w:rFonts w:cs="Arial"/>
                <w:color w:val="000000"/>
              </w:rPr>
              <w:t>(601)</w:t>
            </w:r>
          </w:p>
        </w:tc>
        <w:tc>
          <w:tcPr>
            <w:tcW w:w="1303" w:type="dxa"/>
            <w:tcBorders>
              <w:top w:val="nil"/>
              <w:left w:val="nil"/>
              <w:bottom w:val="nil"/>
              <w:right w:val="single" w:sz="4" w:space="0" w:color="BFBFBF"/>
            </w:tcBorders>
            <w:shd w:val="clear" w:color="auto" w:fill="auto"/>
            <w:noWrap/>
            <w:vAlign w:val="center"/>
            <w:hideMark/>
          </w:tcPr>
          <w:p w14:paraId="632E2725" w14:textId="77777777" w:rsidR="007F5DB3" w:rsidRPr="00AC4D7B" w:rsidRDefault="007F5DB3" w:rsidP="007F5DB3">
            <w:pPr>
              <w:jc w:val="right"/>
              <w:rPr>
                <w:rFonts w:cs="Arial"/>
                <w:color w:val="000000"/>
              </w:rPr>
            </w:pPr>
            <w:r w:rsidRPr="00AC4D7B">
              <w:rPr>
                <w:rFonts w:cs="Arial"/>
                <w:color w:val="000000"/>
              </w:rPr>
              <w:t>(601)</w:t>
            </w:r>
          </w:p>
        </w:tc>
        <w:tc>
          <w:tcPr>
            <w:tcW w:w="1307" w:type="dxa"/>
            <w:tcBorders>
              <w:top w:val="nil"/>
              <w:left w:val="nil"/>
              <w:bottom w:val="nil"/>
              <w:right w:val="single" w:sz="4" w:space="0" w:color="auto"/>
            </w:tcBorders>
            <w:shd w:val="clear" w:color="auto" w:fill="auto"/>
            <w:noWrap/>
            <w:vAlign w:val="center"/>
            <w:hideMark/>
          </w:tcPr>
          <w:p w14:paraId="7CA099F1" w14:textId="77777777" w:rsidR="007F5DB3" w:rsidRPr="00AC4D7B" w:rsidRDefault="007F5DB3" w:rsidP="007F5DB3">
            <w:pPr>
              <w:jc w:val="right"/>
              <w:rPr>
                <w:rFonts w:cs="Arial"/>
                <w:color w:val="000000"/>
              </w:rPr>
            </w:pPr>
            <w:r w:rsidRPr="00AC4D7B">
              <w:rPr>
                <w:rFonts w:cs="Arial"/>
                <w:color w:val="000000"/>
              </w:rPr>
              <w:t xml:space="preserve">-  </w:t>
            </w:r>
          </w:p>
        </w:tc>
      </w:tr>
      <w:tr w:rsidR="007F5DB3" w:rsidRPr="00AC4D7B" w14:paraId="66EEA15F" w14:textId="77777777" w:rsidTr="007F5DB3">
        <w:trPr>
          <w:trHeight w:val="285"/>
        </w:trPr>
        <w:tc>
          <w:tcPr>
            <w:tcW w:w="4445" w:type="dxa"/>
            <w:tcBorders>
              <w:top w:val="nil"/>
              <w:left w:val="single" w:sz="4" w:space="0" w:color="auto"/>
              <w:bottom w:val="nil"/>
              <w:right w:val="nil"/>
            </w:tcBorders>
            <w:shd w:val="clear" w:color="auto" w:fill="auto"/>
            <w:noWrap/>
            <w:vAlign w:val="center"/>
            <w:hideMark/>
          </w:tcPr>
          <w:p w14:paraId="599E5960" w14:textId="77777777" w:rsidR="007F5DB3" w:rsidRPr="00AC4D7B" w:rsidRDefault="007F5DB3" w:rsidP="007F5DB3">
            <w:pPr>
              <w:rPr>
                <w:rFonts w:cs="Arial"/>
                <w:color w:val="000000"/>
              </w:rPr>
            </w:pPr>
            <w:r w:rsidRPr="00AC4D7B">
              <w:rPr>
                <w:rFonts w:cs="Arial"/>
                <w:color w:val="000000"/>
              </w:rPr>
              <w:t>New Homes Bonus – SRBC</w:t>
            </w:r>
          </w:p>
        </w:tc>
        <w:tc>
          <w:tcPr>
            <w:tcW w:w="1302" w:type="dxa"/>
            <w:tcBorders>
              <w:top w:val="nil"/>
              <w:left w:val="single" w:sz="4" w:space="0" w:color="BFBFBF"/>
              <w:bottom w:val="nil"/>
              <w:right w:val="single" w:sz="4" w:space="0" w:color="BFBFBF"/>
            </w:tcBorders>
            <w:shd w:val="clear" w:color="auto" w:fill="auto"/>
            <w:noWrap/>
            <w:vAlign w:val="center"/>
            <w:hideMark/>
          </w:tcPr>
          <w:p w14:paraId="2AD79709" w14:textId="77777777" w:rsidR="007F5DB3" w:rsidRPr="00AC4D7B" w:rsidRDefault="007F5DB3" w:rsidP="007F5DB3">
            <w:pPr>
              <w:jc w:val="right"/>
              <w:rPr>
                <w:rFonts w:cs="Arial"/>
                <w:color w:val="000000"/>
              </w:rPr>
            </w:pPr>
            <w:r w:rsidRPr="00AC4D7B">
              <w:rPr>
                <w:rFonts w:cs="Arial"/>
                <w:color w:val="000000"/>
              </w:rPr>
              <w:t>(59)</w:t>
            </w:r>
          </w:p>
        </w:tc>
        <w:tc>
          <w:tcPr>
            <w:tcW w:w="1303" w:type="dxa"/>
            <w:tcBorders>
              <w:top w:val="nil"/>
              <w:left w:val="nil"/>
              <w:bottom w:val="nil"/>
              <w:right w:val="single" w:sz="4" w:space="0" w:color="BFBFBF"/>
            </w:tcBorders>
            <w:shd w:val="clear" w:color="auto" w:fill="auto"/>
            <w:noWrap/>
            <w:vAlign w:val="center"/>
            <w:hideMark/>
          </w:tcPr>
          <w:p w14:paraId="2BCA01F9" w14:textId="77777777" w:rsidR="007F5DB3" w:rsidRPr="00AC4D7B" w:rsidRDefault="007F5DB3" w:rsidP="007F5DB3">
            <w:pPr>
              <w:jc w:val="right"/>
              <w:rPr>
                <w:rFonts w:cs="Arial"/>
                <w:color w:val="000000"/>
              </w:rPr>
            </w:pPr>
            <w:r w:rsidRPr="00AC4D7B">
              <w:rPr>
                <w:rFonts w:cs="Arial"/>
                <w:color w:val="000000"/>
              </w:rPr>
              <w:t>(59)</w:t>
            </w:r>
          </w:p>
        </w:tc>
        <w:tc>
          <w:tcPr>
            <w:tcW w:w="1303" w:type="dxa"/>
            <w:tcBorders>
              <w:top w:val="nil"/>
              <w:left w:val="nil"/>
              <w:bottom w:val="nil"/>
              <w:right w:val="single" w:sz="4" w:space="0" w:color="BFBFBF"/>
            </w:tcBorders>
            <w:shd w:val="clear" w:color="auto" w:fill="auto"/>
            <w:noWrap/>
            <w:vAlign w:val="center"/>
            <w:hideMark/>
          </w:tcPr>
          <w:p w14:paraId="7FBA6ECA" w14:textId="77777777" w:rsidR="007F5DB3" w:rsidRPr="00AC4D7B" w:rsidRDefault="007F5DB3" w:rsidP="007F5DB3">
            <w:pPr>
              <w:jc w:val="right"/>
              <w:rPr>
                <w:rFonts w:cs="Arial"/>
                <w:color w:val="000000"/>
              </w:rPr>
            </w:pPr>
            <w:r w:rsidRPr="00AC4D7B">
              <w:rPr>
                <w:rFonts w:cs="Arial"/>
                <w:color w:val="000000"/>
              </w:rPr>
              <w:t>(59)</w:t>
            </w:r>
          </w:p>
        </w:tc>
        <w:tc>
          <w:tcPr>
            <w:tcW w:w="1307" w:type="dxa"/>
            <w:tcBorders>
              <w:top w:val="nil"/>
              <w:left w:val="nil"/>
              <w:bottom w:val="nil"/>
              <w:right w:val="single" w:sz="4" w:space="0" w:color="auto"/>
            </w:tcBorders>
            <w:shd w:val="clear" w:color="auto" w:fill="auto"/>
            <w:noWrap/>
            <w:vAlign w:val="center"/>
            <w:hideMark/>
          </w:tcPr>
          <w:p w14:paraId="2E394A92" w14:textId="77777777" w:rsidR="007F5DB3" w:rsidRPr="00AC4D7B" w:rsidRDefault="007F5DB3" w:rsidP="007F5DB3">
            <w:pPr>
              <w:jc w:val="right"/>
              <w:rPr>
                <w:rFonts w:cs="Arial"/>
                <w:color w:val="000000"/>
              </w:rPr>
            </w:pPr>
            <w:r w:rsidRPr="00AC4D7B">
              <w:rPr>
                <w:rFonts w:cs="Arial"/>
                <w:color w:val="000000"/>
              </w:rPr>
              <w:t xml:space="preserve">-  </w:t>
            </w:r>
          </w:p>
        </w:tc>
      </w:tr>
      <w:tr w:rsidR="007F5DB3" w:rsidRPr="00AC4D7B" w14:paraId="41A583B0" w14:textId="77777777" w:rsidTr="007F5DB3">
        <w:trPr>
          <w:trHeight w:val="285"/>
        </w:trPr>
        <w:tc>
          <w:tcPr>
            <w:tcW w:w="4445" w:type="dxa"/>
            <w:tcBorders>
              <w:top w:val="nil"/>
              <w:left w:val="single" w:sz="4" w:space="0" w:color="auto"/>
              <w:bottom w:val="nil"/>
              <w:right w:val="nil"/>
            </w:tcBorders>
            <w:shd w:val="clear" w:color="auto" w:fill="auto"/>
            <w:noWrap/>
            <w:vAlign w:val="center"/>
            <w:hideMark/>
          </w:tcPr>
          <w:p w14:paraId="6BB1ADA6" w14:textId="77777777" w:rsidR="007F5DB3" w:rsidRPr="00AC4D7B" w:rsidRDefault="007F5DB3" w:rsidP="007F5DB3">
            <w:pPr>
              <w:rPr>
                <w:rFonts w:cs="Arial"/>
                <w:color w:val="000000"/>
              </w:rPr>
            </w:pPr>
            <w:r w:rsidRPr="00AC4D7B">
              <w:rPr>
                <w:rFonts w:cs="Arial"/>
                <w:color w:val="000000"/>
              </w:rPr>
              <w:t>Retained Business Rates</w:t>
            </w:r>
          </w:p>
        </w:tc>
        <w:tc>
          <w:tcPr>
            <w:tcW w:w="1302" w:type="dxa"/>
            <w:tcBorders>
              <w:top w:val="nil"/>
              <w:left w:val="single" w:sz="4" w:space="0" w:color="BFBFBF"/>
              <w:bottom w:val="nil"/>
              <w:right w:val="single" w:sz="4" w:space="0" w:color="BFBFBF"/>
            </w:tcBorders>
            <w:shd w:val="clear" w:color="auto" w:fill="auto"/>
            <w:noWrap/>
            <w:vAlign w:val="center"/>
            <w:hideMark/>
          </w:tcPr>
          <w:p w14:paraId="1A5FA7FA" w14:textId="77777777" w:rsidR="007F5DB3" w:rsidRPr="00AC4D7B" w:rsidRDefault="007F5DB3" w:rsidP="007F5DB3">
            <w:pPr>
              <w:jc w:val="right"/>
              <w:rPr>
                <w:rFonts w:cs="Arial"/>
                <w:color w:val="000000"/>
              </w:rPr>
            </w:pPr>
            <w:r w:rsidRPr="00AC4D7B">
              <w:rPr>
                <w:rFonts w:cs="Arial"/>
                <w:color w:val="000000"/>
              </w:rPr>
              <w:t>(3,715)</w:t>
            </w:r>
          </w:p>
        </w:tc>
        <w:tc>
          <w:tcPr>
            <w:tcW w:w="1303" w:type="dxa"/>
            <w:tcBorders>
              <w:top w:val="nil"/>
              <w:left w:val="nil"/>
              <w:bottom w:val="nil"/>
              <w:right w:val="single" w:sz="4" w:space="0" w:color="BFBFBF"/>
            </w:tcBorders>
            <w:shd w:val="clear" w:color="auto" w:fill="auto"/>
            <w:noWrap/>
            <w:vAlign w:val="center"/>
            <w:hideMark/>
          </w:tcPr>
          <w:p w14:paraId="62BBE03C" w14:textId="77777777" w:rsidR="007F5DB3" w:rsidRPr="00AC4D7B" w:rsidRDefault="007F5DB3" w:rsidP="007F5DB3">
            <w:pPr>
              <w:jc w:val="right"/>
              <w:rPr>
                <w:rFonts w:cs="Arial"/>
                <w:color w:val="000000"/>
              </w:rPr>
            </w:pPr>
            <w:r w:rsidRPr="00AC4D7B">
              <w:rPr>
                <w:rFonts w:cs="Arial"/>
                <w:color w:val="000000"/>
              </w:rPr>
              <w:t>(3,715)</w:t>
            </w:r>
          </w:p>
        </w:tc>
        <w:tc>
          <w:tcPr>
            <w:tcW w:w="1303" w:type="dxa"/>
            <w:tcBorders>
              <w:top w:val="nil"/>
              <w:left w:val="nil"/>
              <w:bottom w:val="nil"/>
              <w:right w:val="single" w:sz="4" w:space="0" w:color="BFBFBF"/>
            </w:tcBorders>
            <w:shd w:val="clear" w:color="auto" w:fill="auto"/>
            <w:noWrap/>
            <w:vAlign w:val="center"/>
            <w:hideMark/>
          </w:tcPr>
          <w:p w14:paraId="5C964366" w14:textId="77777777" w:rsidR="007F5DB3" w:rsidRPr="00AC4D7B" w:rsidRDefault="007F5DB3" w:rsidP="007F5DB3">
            <w:pPr>
              <w:jc w:val="right"/>
              <w:rPr>
                <w:rFonts w:cs="Arial"/>
                <w:color w:val="000000"/>
              </w:rPr>
            </w:pPr>
            <w:r w:rsidRPr="00AC4D7B">
              <w:rPr>
                <w:rFonts w:cs="Arial"/>
                <w:color w:val="000000"/>
              </w:rPr>
              <w:t>(3,706)</w:t>
            </w:r>
          </w:p>
        </w:tc>
        <w:tc>
          <w:tcPr>
            <w:tcW w:w="1307" w:type="dxa"/>
            <w:tcBorders>
              <w:top w:val="nil"/>
              <w:left w:val="nil"/>
              <w:bottom w:val="nil"/>
              <w:right w:val="single" w:sz="4" w:space="0" w:color="auto"/>
            </w:tcBorders>
            <w:shd w:val="clear" w:color="auto" w:fill="auto"/>
            <w:noWrap/>
            <w:vAlign w:val="center"/>
            <w:hideMark/>
          </w:tcPr>
          <w:p w14:paraId="0BA48596" w14:textId="77777777" w:rsidR="007F5DB3" w:rsidRPr="00AC4D7B" w:rsidRDefault="007F5DB3" w:rsidP="007F5DB3">
            <w:pPr>
              <w:jc w:val="right"/>
              <w:rPr>
                <w:rFonts w:cs="Arial"/>
                <w:color w:val="000000"/>
              </w:rPr>
            </w:pPr>
            <w:r w:rsidRPr="00AC4D7B">
              <w:rPr>
                <w:rFonts w:cs="Arial"/>
                <w:color w:val="000000"/>
              </w:rPr>
              <w:t xml:space="preserve">8 </w:t>
            </w:r>
          </w:p>
        </w:tc>
      </w:tr>
      <w:tr w:rsidR="007F5DB3" w:rsidRPr="00AC4D7B" w14:paraId="6D1EF7EF" w14:textId="77777777" w:rsidTr="007F5DB3">
        <w:trPr>
          <w:trHeight w:val="285"/>
        </w:trPr>
        <w:tc>
          <w:tcPr>
            <w:tcW w:w="4445" w:type="dxa"/>
            <w:tcBorders>
              <w:top w:val="nil"/>
              <w:left w:val="single" w:sz="4" w:space="0" w:color="auto"/>
              <w:bottom w:val="nil"/>
              <w:right w:val="nil"/>
            </w:tcBorders>
            <w:shd w:val="clear" w:color="auto" w:fill="auto"/>
            <w:noWrap/>
            <w:vAlign w:val="center"/>
            <w:hideMark/>
          </w:tcPr>
          <w:p w14:paraId="05B9D99F" w14:textId="77777777" w:rsidR="007F5DB3" w:rsidRPr="00AC4D7B" w:rsidRDefault="007F5DB3" w:rsidP="007F5DB3">
            <w:pPr>
              <w:rPr>
                <w:rFonts w:cs="Arial"/>
                <w:color w:val="000000"/>
              </w:rPr>
            </w:pPr>
            <w:r w:rsidRPr="00AC4D7B">
              <w:rPr>
                <w:rFonts w:cs="Arial"/>
                <w:color w:val="000000"/>
              </w:rPr>
              <w:t>Section 31 grants (mainly business rates)</w:t>
            </w:r>
          </w:p>
        </w:tc>
        <w:tc>
          <w:tcPr>
            <w:tcW w:w="1302" w:type="dxa"/>
            <w:tcBorders>
              <w:top w:val="nil"/>
              <w:left w:val="single" w:sz="4" w:space="0" w:color="BFBFBF"/>
              <w:bottom w:val="nil"/>
              <w:right w:val="single" w:sz="4" w:space="0" w:color="BFBFBF"/>
            </w:tcBorders>
            <w:shd w:val="clear" w:color="auto" w:fill="auto"/>
            <w:noWrap/>
            <w:vAlign w:val="center"/>
            <w:hideMark/>
          </w:tcPr>
          <w:p w14:paraId="45DE64B4" w14:textId="77777777" w:rsidR="007F5DB3" w:rsidRPr="00AC4D7B" w:rsidRDefault="007F5DB3" w:rsidP="007F5DB3">
            <w:pPr>
              <w:jc w:val="right"/>
              <w:rPr>
                <w:rFonts w:cs="Arial"/>
                <w:color w:val="000000"/>
              </w:rPr>
            </w:pPr>
            <w:r w:rsidRPr="00AC4D7B">
              <w:rPr>
                <w:rFonts w:cs="Arial"/>
                <w:color w:val="000000"/>
              </w:rPr>
              <w:t>(1,595)</w:t>
            </w:r>
          </w:p>
        </w:tc>
        <w:tc>
          <w:tcPr>
            <w:tcW w:w="1303" w:type="dxa"/>
            <w:tcBorders>
              <w:top w:val="nil"/>
              <w:left w:val="nil"/>
              <w:bottom w:val="nil"/>
              <w:right w:val="single" w:sz="4" w:space="0" w:color="BFBFBF"/>
            </w:tcBorders>
            <w:shd w:val="clear" w:color="auto" w:fill="auto"/>
            <w:noWrap/>
            <w:vAlign w:val="center"/>
            <w:hideMark/>
          </w:tcPr>
          <w:p w14:paraId="7FCA3337" w14:textId="77777777" w:rsidR="007F5DB3" w:rsidRPr="00AC4D7B" w:rsidRDefault="007F5DB3" w:rsidP="007F5DB3">
            <w:pPr>
              <w:jc w:val="right"/>
              <w:rPr>
                <w:rFonts w:cs="Arial"/>
                <w:color w:val="000000"/>
              </w:rPr>
            </w:pPr>
            <w:r w:rsidRPr="00AC4D7B">
              <w:rPr>
                <w:rFonts w:cs="Arial"/>
                <w:color w:val="000000"/>
              </w:rPr>
              <w:t>(1,595)</w:t>
            </w:r>
          </w:p>
        </w:tc>
        <w:tc>
          <w:tcPr>
            <w:tcW w:w="1303" w:type="dxa"/>
            <w:tcBorders>
              <w:top w:val="nil"/>
              <w:left w:val="nil"/>
              <w:bottom w:val="nil"/>
              <w:right w:val="single" w:sz="4" w:space="0" w:color="BFBFBF"/>
            </w:tcBorders>
            <w:shd w:val="clear" w:color="auto" w:fill="auto"/>
            <w:noWrap/>
            <w:vAlign w:val="center"/>
            <w:hideMark/>
          </w:tcPr>
          <w:p w14:paraId="0B1BBF6B" w14:textId="77777777" w:rsidR="007F5DB3" w:rsidRPr="00AC4D7B" w:rsidRDefault="007F5DB3" w:rsidP="007F5DB3">
            <w:pPr>
              <w:jc w:val="right"/>
              <w:rPr>
                <w:rFonts w:cs="Arial"/>
                <w:color w:val="000000"/>
              </w:rPr>
            </w:pPr>
            <w:r w:rsidRPr="00AC4D7B">
              <w:rPr>
                <w:rFonts w:cs="Arial"/>
                <w:color w:val="000000"/>
              </w:rPr>
              <w:t>(6,858)</w:t>
            </w:r>
          </w:p>
        </w:tc>
        <w:tc>
          <w:tcPr>
            <w:tcW w:w="1307" w:type="dxa"/>
            <w:tcBorders>
              <w:top w:val="nil"/>
              <w:left w:val="nil"/>
              <w:bottom w:val="nil"/>
              <w:right w:val="single" w:sz="4" w:space="0" w:color="auto"/>
            </w:tcBorders>
            <w:shd w:val="clear" w:color="auto" w:fill="auto"/>
            <w:noWrap/>
            <w:vAlign w:val="center"/>
            <w:hideMark/>
          </w:tcPr>
          <w:p w14:paraId="428B17DB" w14:textId="77777777" w:rsidR="007F5DB3" w:rsidRPr="00AC4D7B" w:rsidRDefault="007F5DB3" w:rsidP="007F5DB3">
            <w:pPr>
              <w:jc w:val="right"/>
              <w:rPr>
                <w:rFonts w:cs="Arial"/>
                <w:color w:val="000000"/>
              </w:rPr>
            </w:pPr>
            <w:r w:rsidRPr="00AC4D7B">
              <w:rPr>
                <w:rFonts w:cs="Arial"/>
                <w:color w:val="000000"/>
              </w:rPr>
              <w:t>(5,263)</w:t>
            </w:r>
          </w:p>
        </w:tc>
      </w:tr>
      <w:tr w:rsidR="007F5DB3" w:rsidRPr="00AC4D7B" w14:paraId="600781C3" w14:textId="77777777" w:rsidTr="007F5DB3">
        <w:trPr>
          <w:trHeight w:val="570"/>
        </w:trPr>
        <w:tc>
          <w:tcPr>
            <w:tcW w:w="4445" w:type="dxa"/>
            <w:tcBorders>
              <w:top w:val="nil"/>
              <w:left w:val="single" w:sz="4" w:space="0" w:color="auto"/>
              <w:bottom w:val="nil"/>
              <w:right w:val="nil"/>
            </w:tcBorders>
            <w:shd w:val="clear" w:color="auto" w:fill="auto"/>
            <w:hideMark/>
          </w:tcPr>
          <w:p w14:paraId="581A81AF" w14:textId="77777777" w:rsidR="007F5DB3" w:rsidRPr="00AC4D7B" w:rsidRDefault="007F5DB3" w:rsidP="007F5DB3">
            <w:pPr>
              <w:rPr>
                <w:rFonts w:cs="Arial"/>
                <w:color w:val="000000"/>
              </w:rPr>
            </w:pPr>
            <w:r w:rsidRPr="00AC4D7B">
              <w:rPr>
                <w:rFonts w:cs="Arial"/>
                <w:color w:val="000000"/>
              </w:rPr>
              <w:t>Surplus business rates set aside for deficits in future years</w:t>
            </w:r>
          </w:p>
        </w:tc>
        <w:tc>
          <w:tcPr>
            <w:tcW w:w="1302" w:type="dxa"/>
            <w:tcBorders>
              <w:top w:val="nil"/>
              <w:left w:val="single" w:sz="4" w:space="0" w:color="BFBFBF"/>
              <w:bottom w:val="nil"/>
              <w:right w:val="single" w:sz="4" w:space="0" w:color="BFBFBF"/>
            </w:tcBorders>
            <w:shd w:val="clear" w:color="auto" w:fill="auto"/>
            <w:noWrap/>
            <w:hideMark/>
          </w:tcPr>
          <w:p w14:paraId="0BEE0C24" w14:textId="77777777" w:rsidR="007F5DB3" w:rsidRPr="00AC4D7B" w:rsidRDefault="007F5DB3" w:rsidP="007F5DB3">
            <w:pPr>
              <w:jc w:val="right"/>
              <w:rPr>
                <w:rFonts w:cs="Arial"/>
                <w:color w:val="000000"/>
              </w:rPr>
            </w:pPr>
            <w:r w:rsidRPr="00AC4D7B">
              <w:rPr>
                <w:rFonts w:cs="Arial"/>
                <w:color w:val="000000"/>
              </w:rPr>
              <w:t xml:space="preserve">-  </w:t>
            </w:r>
          </w:p>
        </w:tc>
        <w:tc>
          <w:tcPr>
            <w:tcW w:w="1303" w:type="dxa"/>
            <w:tcBorders>
              <w:top w:val="nil"/>
              <w:left w:val="nil"/>
              <w:bottom w:val="nil"/>
              <w:right w:val="single" w:sz="4" w:space="0" w:color="BFBFBF"/>
            </w:tcBorders>
            <w:shd w:val="clear" w:color="auto" w:fill="auto"/>
            <w:noWrap/>
            <w:hideMark/>
          </w:tcPr>
          <w:p w14:paraId="46547454" w14:textId="77777777" w:rsidR="007F5DB3" w:rsidRPr="00AC4D7B" w:rsidRDefault="007F5DB3" w:rsidP="007F5DB3">
            <w:pPr>
              <w:jc w:val="right"/>
              <w:rPr>
                <w:rFonts w:cs="Arial"/>
                <w:color w:val="000000"/>
              </w:rPr>
            </w:pPr>
            <w:r w:rsidRPr="00AC4D7B">
              <w:rPr>
                <w:rFonts w:cs="Arial"/>
                <w:color w:val="000000"/>
              </w:rPr>
              <w:t xml:space="preserve">-  </w:t>
            </w:r>
          </w:p>
        </w:tc>
        <w:tc>
          <w:tcPr>
            <w:tcW w:w="1303" w:type="dxa"/>
            <w:tcBorders>
              <w:top w:val="nil"/>
              <w:left w:val="nil"/>
              <w:bottom w:val="nil"/>
              <w:right w:val="single" w:sz="4" w:space="0" w:color="BFBFBF"/>
            </w:tcBorders>
            <w:shd w:val="clear" w:color="auto" w:fill="auto"/>
            <w:noWrap/>
            <w:hideMark/>
          </w:tcPr>
          <w:p w14:paraId="30FF9DA6" w14:textId="77777777" w:rsidR="007F5DB3" w:rsidRPr="00AC4D7B" w:rsidRDefault="007F5DB3" w:rsidP="007F5DB3">
            <w:pPr>
              <w:jc w:val="right"/>
              <w:rPr>
                <w:rFonts w:cs="Arial"/>
                <w:color w:val="000000"/>
              </w:rPr>
            </w:pPr>
            <w:r w:rsidRPr="00AC4D7B">
              <w:rPr>
                <w:rFonts w:cs="Arial"/>
                <w:color w:val="000000"/>
              </w:rPr>
              <w:t xml:space="preserve">5,257 </w:t>
            </w:r>
          </w:p>
        </w:tc>
        <w:tc>
          <w:tcPr>
            <w:tcW w:w="1307" w:type="dxa"/>
            <w:tcBorders>
              <w:top w:val="nil"/>
              <w:left w:val="nil"/>
              <w:bottom w:val="nil"/>
              <w:right w:val="single" w:sz="4" w:space="0" w:color="auto"/>
            </w:tcBorders>
            <w:shd w:val="clear" w:color="auto" w:fill="auto"/>
            <w:noWrap/>
            <w:hideMark/>
          </w:tcPr>
          <w:p w14:paraId="594FA8B1" w14:textId="77777777" w:rsidR="007F5DB3" w:rsidRPr="00AC4D7B" w:rsidRDefault="007F5DB3" w:rsidP="007F5DB3">
            <w:pPr>
              <w:jc w:val="right"/>
              <w:rPr>
                <w:rFonts w:cs="Arial"/>
                <w:color w:val="000000"/>
              </w:rPr>
            </w:pPr>
            <w:r w:rsidRPr="00AC4D7B">
              <w:rPr>
                <w:rFonts w:cs="Arial"/>
                <w:color w:val="000000"/>
              </w:rPr>
              <w:t xml:space="preserve">5,257 </w:t>
            </w:r>
          </w:p>
        </w:tc>
      </w:tr>
      <w:tr w:rsidR="007F5DB3" w:rsidRPr="00AC4D7B" w14:paraId="2625DC3D" w14:textId="77777777" w:rsidTr="007F5DB3">
        <w:trPr>
          <w:trHeight w:val="300"/>
        </w:trPr>
        <w:tc>
          <w:tcPr>
            <w:tcW w:w="4445" w:type="dxa"/>
            <w:tcBorders>
              <w:top w:val="nil"/>
              <w:left w:val="single" w:sz="4" w:space="0" w:color="auto"/>
              <w:bottom w:val="nil"/>
              <w:right w:val="nil"/>
            </w:tcBorders>
            <w:shd w:val="clear" w:color="auto" w:fill="auto"/>
            <w:noWrap/>
            <w:vAlign w:val="center"/>
            <w:hideMark/>
          </w:tcPr>
          <w:p w14:paraId="1B0A1286" w14:textId="77777777" w:rsidR="007F5DB3" w:rsidRPr="00AC4D7B" w:rsidRDefault="007F5DB3" w:rsidP="007F5DB3">
            <w:pPr>
              <w:rPr>
                <w:rFonts w:cs="Arial"/>
                <w:b/>
                <w:bCs/>
                <w:color w:val="000000"/>
              </w:rPr>
            </w:pPr>
            <w:r w:rsidRPr="00AC4D7B">
              <w:rPr>
                <w:rFonts w:cs="Arial"/>
                <w:b/>
                <w:bCs/>
                <w:color w:val="000000"/>
              </w:rPr>
              <w:t>Total Funding</w:t>
            </w:r>
          </w:p>
        </w:tc>
        <w:tc>
          <w:tcPr>
            <w:tcW w:w="1302" w:type="dxa"/>
            <w:tcBorders>
              <w:top w:val="single" w:sz="4" w:space="0" w:color="auto"/>
              <w:left w:val="single" w:sz="4" w:space="0" w:color="BFBFBF"/>
              <w:bottom w:val="single" w:sz="4" w:space="0" w:color="auto"/>
              <w:right w:val="single" w:sz="4" w:space="0" w:color="BFBFBF"/>
            </w:tcBorders>
            <w:shd w:val="clear" w:color="auto" w:fill="auto"/>
            <w:noWrap/>
            <w:vAlign w:val="center"/>
            <w:hideMark/>
          </w:tcPr>
          <w:p w14:paraId="6C755BBE" w14:textId="77777777" w:rsidR="007F5DB3" w:rsidRPr="00AC4D7B" w:rsidRDefault="007F5DB3" w:rsidP="007F5DB3">
            <w:pPr>
              <w:jc w:val="right"/>
              <w:rPr>
                <w:rFonts w:cs="Arial"/>
                <w:b/>
                <w:bCs/>
                <w:color w:val="000000"/>
              </w:rPr>
            </w:pPr>
            <w:r w:rsidRPr="00AC4D7B">
              <w:rPr>
                <w:rFonts w:cs="Arial"/>
                <w:b/>
                <w:bCs/>
                <w:color w:val="000000"/>
              </w:rPr>
              <w:t>(14,566)</w:t>
            </w:r>
          </w:p>
        </w:tc>
        <w:tc>
          <w:tcPr>
            <w:tcW w:w="1303" w:type="dxa"/>
            <w:tcBorders>
              <w:top w:val="single" w:sz="4" w:space="0" w:color="auto"/>
              <w:left w:val="nil"/>
              <w:bottom w:val="single" w:sz="4" w:space="0" w:color="auto"/>
              <w:right w:val="single" w:sz="4" w:space="0" w:color="BFBFBF"/>
            </w:tcBorders>
            <w:shd w:val="clear" w:color="auto" w:fill="auto"/>
            <w:noWrap/>
            <w:vAlign w:val="center"/>
            <w:hideMark/>
          </w:tcPr>
          <w:p w14:paraId="6D4D89A6" w14:textId="77777777" w:rsidR="007F5DB3" w:rsidRPr="00AC4D7B" w:rsidRDefault="007F5DB3" w:rsidP="007F5DB3">
            <w:pPr>
              <w:jc w:val="right"/>
              <w:rPr>
                <w:rFonts w:cs="Arial"/>
                <w:b/>
                <w:bCs/>
                <w:color w:val="000000"/>
              </w:rPr>
            </w:pPr>
            <w:r w:rsidRPr="00AC4D7B">
              <w:rPr>
                <w:rFonts w:cs="Arial"/>
                <w:b/>
                <w:bCs/>
                <w:color w:val="000000"/>
              </w:rPr>
              <w:t>(14,566)</w:t>
            </w:r>
          </w:p>
        </w:tc>
        <w:tc>
          <w:tcPr>
            <w:tcW w:w="1303" w:type="dxa"/>
            <w:tcBorders>
              <w:top w:val="single" w:sz="4" w:space="0" w:color="auto"/>
              <w:left w:val="nil"/>
              <w:bottom w:val="single" w:sz="4" w:space="0" w:color="auto"/>
              <w:right w:val="single" w:sz="4" w:space="0" w:color="BFBFBF"/>
            </w:tcBorders>
            <w:shd w:val="clear" w:color="auto" w:fill="auto"/>
            <w:noWrap/>
            <w:vAlign w:val="center"/>
            <w:hideMark/>
          </w:tcPr>
          <w:p w14:paraId="52A6886F" w14:textId="77777777" w:rsidR="007F5DB3" w:rsidRPr="00AC4D7B" w:rsidRDefault="007F5DB3" w:rsidP="007F5DB3">
            <w:pPr>
              <w:jc w:val="right"/>
              <w:rPr>
                <w:rFonts w:cs="Arial"/>
                <w:b/>
                <w:bCs/>
                <w:color w:val="000000"/>
              </w:rPr>
            </w:pPr>
            <w:r w:rsidRPr="00AC4D7B">
              <w:rPr>
                <w:rFonts w:cs="Arial"/>
                <w:b/>
                <w:bCs/>
                <w:color w:val="000000"/>
              </w:rPr>
              <w:t>(14,565)</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14:paraId="59CCF027" w14:textId="77777777" w:rsidR="007F5DB3" w:rsidRPr="00AC4D7B" w:rsidRDefault="007F5DB3" w:rsidP="007F5DB3">
            <w:pPr>
              <w:jc w:val="right"/>
              <w:rPr>
                <w:rFonts w:cs="Arial"/>
                <w:b/>
                <w:bCs/>
                <w:color w:val="000000"/>
              </w:rPr>
            </w:pPr>
            <w:r w:rsidRPr="00AC4D7B">
              <w:rPr>
                <w:rFonts w:cs="Arial"/>
                <w:b/>
                <w:bCs/>
                <w:color w:val="000000"/>
              </w:rPr>
              <w:t xml:space="preserve">0 </w:t>
            </w:r>
          </w:p>
        </w:tc>
      </w:tr>
      <w:tr w:rsidR="007F5DB3" w:rsidRPr="00AC4D7B" w14:paraId="2AF3EEA0" w14:textId="77777777" w:rsidTr="007F5DB3">
        <w:trPr>
          <w:trHeight w:val="285"/>
        </w:trPr>
        <w:tc>
          <w:tcPr>
            <w:tcW w:w="4445" w:type="dxa"/>
            <w:tcBorders>
              <w:top w:val="nil"/>
              <w:left w:val="single" w:sz="4" w:space="0" w:color="auto"/>
              <w:bottom w:val="nil"/>
              <w:right w:val="nil"/>
            </w:tcBorders>
            <w:shd w:val="clear" w:color="auto" w:fill="auto"/>
            <w:noWrap/>
            <w:vAlign w:val="center"/>
            <w:hideMark/>
          </w:tcPr>
          <w:p w14:paraId="157EE25C" w14:textId="77777777" w:rsidR="007F5DB3" w:rsidRPr="00AC4D7B" w:rsidRDefault="007F5DB3" w:rsidP="007F5DB3">
            <w:pPr>
              <w:rPr>
                <w:rFonts w:cs="Arial"/>
                <w:color w:val="000000"/>
              </w:rPr>
            </w:pPr>
            <w:r w:rsidRPr="00AC4D7B">
              <w:rPr>
                <w:rFonts w:cs="Arial"/>
                <w:color w:val="000000"/>
              </w:rPr>
              <w:t> </w:t>
            </w:r>
          </w:p>
        </w:tc>
        <w:tc>
          <w:tcPr>
            <w:tcW w:w="1302" w:type="dxa"/>
            <w:tcBorders>
              <w:top w:val="nil"/>
              <w:left w:val="single" w:sz="4" w:space="0" w:color="BFBFBF"/>
              <w:bottom w:val="nil"/>
              <w:right w:val="single" w:sz="4" w:space="0" w:color="BFBFBF"/>
            </w:tcBorders>
            <w:shd w:val="clear" w:color="auto" w:fill="auto"/>
            <w:noWrap/>
            <w:vAlign w:val="center"/>
            <w:hideMark/>
          </w:tcPr>
          <w:p w14:paraId="3FBEA0DD" w14:textId="77777777" w:rsidR="007F5DB3" w:rsidRPr="00AC4D7B" w:rsidRDefault="007F5DB3" w:rsidP="007F5DB3">
            <w:pPr>
              <w:jc w:val="right"/>
              <w:rPr>
                <w:rFonts w:cs="Arial"/>
                <w:color w:val="000000"/>
              </w:rPr>
            </w:pPr>
            <w:r w:rsidRPr="00AC4D7B">
              <w:rPr>
                <w:rFonts w:cs="Arial"/>
                <w:color w:val="000000"/>
              </w:rPr>
              <w:t> </w:t>
            </w:r>
          </w:p>
        </w:tc>
        <w:tc>
          <w:tcPr>
            <w:tcW w:w="1303" w:type="dxa"/>
            <w:tcBorders>
              <w:top w:val="nil"/>
              <w:left w:val="nil"/>
              <w:bottom w:val="nil"/>
              <w:right w:val="single" w:sz="4" w:space="0" w:color="BFBFBF"/>
            </w:tcBorders>
            <w:shd w:val="clear" w:color="auto" w:fill="auto"/>
            <w:noWrap/>
            <w:vAlign w:val="center"/>
            <w:hideMark/>
          </w:tcPr>
          <w:p w14:paraId="0F2E1608" w14:textId="77777777" w:rsidR="007F5DB3" w:rsidRPr="00AC4D7B" w:rsidRDefault="007F5DB3" w:rsidP="007F5DB3">
            <w:pPr>
              <w:jc w:val="right"/>
              <w:rPr>
                <w:rFonts w:cs="Arial"/>
                <w:color w:val="000000"/>
              </w:rPr>
            </w:pPr>
            <w:r w:rsidRPr="00AC4D7B">
              <w:rPr>
                <w:rFonts w:cs="Arial"/>
                <w:color w:val="000000"/>
              </w:rPr>
              <w:t> </w:t>
            </w:r>
          </w:p>
        </w:tc>
        <w:tc>
          <w:tcPr>
            <w:tcW w:w="1303" w:type="dxa"/>
            <w:tcBorders>
              <w:top w:val="nil"/>
              <w:left w:val="nil"/>
              <w:bottom w:val="nil"/>
              <w:right w:val="single" w:sz="4" w:space="0" w:color="BFBFBF"/>
            </w:tcBorders>
            <w:shd w:val="clear" w:color="auto" w:fill="auto"/>
            <w:noWrap/>
            <w:vAlign w:val="center"/>
            <w:hideMark/>
          </w:tcPr>
          <w:p w14:paraId="760FD8EA" w14:textId="77777777" w:rsidR="007F5DB3" w:rsidRPr="00AC4D7B" w:rsidRDefault="007F5DB3" w:rsidP="007F5DB3">
            <w:pPr>
              <w:jc w:val="right"/>
              <w:rPr>
                <w:rFonts w:cs="Arial"/>
                <w:color w:val="000000"/>
              </w:rPr>
            </w:pPr>
            <w:r w:rsidRPr="00AC4D7B">
              <w:rPr>
                <w:rFonts w:cs="Arial"/>
                <w:color w:val="000000"/>
              </w:rPr>
              <w:t> </w:t>
            </w:r>
          </w:p>
        </w:tc>
        <w:tc>
          <w:tcPr>
            <w:tcW w:w="1307" w:type="dxa"/>
            <w:tcBorders>
              <w:top w:val="nil"/>
              <w:left w:val="nil"/>
              <w:bottom w:val="nil"/>
              <w:right w:val="single" w:sz="4" w:space="0" w:color="auto"/>
            </w:tcBorders>
            <w:shd w:val="clear" w:color="auto" w:fill="auto"/>
            <w:noWrap/>
            <w:vAlign w:val="center"/>
            <w:hideMark/>
          </w:tcPr>
          <w:p w14:paraId="5901890F" w14:textId="77777777" w:rsidR="007F5DB3" w:rsidRPr="00AC4D7B" w:rsidRDefault="007F5DB3" w:rsidP="007F5DB3">
            <w:pPr>
              <w:jc w:val="right"/>
              <w:rPr>
                <w:rFonts w:cs="Arial"/>
                <w:color w:val="000000"/>
              </w:rPr>
            </w:pPr>
            <w:r w:rsidRPr="00AC4D7B">
              <w:rPr>
                <w:rFonts w:cs="Arial"/>
                <w:color w:val="000000"/>
              </w:rPr>
              <w:t> </w:t>
            </w:r>
          </w:p>
        </w:tc>
      </w:tr>
      <w:tr w:rsidR="007F5DB3" w:rsidRPr="00AC4D7B" w14:paraId="49A9CF59" w14:textId="77777777" w:rsidTr="007F5DB3">
        <w:trPr>
          <w:trHeight w:val="570"/>
        </w:trPr>
        <w:tc>
          <w:tcPr>
            <w:tcW w:w="4445" w:type="dxa"/>
            <w:tcBorders>
              <w:top w:val="nil"/>
              <w:left w:val="single" w:sz="4" w:space="0" w:color="auto"/>
              <w:bottom w:val="nil"/>
              <w:right w:val="nil"/>
            </w:tcBorders>
            <w:shd w:val="clear" w:color="auto" w:fill="auto"/>
            <w:noWrap/>
            <w:vAlign w:val="center"/>
            <w:hideMark/>
          </w:tcPr>
          <w:p w14:paraId="6B16325C" w14:textId="77777777" w:rsidR="007F5DB3" w:rsidRPr="00AC4D7B" w:rsidRDefault="007F5DB3" w:rsidP="007F5DB3">
            <w:pPr>
              <w:rPr>
                <w:rFonts w:cs="Arial"/>
                <w:color w:val="000000"/>
              </w:rPr>
            </w:pPr>
            <w:r w:rsidRPr="00AC4D7B">
              <w:rPr>
                <w:rFonts w:cs="Arial"/>
                <w:color w:val="000000"/>
              </w:rPr>
              <w:t xml:space="preserve">Government </w:t>
            </w:r>
            <w:r>
              <w:rPr>
                <w:rFonts w:cs="Arial"/>
                <w:color w:val="000000"/>
              </w:rPr>
              <w:t>C</w:t>
            </w:r>
            <w:r w:rsidRPr="00AC4D7B">
              <w:rPr>
                <w:rFonts w:cs="Arial"/>
                <w:color w:val="000000"/>
              </w:rPr>
              <w:t>ovid</w:t>
            </w:r>
            <w:r>
              <w:rPr>
                <w:rFonts w:cs="Arial"/>
                <w:color w:val="000000"/>
              </w:rPr>
              <w:t>-19</w:t>
            </w:r>
            <w:r w:rsidRPr="00AC4D7B">
              <w:rPr>
                <w:rFonts w:cs="Arial"/>
                <w:color w:val="000000"/>
              </w:rPr>
              <w:t xml:space="preserve"> support for income deficits</w:t>
            </w:r>
          </w:p>
        </w:tc>
        <w:tc>
          <w:tcPr>
            <w:tcW w:w="1302" w:type="dxa"/>
            <w:tcBorders>
              <w:top w:val="nil"/>
              <w:left w:val="single" w:sz="4" w:space="0" w:color="BFBFBF"/>
              <w:bottom w:val="nil"/>
              <w:right w:val="single" w:sz="4" w:space="0" w:color="BFBFBF"/>
            </w:tcBorders>
            <w:shd w:val="clear" w:color="auto" w:fill="auto"/>
            <w:noWrap/>
            <w:vAlign w:val="center"/>
            <w:hideMark/>
          </w:tcPr>
          <w:p w14:paraId="4D96E324" w14:textId="77777777" w:rsidR="007F5DB3" w:rsidRPr="00AC4D7B" w:rsidRDefault="007F5DB3" w:rsidP="007F5DB3">
            <w:pPr>
              <w:jc w:val="right"/>
              <w:rPr>
                <w:rFonts w:cs="Arial"/>
                <w:color w:val="000000"/>
              </w:rPr>
            </w:pPr>
            <w:r w:rsidRPr="00AC4D7B">
              <w:rPr>
                <w:rFonts w:cs="Arial"/>
                <w:color w:val="000000"/>
              </w:rPr>
              <w:t> </w:t>
            </w:r>
          </w:p>
        </w:tc>
        <w:tc>
          <w:tcPr>
            <w:tcW w:w="1303" w:type="dxa"/>
            <w:tcBorders>
              <w:top w:val="nil"/>
              <w:left w:val="nil"/>
              <w:bottom w:val="nil"/>
              <w:right w:val="single" w:sz="4" w:space="0" w:color="BFBFBF"/>
            </w:tcBorders>
            <w:shd w:val="clear" w:color="auto" w:fill="auto"/>
            <w:noWrap/>
            <w:vAlign w:val="center"/>
            <w:hideMark/>
          </w:tcPr>
          <w:p w14:paraId="3094AF53" w14:textId="77777777" w:rsidR="007F5DB3" w:rsidRPr="00AC4D7B" w:rsidRDefault="007F5DB3" w:rsidP="007F5DB3">
            <w:pPr>
              <w:jc w:val="right"/>
              <w:rPr>
                <w:rFonts w:cs="Arial"/>
                <w:color w:val="000000"/>
              </w:rPr>
            </w:pPr>
            <w:r w:rsidRPr="00AC4D7B">
              <w:rPr>
                <w:rFonts w:cs="Arial"/>
                <w:color w:val="000000"/>
              </w:rPr>
              <w:t> </w:t>
            </w:r>
          </w:p>
        </w:tc>
        <w:tc>
          <w:tcPr>
            <w:tcW w:w="1303" w:type="dxa"/>
            <w:tcBorders>
              <w:top w:val="nil"/>
              <w:left w:val="nil"/>
              <w:bottom w:val="nil"/>
              <w:right w:val="single" w:sz="4" w:space="0" w:color="BFBFBF"/>
            </w:tcBorders>
            <w:shd w:val="clear" w:color="auto" w:fill="auto"/>
            <w:noWrap/>
            <w:vAlign w:val="center"/>
            <w:hideMark/>
          </w:tcPr>
          <w:p w14:paraId="5316D56C" w14:textId="77777777" w:rsidR="007F5DB3" w:rsidRPr="00AC4D7B" w:rsidRDefault="007F5DB3" w:rsidP="007F5DB3">
            <w:pPr>
              <w:jc w:val="right"/>
              <w:rPr>
                <w:rFonts w:cs="Arial"/>
                <w:color w:val="000000"/>
              </w:rPr>
            </w:pPr>
            <w:r w:rsidRPr="00AC4D7B">
              <w:rPr>
                <w:rFonts w:cs="Arial"/>
                <w:color w:val="000000"/>
              </w:rPr>
              <w:t>(310)</w:t>
            </w:r>
          </w:p>
        </w:tc>
        <w:tc>
          <w:tcPr>
            <w:tcW w:w="1307" w:type="dxa"/>
            <w:tcBorders>
              <w:top w:val="nil"/>
              <w:left w:val="nil"/>
              <w:bottom w:val="nil"/>
              <w:right w:val="single" w:sz="4" w:space="0" w:color="auto"/>
            </w:tcBorders>
            <w:shd w:val="clear" w:color="auto" w:fill="auto"/>
            <w:noWrap/>
            <w:vAlign w:val="center"/>
            <w:hideMark/>
          </w:tcPr>
          <w:p w14:paraId="2E067B02" w14:textId="77777777" w:rsidR="007F5DB3" w:rsidRPr="00AC4D7B" w:rsidRDefault="007F5DB3" w:rsidP="007F5DB3">
            <w:pPr>
              <w:jc w:val="right"/>
              <w:rPr>
                <w:rFonts w:cs="Arial"/>
                <w:color w:val="000000"/>
              </w:rPr>
            </w:pPr>
            <w:r w:rsidRPr="00AC4D7B">
              <w:rPr>
                <w:rFonts w:cs="Arial"/>
                <w:color w:val="000000"/>
              </w:rPr>
              <w:t>(310)</w:t>
            </w:r>
          </w:p>
        </w:tc>
      </w:tr>
      <w:tr w:rsidR="007F5DB3" w:rsidRPr="00AC4D7B" w14:paraId="61CFD07A" w14:textId="77777777" w:rsidTr="007F5DB3">
        <w:trPr>
          <w:trHeight w:val="300"/>
        </w:trPr>
        <w:tc>
          <w:tcPr>
            <w:tcW w:w="4445" w:type="dxa"/>
            <w:tcBorders>
              <w:top w:val="nil"/>
              <w:left w:val="single" w:sz="4" w:space="0" w:color="auto"/>
              <w:bottom w:val="nil"/>
              <w:right w:val="nil"/>
            </w:tcBorders>
            <w:shd w:val="clear" w:color="auto" w:fill="auto"/>
            <w:noWrap/>
            <w:vAlign w:val="center"/>
            <w:hideMark/>
          </w:tcPr>
          <w:p w14:paraId="12845816" w14:textId="77777777" w:rsidR="007F5DB3" w:rsidRPr="00AC4D7B" w:rsidRDefault="007F5DB3" w:rsidP="007F5DB3">
            <w:pPr>
              <w:rPr>
                <w:rFonts w:cs="Arial"/>
                <w:b/>
                <w:bCs/>
                <w:color w:val="000000"/>
              </w:rPr>
            </w:pPr>
            <w:r w:rsidRPr="00AC4D7B">
              <w:rPr>
                <w:rFonts w:cs="Arial"/>
                <w:b/>
                <w:bCs/>
                <w:color w:val="000000"/>
              </w:rPr>
              <w:t>Net Contribution (To) / From Reserves</w:t>
            </w:r>
          </w:p>
        </w:tc>
        <w:tc>
          <w:tcPr>
            <w:tcW w:w="1302" w:type="dxa"/>
            <w:tcBorders>
              <w:top w:val="single" w:sz="4" w:space="0" w:color="auto"/>
              <w:left w:val="single" w:sz="4" w:space="0" w:color="BFBFBF"/>
              <w:bottom w:val="single" w:sz="4" w:space="0" w:color="auto"/>
              <w:right w:val="single" w:sz="4" w:space="0" w:color="BFBFBF"/>
            </w:tcBorders>
            <w:shd w:val="clear" w:color="auto" w:fill="auto"/>
            <w:noWrap/>
            <w:vAlign w:val="center"/>
            <w:hideMark/>
          </w:tcPr>
          <w:p w14:paraId="7A33F3CB" w14:textId="77777777" w:rsidR="007F5DB3" w:rsidRPr="00AC4D7B" w:rsidRDefault="007F5DB3" w:rsidP="007F5DB3">
            <w:pPr>
              <w:jc w:val="right"/>
              <w:rPr>
                <w:rFonts w:cs="Arial"/>
                <w:b/>
                <w:bCs/>
                <w:color w:val="000000"/>
              </w:rPr>
            </w:pPr>
            <w:r w:rsidRPr="00AC4D7B">
              <w:rPr>
                <w:rFonts w:cs="Arial"/>
                <w:b/>
                <w:bCs/>
                <w:color w:val="000000"/>
              </w:rPr>
              <w:t xml:space="preserve">111 </w:t>
            </w:r>
          </w:p>
        </w:tc>
        <w:tc>
          <w:tcPr>
            <w:tcW w:w="1303" w:type="dxa"/>
            <w:tcBorders>
              <w:top w:val="single" w:sz="4" w:space="0" w:color="auto"/>
              <w:left w:val="nil"/>
              <w:bottom w:val="single" w:sz="4" w:space="0" w:color="auto"/>
              <w:right w:val="single" w:sz="4" w:space="0" w:color="BFBFBF"/>
            </w:tcBorders>
            <w:shd w:val="clear" w:color="auto" w:fill="auto"/>
            <w:noWrap/>
            <w:vAlign w:val="center"/>
            <w:hideMark/>
          </w:tcPr>
          <w:p w14:paraId="361CAE9A" w14:textId="77777777" w:rsidR="007F5DB3" w:rsidRPr="00AC4D7B" w:rsidRDefault="007F5DB3" w:rsidP="007F5DB3">
            <w:pPr>
              <w:jc w:val="right"/>
              <w:rPr>
                <w:rFonts w:cs="Arial"/>
                <w:b/>
                <w:bCs/>
                <w:color w:val="000000"/>
              </w:rPr>
            </w:pPr>
            <w:r w:rsidRPr="00AC4D7B">
              <w:rPr>
                <w:rFonts w:cs="Arial"/>
                <w:b/>
                <w:bCs/>
                <w:color w:val="000000"/>
              </w:rPr>
              <w:t xml:space="preserve">277 </w:t>
            </w:r>
          </w:p>
        </w:tc>
        <w:tc>
          <w:tcPr>
            <w:tcW w:w="1303" w:type="dxa"/>
            <w:tcBorders>
              <w:top w:val="single" w:sz="4" w:space="0" w:color="auto"/>
              <w:left w:val="nil"/>
              <w:bottom w:val="single" w:sz="4" w:space="0" w:color="auto"/>
              <w:right w:val="single" w:sz="4" w:space="0" w:color="BFBFBF"/>
            </w:tcBorders>
            <w:shd w:val="clear" w:color="auto" w:fill="auto"/>
            <w:noWrap/>
            <w:vAlign w:val="center"/>
            <w:hideMark/>
          </w:tcPr>
          <w:p w14:paraId="05632D87" w14:textId="77777777" w:rsidR="007F5DB3" w:rsidRPr="00AC4D7B" w:rsidRDefault="007F5DB3" w:rsidP="007F5DB3">
            <w:pPr>
              <w:jc w:val="right"/>
              <w:rPr>
                <w:rFonts w:cs="Arial"/>
                <w:b/>
                <w:bCs/>
                <w:color w:val="000000"/>
              </w:rPr>
            </w:pPr>
            <w:r w:rsidRPr="00AC4D7B">
              <w:rPr>
                <w:rFonts w:cs="Arial"/>
                <w:b/>
                <w:bCs/>
                <w:color w:val="000000"/>
              </w:rPr>
              <w:t>(293)</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14:paraId="48D656E1" w14:textId="77777777" w:rsidR="007F5DB3" w:rsidRPr="00AC4D7B" w:rsidRDefault="007F5DB3" w:rsidP="007F5DB3">
            <w:pPr>
              <w:jc w:val="right"/>
              <w:rPr>
                <w:rFonts w:cs="Arial"/>
                <w:b/>
                <w:bCs/>
                <w:color w:val="000000"/>
              </w:rPr>
            </w:pPr>
            <w:r w:rsidRPr="00AC4D7B">
              <w:rPr>
                <w:rFonts w:cs="Arial"/>
                <w:b/>
                <w:bCs/>
                <w:color w:val="000000"/>
              </w:rPr>
              <w:t>(570)</w:t>
            </w:r>
          </w:p>
        </w:tc>
      </w:tr>
      <w:tr w:rsidR="007F5DB3" w:rsidRPr="00AC4D7B" w14:paraId="103649A6" w14:textId="77777777" w:rsidTr="007F5DB3">
        <w:trPr>
          <w:trHeight w:val="285"/>
        </w:trPr>
        <w:tc>
          <w:tcPr>
            <w:tcW w:w="4445" w:type="dxa"/>
            <w:tcBorders>
              <w:top w:val="nil"/>
              <w:left w:val="single" w:sz="4" w:space="0" w:color="auto"/>
              <w:bottom w:val="single" w:sz="4" w:space="0" w:color="auto"/>
              <w:right w:val="nil"/>
            </w:tcBorders>
            <w:shd w:val="clear" w:color="auto" w:fill="auto"/>
            <w:noWrap/>
            <w:vAlign w:val="center"/>
            <w:hideMark/>
          </w:tcPr>
          <w:p w14:paraId="7C7DB0E2" w14:textId="77777777" w:rsidR="007F5DB3" w:rsidRPr="00AC4D7B" w:rsidRDefault="007F5DB3" w:rsidP="007F5DB3">
            <w:pPr>
              <w:rPr>
                <w:rFonts w:cs="Arial"/>
                <w:color w:val="000000"/>
              </w:rPr>
            </w:pPr>
            <w:r w:rsidRPr="00AC4D7B">
              <w:rPr>
                <w:rFonts w:cs="Arial"/>
                <w:color w:val="000000"/>
              </w:rPr>
              <w:t> </w:t>
            </w:r>
          </w:p>
        </w:tc>
        <w:tc>
          <w:tcPr>
            <w:tcW w:w="1302" w:type="dxa"/>
            <w:tcBorders>
              <w:top w:val="nil"/>
              <w:left w:val="single" w:sz="4" w:space="0" w:color="BFBFBF"/>
              <w:bottom w:val="single" w:sz="4" w:space="0" w:color="auto"/>
              <w:right w:val="single" w:sz="4" w:space="0" w:color="BFBFBF"/>
            </w:tcBorders>
            <w:shd w:val="clear" w:color="auto" w:fill="auto"/>
            <w:noWrap/>
            <w:vAlign w:val="center"/>
            <w:hideMark/>
          </w:tcPr>
          <w:p w14:paraId="7CF7C2C3" w14:textId="77777777" w:rsidR="007F5DB3" w:rsidRPr="00AC4D7B" w:rsidRDefault="007F5DB3" w:rsidP="007F5DB3">
            <w:pPr>
              <w:jc w:val="right"/>
              <w:rPr>
                <w:rFonts w:cs="Arial"/>
                <w:color w:val="000000"/>
              </w:rPr>
            </w:pPr>
            <w:r w:rsidRPr="00AC4D7B">
              <w:rPr>
                <w:rFonts w:cs="Arial"/>
                <w:color w:val="000000"/>
              </w:rPr>
              <w:t> </w:t>
            </w:r>
          </w:p>
        </w:tc>
        <w:tc>
          <w:tcPr>
            <w:tcW w:w="1303" w:type="dxa"/>
            <w:tcBorders>
              <w:top w:val="nil"/>
              <w:left w:val="nil"/>
              <w:bottom w:val="single" w:sz="4" w:space="0" w:color="auto"/>
              <w:right w:val="single" w:sz="4" w:space="0" w:color="BFBFBF"/>
            </w:tcBorders>
            <w:shd w:val="clear" w:color="auto" w:fill="auto"/>
            <w:noWrap/>
            <w:vAlign w:val="center"/>
            <w:hideMark/>
          </w:tcPr>
          <w:p w14:paraId="47F7AC00" w14:textId="77777777" w:rsidR="007F5DB3" w:rsidRPr="00AC4D7B" w:rsidRDefault="007F5DB3" w:rsidP="007F5DB3">
            <w:pPr>
              <w:jc w:val="right"/>
              <w:rPr>
                <w:rFonts w:cs="Arial"/>
                <w:color w:val="000000"/>
              </w:rPr>
            </w:pPr>
            <w:r w:rsidRPr="00AC4D7B">
              <w:rPr>
                <w:rFonts w:cs="Arial"/>
                <w:color w:val="000000"/>
              </w:rPr>
              <w:t> </w:t>
            </w:r>
          </w:p>
        </w:tc>
        <w:tc>
          <w:tcPr>
            <w:tcW w:w="1303" w:type="dxa"/>
            <w:tcBorders>
              <w:top w:val="nil"/>
              <w:left w:val="nil"/>
              <w:bottom w:val="single" w:sz="4" w:space="0" w:color="auto"/>
              <w:right w:val="single" w:sz="4" w:space="0" w:color="BFBFBF"/>
            </w:tcBorders>
            <w:shd w:val="clear" w:color="auto" w:fill="auto"/>
            <w:noWrap/>
            <w:vAlign w:val="center"/>
            <w:hideMark/>
          </w:tcPr>
          <w:p w14:paraId="038E4AE7" w14:textId="77777777" w:rsidR="007F5DB3" w:rsidRPr="00AC4D7B" w:rsidRDefault="007F5DB3" w:rsidP="007F5DB3">
            <w:pPr>
              <w:jc w:val="right"/>
              <w:rPr>
                <w:rFonts w:cs="Arial"/>
                <w:color w:val="000000"/>
              </w:rPr>
            </w:pPr>
            <w:r w:rsidRPr="00AC4D7B">
              <w:rPr>
                <w:rFonts w:cs="Arial"/>
                <w:color w:val="000000"/>
              </w:rPr>
              <w:t> </w:t>
            </w:r>
          </w:p>
        </w:tc>
        <w:tc>
          <w:tcPr>
            <w:tcW w:w="1307" w:type="dxa"/>
            <w:tcBorders>
              <w:top w:val="nil"/>
              <w:left w:val="nil"/>
              <w:bottom w:val="single" w:sz="4" w:space="0" w:color="auto"/>
              <w:right w:val="single" w:sz="4" w:space="0" w:color="auto"/>
            </w:tcBorders>
            <w:shd w:val="clear" w:color="auto" w:fill="auto"/>
            <w:noWrap/>
            <w:vAlign w:val="center"/>
            <w:hideMark/>
          </w:tcPr>
          <w:p w14:paraId="04DC3DAA" w14:textId="77777777" w:rsidR="007F5DB3" w:rsidRPr="00AC4D7B" w:rsidRDefault="007F5DB3" w:rsidP="007F5DB3">
            <w:pPr>
              <w:jc w:val="right"/>
              <w:rPr>
                <w:rFonts w:cs="Arial"/>
                <w:color w:val="000000"/>
              </w:rPr>
            </w:pPr>
            <w:r w:rsidRPr="00AC4D7B">
              <w:rPr>
                <w:rFonts w:cs="Arial"/>
                <w:color w:val="000000"/>
              </w:rPr>
              <w:t> </w:t>
            </w:r>
          </w:p>
        </w:tc>
      </w:tr>
    </w:tbl>
    <w:p w14:paraId="0DB42333" w14:textId="77777777" w:rsidR="007F5DB3" w:rsidRPr="00AC4D7B" w:rsidRDefault="007F5DB3" w:rsidP="007F5DB3">
      <w:pPr>
        <w:rPr>
          <w:rFonts w:cs="Arial"/>
          <w:szCs w:val="22"/>
        </w:rPr>
      </w:pPr>
    </w:p>
    <w:p w14:paraId="52B7105A" w14:textId="77777777" w:rsidR="007F5DB3" w:rsidRPr="00AC4D7B" w:rsidRDefault="007F5DB3" w:rsidP="007F5DB3">
      <w:pPr>
        <w:rPr>
          <w:rFonts w:cs="Arial"/>
          <w:szCs w:val="22"/>
        </w:rPr>
      </w:pPr>
    </w:p>
    <w:p w14:paraId="53FB28B5" w14:textId="77777777" w:rsidR="007F5DB3" w:rsidRPr="00AC4D7B" w:rsidRDefault="007F5DB3" w:rsidP="007F5DB3">
      <w:pPr>
        <w:rPr>
          <w:rFonts w:cs="Arial"/>
          <w:szCs w:val="22"/>
        </w:rPr>
      </w:pPr>
      <w:r w:rsidRPr="00AC4D7B">
        <w:rPr>
          <w:rFonts w:cs="Arial"/>
          <w:szCs w:val="22"/>
        </w:rPr>
        <w:t>It was approved to utilise the underspend as follows:</w:t>
      </w:r>
    </w:p>
    <w:p w14:paraId="655583B0" w14:textId="77777777" w:rsidR="007F5DB3" w:rsidRPr="00AC4D7B" w:rsidRDefault="007F5DB3" w:rsidP="007F5DB3">
      <w:pPr>
        <w:pStyle w:val="ListParagraph"/>
        <w:numPr>
          <w:ilvl w:val="1"/>
          <w:numId w:val="51"/>
        </w:numPr>
        <w:contextualSpacing/>
        <w:jc w:val="left"/>
      </w:pPr>
      <w:r w:rsidRPr="00AC4D7B">
        <w:t>Transfer £100k into the Local Plans reserve to provide sufficient funding up to 2023/24</w:t>
      </w:r>
    </w:p>
    <w:p w14:paraId="1CA9F246" w14:textId="77777777" w:rsidR="007F5DB3" w:rsidRPr="00AC4D7B" w:rsidRDefault="007F5DB3" w:rsidP="007F5DB3">
      <w:pPr>
        <w:pStyle w:val="ListParagraph"/>
        <w:numPr>
          <w:ilvl w:val="1"/>
          <w:numId w:val="51"/>
        </w:numPr>
        <w:contextualSpacing/>
        <w:jc w:val="left"/>
      </w:pPr>
      <w:r w:rsidRPr="00AC4D7B">
        <w:t>Create a new £400k Asset Maintenance Reserve to pay for potential future maintenance costs and part fund future capital expenditure on short-life assets such as ICT and vehicles.</w:t>
      </w:r>
    </w:p>
    <w:p w14:paraId="3EC01A28" w14:textId="77777777" w:rsidR="007F5DB3" w:rsidRPr="00AC4D7B" w:rsidRDefault="007F5DB3" w:rsidP="007F5DB3">
      <w:pPr>
        <w:pStyle w:val="ListParagraph"/>
        <w:numPr>
          <w:ilvl w:val="1"/>
          <w:numId w:val="51"/>
        </w:numPr>
        <w:contextualSpacing/>
        <w:jc w:val="left"/>
      </w:pPr>
      <w:r w:rsidRPr="00AC4D7B">
        <w:t>Create a £250k Income Investment Reserve to cover costs of developing new income generation projects which may not be able to be capitalised.</w:t>
      </w:r>
    </w:p>
    <w:p w14:paraId="6AB8493E" w14:textId="77777777" w:rsidR="007F5DB3" w:rsidRPr="00AC4D7B" w:rsidRDefault="007F5DB3" w:rsidP="007F5DB3">
      <w:pPr>
        <w:pStyle w:val="ListParagraph"/>
        <w:numPr>
          <w:ilvl w:val="1"/>
          <w:numId w:val="51"/>
        </w:numPr>
        <w:contextualSpacing/>
        <w:jc w:val="left"/>
      </w:pPr>
      <w:r w:rsidRPr="00AC4D7B">
        <w:t xml:space="preserve">Transfer an additional £168k to the </w:t>
      </w:r>
      <w:proofErr w:type="spellStart"/>
      <w:r w:rsidRPr="00AC4D7B">
        <w:t>Covid</w:t>
      </w:r>
      <w:proofErr w:type="spellEnd"/>
      <w:r w:rsidRPr="00AC4D7B">
        <w:t xml:space="preserve"> Recovery Fund.  </w:t>
      </w:r>
    </w:p>
    <w:p w14:paraId="112FE01B" w14:textId="77777777" w:rsidR="007F5DB3" w:rsidRPr="00AC4D7B" w:rsidRDefault="007F5DB3" w:rsidP="007F5DB3">
      <w:pPr>
        <w:rPr>
          <w:rFonts w:cs="Arial"/>
          <w:szCs w:val="22"/>
        </w:rPr>
      </w:pPr>
    </w:p>
    <w:p w14:paraId="74B53469" w14:textId="77777777" w:rsidR="007F5DB3" w:rsidRPr="00AC4D7B" w:rsidRDefault="007F5DB3" w:rsidP="007F5DB3">
      <w:pPr>
        <w:rPr>
          <w:rFonts w:cs="Arial"/>
          <w:szCs w:val="22"/>
        </w:rPr>
      </w:pPr>
      <w:r w:rsidRPr="00AC4D7B">
        <w:rPr>
          <w:rFonts w:cs="Arial"/>
          <w:szCs w:val="22"/>
        </w:rPr>
        <w:t xml:space="preserve">The outturn position will be considered as part of the update of the Council’s </w:t>
      </w:r>
      <w:proofErr w:type="gramStart"/>
      <w:r w:rsidRPr="00AC4D7B">
        <w:rPr>
          <w:rFonts w:cs="Arial"/>
          <w:szCs w:val="22"/>
        </w:rPr>
        <w:t>Medium Term</w:t>
      </w:r>
      <w:proofErr w:type="gramEnd"/>
      <w:r w:rsidRPr="00AC4D7B">
        <w:rPr>
          <w:rFonts w:cs="Arial"/>
          <w:szCs w:val="22"/>
        </w:rPr>
        <w:t xml:space="preserve"> Financial Strategy (MTFS) to ensure that ongoing additional income</w:t>
      </w:r>
      <w:r>
        <w:rPr>
          <w:rFonts w:cs="Arial"/>
          <w:szCs w:val="22"/>
        </w:rPr>
        <w:t>,</w:t>
      </w:r>
      <w:r w:rsidRPr="00AC4D7B">
        <w:rPr>
          <w:rFonts w:cs="Arial"/>
          <w:szCs w:val="22"/>
        </w:rPr>
        <w:t xml:space="preserve"> or reduced expenditure</w:t>
      </w:r>
      <w:r>
        <w:rPr>
          <w:rFonts w:cs="Arial"/>
          <w:szCs w:val="22"/>
        </w:rPr>
        <w:t>,</w:t>
      </w:r>
      <w:r w:rsidRPr="00AC4D7B">
        <w:rPr>
          <w:rFonts w:cs="Arial"/>
          <w:szCs w:val="22"/>
        </w:rPr>
        <w:t xml:space="preserve"> is fully reflected in the strategy. </w:t>
      </w:r>
    </w:p>
    <w:p w14:paraId="66A8A0B8" w14:textId="77777777" w:rsidR="007F5DB3" w:rsidRPr="00AC4D7B" w:rsidRDefault="007F5DB3" w:rsidP="007F5DB3">
      <w:pPr>
        <w:rPr>
          <w:rFonts w:cs="Arial"/>
          <w:color w:val="365F91" w:themeColor="accent1" w:themeShade="BF"/>
          <w:szCs w:val="22"/>
          <w:highlight w:val="yellow"/>
        </w:rPr>
      </w:pPr>
    </w:p>
    <w:p w14:paraId="6E2AA75B" w14:textId="77777777" w:rsidR="007F5DB3" w:rsidRPr="00AC4D7B" w:rsidRDefault="007F5DB3" w:rsidP="007F5DB3">
      <w:pPr>
        <w:rPr>
          <w:rFonts w:cs="Arial"/>
          <w:szCs w:val="22"/>
        </w:rPr>
      </w:pPr>
      <w:r w:rsidRPr="00AC4D7B">
        <w:rPr>
          <w:rFonts w:cs="Arial"/>
          <w:szCs w:val="22"/>
        </w:rPr>
        <w:t xml:space="preserve">In recent years austerity measures have been implemented by Central Government to reduce overall public sector spending. This has resulted in changes in the way the Council is funded and has seen the withdrawal of central government grants including the revenue support grant and, in the future, the </w:t>
      </w:r>
      <w:r>
        <w:rPr>
          <w:rFonts w:cs="Arial"/>
          <w:szCs w:val="22"/>
        </w:rPr>
        <w:t xml:space="preserve">anticipated </w:t>
      </w:r>
      <w:r w:rsidRPr="00AC4D7B">
        <w:rPr>
          <w:rFonts w:cs="Arial"/>
          <w:szCs w:val="22"/>
        </w:rPr>
        <w:t xml:space="preserve">withdrawal of New Homes Bonus. This has been in part replaced by </w:t>
      </w:r>
      <w:r>
        <w:rPr>
          <w:rFonts w:cs="Arial"/>
          <w:szCs w:val="22"/>
        </w:rPr>
        <w:t xml:space="preserve">an </w:t>
      </w:r>
      <w:r w:rsidRPr="00AC4D7B">
        <w:rPr>
          <w:rFonts w:cs="Arial"/>
          <w:szCs w:val="22"/>
        </w:rPr>
        <w:t>increase</w:t>
      </w:r>
      <w:r>
        <w:rPr>
          <w:rFonts w:cs="Arial"/>
          <w:szCs w:val="22"/>
        </w:rPr>
        <w:t xml:space="preserve"> in</w:t>
      </w:r>
      <w:r w:rsidRPr="00AC4D7B">
        <w:rPr>
          <w:rFonts w:cs="Arial"/>
          <w:szCs w:val="22"/>
        </w:rPr>
        <w:t xml:space="preserve"> locally retained business rates a</w:t>
      </w:r>
      <w:r>
        <w:rPr>
          <w:rFonts w:cs="Arial"/>
          <w:szCs w:val="22"/>
        </w:rPr>
        <w:t>s</w:t>
      </w:r>
      <w:r w:rsidRPr="00AC4D7B">
        <w:rPr>
          <w:rFonts w:cs="Arial"/>
          <w:szCs w:val="22"/>
        </w:rPr>
        <w:t xml:space="preserve"> the Council, as part of the Lancashire Business Rate Pooling arrangement, benefits annually by approximately £1.6m per annum through this pooling. </w:t>
      </w:r>
    </w:p>
    <w:p w14:paraId="75633934" w14:textId="77777777" w:rsidR="007F5DB3" w:rsidRPr="00AC4D7B" w:rsidRDefault="007F5DB3" w:rsidP="007F5DB3">
      <w:pPr>
        <w:rPr>
          <w:rFonts w:cs="Arial"/>
          <w:szCs w:val="22"/>
        </w:rPr>
      </w:pPr>
    </w:p>
    <w:p w14:paraId="7A967680" w14:textId="77777777" w:rsidR="007F5DB3" w:rsidRPr="00AC4D7B" w:rsidRDefault="007F5DB3" w:rsidP="007F5DB3">
      <w:pPr>
        <w:rPr>
          <w:rFonts w:cs="Arial"/>
          <w:szCs w:val="22"/>
        </w:rPr>
      </w:pPr>
      <w:r w:rsidRPr="00AC4D7B">
        <w:rPr>
          <w:rFonts w:cs="Arial"/>
          <w:szCs w:val="22"/>
        </w:rPr>
        <w:t>There is risk and uncertainty in relation to future years funding, not only because it is directly linked to growth in the borough, but also pending the outcome of Central Government’s Fair Funding review and any potential reset to the business rates retention system.  The implementation of these was delayed for 2021/22 due to government</w:t>
      </w:r>
      <w:r>
        <w:rPr>
          <w:rFonts w:cs="Arial"/>
          <w:szCs w:val="22"/>
        </w:rPr>
        <w:t>’s focus</w:t>
      </w:r>
      <w:r w:rsidRPr="00AC4D7B">
        <w:rPr>
          <w:rFonts w:cs="Arial"/>
          <w:szCs w:val="22"/>
        </w:rPr>
        <w:t xml:space="preserve"> on BREXIT and the Covid-19 pandemic. However, uncertainty remains regarding the implementation of the business rates baseline reset, which may have a major impact on the council’s future income from business rates. It is assumed in the budget that the Council will lose its benefit from </w:t>
      </w:r>
      <w:r>
        <w:rPr>
          <w:rFonts w:cs="Arial"/>
          <w:szCs w:val="22"/>
        </w:rPr>
        <w:t>membership of the Lancashire Business Rates Pool</w:t>
      </w:r>
      <w:r w:rsidRPr="00AC4D7B">
        <w:rPr>
          <w:rFonts w:cs="Arial"/>
          <w:szCs w:val="22"/>
        </w:rPr>
        <w:t xml:space="preserve"> over a </w:t>
      </w:r>
      <w:proofErr w:type="gramStart"/>
      <w:r w:rsidRPr="00AC4D7B">
        <w:rPr>
          <w:rFonts w:cs="Arial"/>
          <w:szCs w:val="22"/>
        </w:rPr>
        <w:t>two year</w:t>
      </w:r>
      <w:proofErr w:type="gramEnd"/>
      <w:r w:rsidRPr="00AC4D7B">
        <w:rPr>
          <w:rFonts w:cs="Arial"/>
          <w:szCs w:val="22"/>
        </w:rPr>
        <w:t xml:space="preserve"> period</w:t>
      </w:r>
      <w:r>
        <w:rPr>
          <w:rFonts w:cs="Arial"/>
          <w:szCs w:val="22"/>
        </w:rPr>
        <w:t>,</w:t>
      </w:r>
      <w:r w:rsidRPr="00AC4D7B">
        <w:rPr>
          <w:rFonts w:cs="Arial"/>
          <w:szCs w:val="22"/>
        </w:rPr>
        <w:t xml:space="preserve"> however this will be reviewed when further Government announcements are made.</w:t>
      </w:r>
    </w:p>
    <w:p w14:paraId="794CFB04" w14:textId="77777777" w:rsidR="007F5DB3" w:rsidRPr="00AC4D7B" w:rsidRDefault="007F5DB3" w:rsidP="007F5DB3">
      <w:pPr>
        <w:rPr>
          <w:rFonts w:cs="Arial"/>
          <w:color w:val="365F91" w:themeColor="accent1" w:themeShade="BF"/>
          <w:szCs w:val="22"/>
          <w:highlight w:val="yellow"/>
        </w:rPr>
      </w:pPr>
      <w:r w:rsidRPr="00AC4D7B">
        <w:rPr>
          <w:rFonts w:cs="Arial"/>
          <w:color w:val="365F91" w:themeColor="accent1" w:themeShade="BF"/>
          <w:szCs w:val="22"/>
          <w:highlight w:val="yellow"/>
        </w:rPr>
        <w:t xml:space="preserve"> </w:t>
      </w:r>
    </w:p>
    <w:p w14:paraId="1946C5A9" w14:textId="77777777" w:rsidR="007F5DB3" w:rsidRPr="00AC4D7B" w:rsidRDefault="007F5DB3" w:rsidP="007F5DB3">
      <w:pPr>
        <w:rPr>
          <w:rFonts w:cs="Arial"/>
          <w:szCs w:val="22"/>
        </w:rPr>
      </w:pPr>
      <w:proofErr w:type="gramStart"/>
      <w:r w:rsidRPr="00AC4D7B">
        <w:rPr>
          <w:rFonts w:cs="Arial"/>
          <w:szCs w:val="22"/>
        </w:rPr>
        <w:t>In light of</w:t>
      </w:r>
      <w:proofErr w:type="gramEnd"/>
      <w:r w:rsidRPr="00AC4D7B">
        <w:rPr>
          <w:rFonts w:cs="Arial"/>
          <w:szCs w:val="22"/>
        </w:rPr>
        <w:t xml:space="preserve"> this, and the fact that Council Tax is the major source of funding for local services, it is essential that </w:t>
      </w:r>
      <w:r>
        <w:rPr>
          <w:rFonts w:cs="Arial"/>
          <w:szCs w:val="22"/>
        </w:rPr>
        <w:t xml:space="preserve">all </w:t>
      </w:r>
      <w:r w:rsidRPr="00AC4D7B">
        <w:rPr>
          <w:rFonts w:cs="Arial"/>
          <w:szCs w:val="22"/>
        </w:rPr>
        <w:t xml:space="preserve">councils monitor their collection rates and raise as much income as possible. Any under recovery of income can have a significant impact on the ability of a </w:t>
      </w:r>
      <w:r>
        <w:rPr>
          <w:rFonts w:cs="Arial"/>
          <w:szCs w:val="22"/>
        </w:rPr>
        <w:t>C</w:t>
      </w:r>
      <w:r w:rsidRPr="00AC4D7B">
        <w:rPr>
          <w:rFonts w:cs="Arial"/>
          <w:szCs w:val="22"/>
        </w:rPr>
        <w:t xml:space="preserve">ouncil to fund its service delivery. South </w:t>
      </w:r>
      <w:proofErr w:type="spellStart"/>
      <w:r w:rsidRPr="00AC4D7B">
        <w:rPr>
          <w:rFonts w:cs="Arial"/>
          <w:szCs w:val="22"/>
        </w:rPr>
        <w:t>Ribble</w:t>
      </w:r>
      <w:proofErr w:type="spellEnd"/>
      <w:r w:rsidRPr="00AC4D7B">
        <w:rPr>
          <w:rFonts w:cs="Arial"/>
          <w:szCs w:val="22"/>
        </w:rPr>
        <w:t xml:space="preserve"> continues to perform well in this area, despite the effect of Covid-19 on businesses and residents, with collection rates of 96.84% for council tax and 95.20% for business rates in 2020/21. These collection rates were understandably lower in 2020/21 than 2019/20 </w:t>
      </w:r>
      <w:r>
        <w:rPr>
          <w:rFonts w:cs="Arial"/>
          <w:szCs w:val="22"/>
        </w:rPr>
        <w:t>and will be monitored closely as part of the Council’s performance management framework during 2021/22.</w:t>
      </w:r>
      <w:r w:rsidRPr="00AC4D7B">
        <w:rPr>
          <w:rFonts w:cs="Arial"/>
          <w:szCs w:val="22"/>
        </w:rPr>
        <w:t xml:space="preserve"> </w:t>
      </w:r>
    </w:p>
    <w:p w14:paraId="4B19ABF3" w14:textId="77777777" w:rsidR="007F5DB3" w:rsidRPr="00AC4D7B" w:rsidRDefault="007F5DB3" w:rsidP="007F5DB3">
      <w:pPr>
        <w:rPr>
          <w:rFonts w:cs="Arial"/>
          <w:szCs w:val="22"/>
          <w:highlight w:val="yellow"/>
        </w:rPr>
      </w:pPr>
    </w:p>
    <w:p w14:paraId="32E67506" w14:textId="77777777" w:rsidR="007F5DB3" w:rsidRDefault="007F5DB3" w:rsidP="007F5DB3">
      <w:pPr>
        <w:rPr>
          <w:rFonts w:cs="Arial"/>
          <w:szCs w:val="22"/>
        </w:rPr>
      </w:pPr>
      <w:r w:rsidRPr="00AC4D7B">
        <w:rPr>
          <w:rFonts w:cs="Arial"/>
          <w:szCs w:val="22"/>
        </w:rPr>
        <w:t>Total reserves for the Council were £27.149m by the end of 2020/21 of which £4.141m is held in a general reserve. The remaining reserves are earmarked for specific programmes of work or costs that are known to the Council. Monitoring of reserves will continue to ensure they remain appropriate and reflect the level of risk that exists around unplanned/unforeseen expenditure or loss of income. A detailed breakdown of the individual reserves held is shown in Note 11 of the Statement of Accounts.</w:t>
      </w:r>
      <w:r>
        <w:rPr>
          <w:rFonts w:cs="Arial"/>
          <w:szCs w:val="22"/>
        </w:rPr>
        <w:t xml:space="preserve"> It should be noted that although reserves have increased by £6.336m since 2019/20, £5.244m was due to the receipt of business rates relief support that will be applied in 2021/22. In addition, the Council has set aside £1.329m of Covid-19 specific reserves to enable the Council to respond to the pandemic in 2021/22 onwards.</w:t>
      </w:r>
    </w:p>
    <w:p w14:paraId="4E2448A9" w14:textId="77777777" w:rsidR="007F5DB3" w:rsidRDefault="007F5DB3" w:rsidP="007F5DB3">
      <w:pPr>
        <w:rPr>
          <w:rFonts w:cs="Arial"/>
          <w:szCs w:val="22"/>
        </w:rPr>
      </w:pPr>
    </w:p>
    <w:p w14:paraId="6104614C" w14:textId="77777777" w:rsidR="007F5DB3" w:rsidRDefault="007F5DB3" w:rsidP="007F5DB3">
      <w:pPr>
        <w:rPr>
          <w:rFonts w:cs="Arial"/>
          <w:szCs w:val="22"/>
        </w:rPr>
      </w:pPr>
      <w:r>
        <w:rPr>
          <w:rFonts w:cs="Arial"/>
          <w:szCs w:val="22"/>
        </w:rPr>
        <w:t>The following table shows the reconciliation between the outturn position shown above and the movement for the year shown in the Expenditure and Funding Analysis (EFA), which forms Note 1 to the Statement of Accounts:</w:t>
      </w:r>
    </w:p>
    <w:p w14:paraId="00157BA7" w14:textId="77777777" w:rsidR="007F5DB3" w:rsidRDefault="007F5DB3" w:rsidP="007F5DB3">
      <w:pPr>
        <w:rPr>
          <w:rFonts w:cs="Arial"/>
          <w:szCs w:val="22"/>
        </w:rPr>
      </w:pPr>
    </w:p>
    <w:p w14:paraId="53355D61" w14:textId="77777777" w:rsidR="007F5DB3" w:rsidRDefault="007F5DB3" w:rsidP="007F5DB3">
      <w:pPr>
        <w:rPr>
          <w:rFonts w:cs="Arial"/>
          <w:szCs w:val="22"/>
        </w:rPr>
      </w:pPr>
      <w:r>
        <w:rPr>
          <w:rFonts w:cs="Arial"/>
          <w:szCs w:val="22"/>
        </w:rPr>
        <w:object w:dxaOrig="6194" w:dyaOrig="3313" w14:anchorId="4617C6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75pt;height:165.75pt" o:ole="">
            <v:imagedata r:id="rId38" o:title=""/>
          </v:shape>
          <o:OLEObject Type="Embed" ProgID="Excel.Sheet.12" ShapeID="_x0000_i1025" DrawAspect="Content" ObjectID="_1688284824" r:id="rId39"/>
        </w:object>
      </w:r>
    </w:p>
    <w:p w14:paraId="414C366B" w14:textId="77777777" w:rsidR="007F5DB3" w:rsidRDefault="007F5DB3" w:rsidP="007F5DB3">
      <w:pPr>
        <w:rPr>
          <w:rFonts w:cs="Arial"/>
          <w:szCs w:val="22"/>
        </w:rPr>
      </w:pPr>
    </w:p>
    <w:p w14:paraId="23D088BB" w14:textId="77777777" w:rsidR="007F5DB3" w:rsidRDefault="007F5DB3" w:rsidP="007F5DB3">
      <w:pPr>
        <w:rPr>
          <w:rFonts w:cs="Arial"/>
          <w:szCs w:val="22"/>
        </w:rPr>
      </w:pPr>
    </w:p>
    <w:p w14:paraId="45C17685" w14:textId="77777777" w:rsidR="00254922" w:rsidRDefault="00254922">
      <w:pPr>
        <w:jc w:val="left"/>
        <w:rPr>
          <w:rFonts w:cs="Arial"/>
          <w:szCs w:val="22"/>
        </w:rPr>
      </w:pPr>
      <w:r>
        <w:rPr>
          <w:rFonts w:cs="Arial"/>
          <w:szCs w:val="22"/>
        </w:rPr>
        <w:br w:type="page"/>
      </w:r>
    </w:p>
    <w:p w14:paraId="121A29F4" w14:textId="7B4CA0CB" w:rsidR="007F5DB3" w:rsidRPr="00AC4D7B" w:rsidRDefault="007F5DB3" w:rsidP="007F5DB3">
      <w:pPr>
        <w:rPr>
          <w:rFonts w:cs="Arial"/>
          <w:szCs w:val="22"/>
        </w:rPr>
      </w:pPr>
      <w:r w:rsidRPr="00AC4D7B">
        <w:rPr>
          <w:rFonts w:cs="Arial"/>
          <w:szCs w:val="22"/>
        </w:rPr>
        <w:t>The following charts show where the Council’s money came from and how it was spent on services:</w:t>
      </w:r>
    </w:p>
    <w:p w14:paraId="10C83C14" w14:textId="29ECA003" w:rsidR="007F5DB3" w:rsidRDefault="007F5DB3" w:rsidP="007F5DB3">
      <w:pPr>
        <w:jc w:val="left"/>
      </w:pPr>
    </w:p>
    <w:p w14:paraId="6CB574D9" w14:textId="77777777" w:rsidR="007F5DB3" w:rsidRPr="00C95BCC" w:rsidRDefault="007F5DB3" w:rsidP="007F5DB3">
      <w:pPr>
        <w:rPr>
          <w:rFonts w:cs="Arial"/>
          <w:szCs w:val="22"/>
          <w:highlight w:val="yellow"/>
        </w:rPr>
      </w:pPr>
      <w:r>
        <w:rPr>
          <w:noProof/>
        </w:rPr>
        <w:drawing>
          <wp:inline distT="0" distB="0" distL="0" distR="0" wp14:anchorId="349FA8BF" wp14:editId="6C1977B5">
            <wp:extent cx="6120130" cy="3672205"/>
            <wp:effectExtent l="0" t="0" r="0" b="4445"/>
            <wp:docPr id="2" name="Chart 2">
              <a:extLst xmlns:a="http://schemas.openxmlformats.org/drawingml/2006/main">
                <a:ext uri="{FF2B5EF4-FFF2-40B4-BE49-F238E27FC236}">
                  <a16:creationId xmlns:a16="http://schemas.microsoft.com/office/drawing/2014/main" id="{16717820-B194-4E66-B517-C06EB27C7D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850A1C5" w14:textId="77777777" w:rsidR="007F5DB3" w:rsidRPr="00C95BCC" w:rsidRDefault="007F5DB3" w:rsidP="007F5DB3">
      <w:pPr>
        <w:rPr>
          <w:rFonts w:cs="Arial"/>
          <w:szCs w:val="22"/>
          <w:highlight w:val="yellow"/>
        </w:rPr>
      </w:pPr>
    </w:p>
    <w:p w14:paraId="185ABCA3" w14:textId="77777777" w:rsidR="007F5DB3" w:rsidRPr="00AC4D7B" w:rsidRDefault="007F5DB3" w:rsidP="007F5DB3">
      <w:pPr>
        <w:rPr>
          <w:rFonts w:cs="Arial"/>
          <w:szCs w:val="22"/>
        </w:rPr>
      </w:pPr>
      <w:r>
        <w:rPr>
          <w:noProof/>
        </w:rPr>
        <w:drawing>
          <wp:inline distT="0" distB="0" distL="0" distR="0" wp14:anchorId="2812502B" wp14:editId="619A4D5F">
            <wp:extent cx="6120130" cy="3672205"/>
            <wp:effectExtent l="0" t="0" r="0" b="4445"/>
            <wp:docPr id="3" name="Chart 3">
              <a:extLst xmlns:a="http://schemas.openxmlformats.org/drawingml/2006/main">
                <a:ext uri="{FF2B5EF4-FFF2-40B4-BE49-F238E27FC236}">
                  <a16:creationId xmlns:a16="http://schemas.microsoft.com/office/drawing/2014/main" id="{47885A81-B342-4A0E-B919-F98A3074B2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C038A49" w14:textId="77777777" w:rsidR="007F5DB3" w:rsidRPr="00AC4D7B" w:rsidRDefault="007F5DB3" w:rsidP="007F5DB3">
      <w:pPr>
        <w:rPr>
          <w:rFonts w:cs="Arial"/>
          <w:szCs w:val="22"/>
        </w:rPr>
      </w:pPr>
    </w:p>
    <w:p w14:paraId="5EDD00E3" w14:textId="77777777" w:rsidR="007F5DB3" w:rsidRPr="00AC4D7B" w:rsidRDefault="007F5DB3" w:rsidP="007F5DB3">
      <w:pPr>
        <w:rPr>
          <w:rFonts w:cs="Arial"/>
          <w:szCs w:val="22"/>
        </w:rPr>
      </w:pPr>
    </w:p>
    <w:p w14:paraId="5F77F3BB" w14:textId="77777777" w:rsidR="007F5DB3" w:rsidRPr="00AC4D7B" w:rsidRDefault="007F5DB3" w:rsidP="007F5DB3">
      <w:pPr>
        <w:rPr>
          <w:rFonts w:cs="Arial"/>
          <w:szCs w:val="22"/>
          <w:highlight w:val="yellow"/>
        </w:rPr>
      </w:pPr>
    </w:p>
    <w:p w14:paraId="17CE4306" w14:textId="77777777" w:rsidR="007F5DB3" w:rsidRPr="00AC4D7B" w:rsidRDefault="007F5DB3" w:rsidP="007F5DB3">
      <w:pPr>
        <w:rPr>
          <w:rFonts w:cs="Arial"/>
          <w:szCs w:val="22"/>
          <w:highlight w:val="yellow"/>
        </w:rPr>
      </w:pPr>
    </w:p>
    <w:p w14:paraId="5EEDFAD8" w14:textId="77777777" w:rsidR="007F5DB3" w:rsidRPr="00AC4D7B" w:rsidRDefault="007F5DB3" w:rsidP="007F5DB3">
      <w:pPr>
        <w:rPr>
          <w:rFonts w:cs="Arial"/>
          <w:szCs w:val="22"/>
          <w:highlight w:val="yellow"/>
        </w:rPr>
      </w:pPr>
    </w:p>
    <w:p w14:paraId="6ABD1D1D" w14:textId="77777777" w:rsidR="007F5DB3" w:rsidRPr="00AC4D7B" w:rsidRDefault="007F5DB3" w:rsidP="007F5DB3">
      <w:pPr>
        <w:rPr>
          <w:rFonts w:cs="Arial"/>
          <w:szCs w:val="22"/>
        </w:rPr>
      </w:pPr>
    </w:p>
    <w:p w14:paraId="7412C9E8" w14:textId="77777777" w:rsidR="007F5DB3" w:rsidRPr="00AC4D7B" w:rsidRDefault="007F5DB3" w:rsidP="007F5DB3"/>
    <w:p w14:paraId="0FD8CA76" w14:textId="77777777" w:rsidR="007F5DB3" w:rsidRPr="00AC4D7B" w:rsidRDefault="007F5DB3" w:rsidP="007F5DB3"/>
    <w:p w14:paraId="0ADBCA0B" w14:textId="77777777" w:rsidR="007F5DB3" w:rsidRPr="00AC4D7B" w:rsidRDefault="007F5DB3" w:rsidP="007F5DB3">
      <w:pPr>
        <w:rPr>
          <w:rFonts w:cs="Arial"/>
          <w:b/>
          <w:i/>
        </w:rPr>
      </w:pPr>
      <w:r w:rsidRPr="00AC4D7B">
        <w:rPr>
          <w:rFonts w:cs="Arial"/>
          <w:b/>
          <w:i/>
        </w:rPr>
        <w:br w:type="page"/>
      </w:r>
    </w:p>
    <w:p w14:paraId="2CE2ABD0" w14:textId="77777777" w:rsidR="007F5DB3" w:rsidRPr="00AC4D7B" w:rsidRDefault="007F5DB3" w:rsidP="007F5DB3">
      <w:pPr>
        <w:rPr>
          <w:rFonts w:cs="Arial"/>
          <w:b/>
          <w:i/>
        </w:rPr>
      </w:pPr>
      <w:r w:rsidRPr="00AC4D7B">
        <w:rPr>
          <w:rFonts w:cs="Arial"/>
          <w:b/>
          <w:i/>
        </w:rPr>
        <w:t>Capital Programme</w:t>
      </w:r>
    </w:p>
    <w:p w14:paraId="0EE61DA9" w14:textId="77777777" w:rsidR="007F5DB3" w:rsidRPr="00AC4D7B" w:rsidRDefault="007F5DB3" w:rsidP="007F5DB3">
      <w:pPr>
        <w:rPr>
          <w:rFonts w:cs="Arial"/>
          <w:b/>
          <w:i/>
        </w:rPr>
      </w:pPr>
    </w:p>
    <w:p w14:paraId="2D0CA0BB" w14:textId="77777777" w:rsidR="007F5DB3" w:rsidRPr="00AC4D7B" w:rsidRDefault="007F5DB3" w:rsidP="007F5DB3">
      <w:r w:rsidRPr="00AC4D7B">
        <w:t xml:space="preserve">In February </w:t>
      </w:r>
      <w:r>
        <w:t>2020</w:t>
      </w:r>
      <w:r w:rsidRPr="00AC4D7B">
        <w:t xml:space="preserve"> the Council approved a 4-year capital strategy of £</w:t>
      </w:r>
      <w:r>
        <w:t>57.930m</w:t>
      </w:r>
      <w:r w:rsidRPr="00AC4D7B">
        <w:t>.  This programme deliver</w:t>
      </w:r>
      <w:r>
        <w:t>s</w:t>
      </w:r>
      <w:r w:rsidRPr="00AC4D7B">
        <w:t xml:space="preserve"> </w:t>
      </w:r>
      <w:proofErr w:type="gramStart"/>
      <w:r w:rsidRPr="00AC4D7B">
        <w:t>a number of</w:t>
      </w:r>
      <w:proofErr w:type="gramEnd"/>
      <w:r w:rsidRPr="00AC4D7B">
        <w:t xml:space="preserve"> key projects to the benefit of the residents of South </w:t>
      </w:r>
      <w:proofErr w:type="spellStart"/>
      <w:r w:rsidRPr="00AC4D7B">
        <w:t>Ribble</w:t>
      </w:r>
      <w:proofErr w:type="spellEnd"/>
      <w:r w:rsidRPr="00AC4D7B">
        <w:t>:</w:t>
      </w:r>
    </w:p>
    <w:p w14:paraId="587EF296" w14:textId="77777777" w:rsidR="007F5DB3" w:rsidRPr="00AC4D7B" w:rsidRDefault="007F5DB3" w:rsidP="007F5DB3"/>
    <w:p w14:paraId="192D375E" w14:textId="77777777" w:rsidR="007F5DB3" w:rsidRDefault="007F5DB3" w:rsidP="007F5DB3">
      <w:r w:rsidRPr="00AC4D7B">
        <w:t>Health, Leisure and Wellbeing Programme</w:t>
      </w:r>
      <w:r>
        <w:t xml:space="preserve"> (£31.442mm)</w:t>
      </w:r>
      <w:r w:rsidRPr="00AC4D7B">
        <w:t xml:space="preserve"> </w:t>
      </w:r>
      <w:r>
        <w:t>includes</w:t>
      </w:r>
      <w:r w:rsidRPr="00AC4D7B">
        <w:t xml:space="preserve"> upgrades to key green infrastructure sites, updating existing leisure assets and facilities, a new leisure facility and a sports pitch hub with artificial grass pitches.  </w:t>
      </w:r>
    </w:p>
    <w:p w14:paraId="76B1C093" w14:textId="77777777" w:rsidR="007F5DB3" w:rsidRPr="00AC4D7B" w:rsidRDefault="007F5DB3" w:rsidP="007F5DB3"/>
    <w:p w14:paraId="1C35C6C8" w14:textId="77777777" w:rsidR="007F5DB3" w:rsidRDefault="007F5DB3" w:rsidP="007F5DB3">
      <w:r w:rsidRPr="00AC4D7B">
        <w:t>Master planning and regeneration of key strategic sites</w:t>
      </w:r>
      <w:r>
        <w:t xml:space="preserve"> (£20.472m) offers</w:t>
      </w:r>
      <w:r w:rsidRPr="00AC4D7B">
        <w:t xml:space="preserve"> more affordable housing, support to vulnerable people through disabled facilities grant and upgrading the condition of the Council’s buildings</w:t>
      </w:r>
    </w:p>
    <w:p w14:paraId="5617B867" w14:textId="77777777" w:rsidR="007F5DB3" w:rsidRPr="00AC4D7B" w:rsidRDefault="007F5DB3" w:rsidP="007F5DB3"/>
    <w:p w14:paraId="670A27C6" w14:textId="77777777" w:rsidR="007F5DB3" w:rsidRDefault="007F5DB3" w:rsidP="007F5DB3">
      <w:r w:rsidRPr="00AC4D7B">
        <w:t xml:space="preserve">Improved and updated ICT systems and technology </w:t>
      </w:r>
      <w:r>
        <w:t xml:space="preserve">(£5.476m) </w:t>
      </w:r>
      <w:r w:rsidRPr="00AC4D7B">
        <w:t xml:space="preserve">including mobile technology, replacement of Council service vehicles and an update to the Civic Centre to create a more commercially focussed facility. </w:t>
      </w:r>
    </w:p>
    <w:p w14:paraId="0BA4C767" w14:textId="77777777" w:rsidR="007F5DB3" w:rsidRPr="00AC4D7B" w:rsidRDefault="007F5DB3" w:rsidP="007F5DB3"/>
    <w:p w14:paraId="4B82602E" w14:textId="77777777" w:rsidR="007F5DB3" w:rsidRPr="00AC4D7B" w:rsidRDefault="007F5DB3" w:rsidP="007F5DB3">
      <w:r w:rsidRPr="00AC4D7B">
        <w:t xml:space="preserve">The capital programme budget for </w:t>
      </w:r>
      <w:r>
        <w:t>2020/21</w:t>
      </w:r>
      <w:r w:rsidRPr="00AC4D7B">
        <w:t xml:space="preserve"> was £</w:t>
      </w:r>
      <w:r>
        <w:t>10.094m</w:t>
      </w:r>
      <w:r w:rsidRPr="00AC4D7B">
        <w:t xml:space="preserve">. With approved slippage from </w:t>
      </w:r>
      <w:r>
        <w:t>2019/20</w:t>
      </w:r>
      <w:r w:rsidRPr="00AC4D7B">
        <w:t xml:space="preserve"> and other subsequent changes, the final budget was £</w:t>
      </w:r>
      <w:r>
        <w:t>9.614m</w:t>
      </w:r>
      <w:r w:rsidRPr="00AC4D7B">
        <w:t>.</w:t>
      </w:r>
    </w:p>
    <w:p w14:paraId="63B0B387" w14:textId="77777777" w:rsidR="007F5DB3" w:rsidRPr="00AC4D7B" w:rsidRDefault="007F5DB3" w:rsidP="007F5DB3"/>
    <w:p w14:paraId="0CE434B0" w14:textId="77777777" w:rsidR="007F5DB3" w:rsidRPr="00AC4D7B" w:rsidRDefault="007F5DB3" w:rsidP="007F5DB3">
      <w:r w:rsidRPr="00AC4D7B">
        <w:t xml:space="preserve">The </w:t>
      </w:r>
      <w:r>
        <w:t xml:space="preserve">draft outturn </w:t>
      </w:r>
      <w:r w:rsidRPr="00AC4D7B">
        <w:t xml:space="preserve">position </w:t>
      </w:r>
      <w:r>
        <w:t>of</w:t>
      </w:r>
      <w:r w:rsidRPr="00AC4D7B">
        <w:t xml:space="preserve"> the </w:t>
      </w:r>
      <w:r>
        <w:t>2020/21</w:t>
      </w:r>
      <w:r w:rsidRPr="00AC4D7B">
        <w:t xml:space="preserve"> capital </w:t>
      </w:r>
      <w:proofErr w:type="spellStart"/>
      <w:r>
        <w:t>progamme</w:t>
      </w:r>
      <w:proofErr w:type="spellEnd"/>
      <w:r w:rsidRPr="00AC4D7B">
        <w:t xml:space="preserve"> is set out in the following table</w:t>
      </w:r>
      <w:r>
        <w:t xml:space="preserve"> and outlined further in appendix C of the outturn report approved </w:t>
      </w:r>
      <w:r w:rsidRPr="00AC4D7B">
        <w:rPr>
          <w:rFonts w:cs="Arial"/>
          <w:szCs w:val="22"/>
        </w:rPr>
        <w:t>Cabinet on 16 June 2021</w:t>
      </w:r>
      <w:r>
        <w:rPr>
          <w:rFonts w:cs="Arial"/>
          <w:szCs w:val="22"/>
        </w:rPr>
        <w:t xml:space="preserve">. </w:t>
      </w:r>
      <w:r w:rsidRPr="00AC4D7B">
        <w:rPr>
          <w:rFonts w:cs="Arial"/>
          <w:szCs w:val="22"/>
        </w:rPr>
        <w:t xml:space="preserve">The report and appendices can be found </w:t>
      </w:r>
      <w:hyperlink r:id="rId42" w:history="1">
        <w:r w:rsidRPr="00AC4D7B">
          <w:rPr>
            <w:rStyle w:val="Hyperlink"/>
            <w:rFonts w:cs="Arial"/>
            <w:szCs w:val="22"/>
          </w:rPr>
          <w:t>here</w:t>
        </w:r>
      </w:hyperlink>
      <w:r w:rsidRPr="00AC4D7B">
        <w:rPr>
          <w:rFonts w:cs="Arial"/>
          <w:szCs w:val="22"/>
        </w:rPr>
        <w:t>.</w:t>
      </w:r>
    </w:p>
    <w:p w14:paraId="29C5F3F8" w14:textId="77777777" w:rsidR="007F5DB3" w:rsidRDefault="007F5DB3" w:rsidP="007F5DB3">
      <w:pPr>
        <w:jc w:val="left"/>
      </w:pPr>
      <w:r>
        <w:br w:type="page"/>
      </w:r>
    </w:p>
    <w:p w14:paraId="2A2D3521" w14:textId="77777777" w:rsidR="007F5DB3" w:rsidRDefault="007F5DB3" w:rsidP="007F5DB3">
      <w:pPr>
        <w:rPr>
          <w:u w:val="single"/>
        </w:rPr>
      </w:pPr>
      <w:r>
        <w:rPr>
          <w:u w:val="single"/>
        </w:rPr>
        <w:t>Capital Programme Outturn 2020/21</w:t>
      </w:r>
    </w:p>
    <w:p w14:paraId="235C0A22" w14:textId="77777777" w:rsidR="007F5DB3" w:rsidRPr="00055F3E" w:rsidRDefault="007F5DB3" w:rsidP="007F5DB3">
      <w:pPr>
        <w:rPr>
          <w:u w:val="single"/>
        </w:rPr>
      </w:pPr>
    </w:p>
    <w:tbl>
      <w:tblPr>
        <w:tblW w:w="9639" w:type="dxa"/>
        <w:jc w:val="center"/>
        <w:tblLayout w:type="fixed"/>
        <w:tblCellMar>
          <w:left w:w="57" w:type="dxa"/>
          <w:right w:w="57" w:type="dxa"/>
        </w:tblCellMar>
        <w:tblLook w:val="04A0" w:firstRow="1" w:lastRow="0" w:firstColumn="1" w:lastColumn="0" w:noHBand="0" w:noVBand="1"/>
      </w:tblPr>
      <w:tblGrid>
        <w:gridCol w:w="2972"/>
        <w:gridCol w:w="1111"/>
        <w:gridCol w:w="1111"/>
        <w:gridCol w:w="1111"/>
        <w:gridCol w:w="1111"/>
        <w:gridCol w:w="1111"/>
        <w:gridCol w:w="1112"/>
      </w:tblGrid>
      <w:tr w:rsidR="007F5DB3" w:rsidRPr="00AC4D7B" w14:paraId="7D202D66" w14:textId="77777777" w:rsidTr="007F5DB3">
        <w:trPr>
          <w:tblHeader/>
          <w:jc w:val="center"/>
        </w:trPr>
        <w:tc>
          <w:tcPr>
            <w:tcW w:w="2972" w:type="dxa"/>
            <w:tcBorders>
              <w:top w:val="single" w:sz="4" w:space="0" w:color="auto"/>
              <w:left w:val="single" w:sz="4" w:space="0" w:color="auto"/>
              <w:right w:val="single" w:sz="4" w:space="0" w:color="auto"/>
            </w:tcBorders>
            <w:shd w:val="clear" w:color="000000" w:fill="B8CCE4" w:themeFill="accent1" w:themeFillTint="66"/>
            <w:vAlign w:val="center"/>
            <w:hideMark/>
          </w:tcPr>
          <w:p w14:paraId="1CFD7758" w14:textId="77777777" w:rsidR="007F5DB3" w:rsidRPr="006252D8" w:rsidRDefault="007F5DB3" w:rsidP="007F5DB3">
            <w:pPr>
              <w:rPr>
                <w:rFonts w:cs="Arial"/>
                <w:b/>
                <w:sz w:val="20"/>
                <w:szCs w:val="20"/>
              </w:rPr>
            </w:pPr>
            <w:r w:rsidRPr="006252D8">
              <w:rPr>
                <w:rFonts w:cs="Arial"/>
                <w:sz w:val="20"/>
                <w:szCs w:val="20"/>
              </w:rPr>
              <w:br w:type="page"/>
            </w:r>
            <w:r w:rsidRPr="006252D8">
              <w:rPr>
                <w:rFonts w:cs="Arial"/>
                <w:b/>
                <w:sz w:val="20"/>
                <w:szCs w:val="20"/>
              </w:rPr>
              <w:t>Description</w:t>
            </w:r>
          </w:p>
        </w:tc>
        <w:tc>
          <w:tcPr>
            <w:tcW w:w="1111" w:type="dxa"/>
            <w:tcBorders>
              <w:top w:val="single" w:sz="4" w:space="0" w:color="auto"/>
              <w:left w:val="nil"/>
              <w:right w:val="single" w:sz="4" w:space="0" w:color="auto"/>
            </w:tcBorders>
            <w:shd w:val="clear" w:color="000000" w:fill="B8CCE4" w:themeFill="accent1" w:themeFillTint="66"/>
            <w:vAlign w:val="center"/>
            <w:hideMark/>
          </w:tcPr>
          <w:p w14:paraId="42D83F43" w14:textId="77777777" w:rsidR="007F5DB3" w:rsidRPr="006252D8" w:rsidRDefault="007F5DB3" w:rsidP="007F5DB3">
            <w:pPr>
              <w:jc w:val="center"/>
              <w:rPr>
                <w:rFonts w:cs="Arial"/>
                <w:b/>
                <w:sz w:val="20"/>
                <w:szCs w:val="20"/>
              </w:rPr>
            </w:pPr>
            <w:r w:rsidRPr="006252D8">
              <w:rPr>
                <w:rFonts w:cs="Arial"/>
                <w:b/>
                <w:sz w:val="20"/>
                <w:szCs w:val="20"/>
              </w:rPr>
              <w:t>2020/21 Budget</w:t>
            </w:r>
          </w:p>
        </w:tc>
        <w:tc>
          <w:tcPr>
            <w:tcW w:w="1111" w:type="dxa"/>
            <w:tcBorders>
              <w:top w:val="single" w:sz="4" w:space="0" w:color="auto"/>
              <w:left w:val="nil"/>
              <w:right w:val="single" w:sz="4" w:space="0" w:color="auto"/>
            </w:tcBorders>
            <w:shd w:val="clear" w:color="000000" w:fill="B8CCE4" w:themeFill="accent1" w:themeFillTint="66"/>
            <w:vAlign w:val="center"/>
            <w:hideMark/>
          </w:tcPr>
          <w:p w14:paraId="7CFFD470" w14:textId="77777777" w:rsidR="007F5DB3" w:rsidRPr="006252D8" w:rsidRDefault="007F5DB3" w:rsidP="007F5DB3">
            <w:pPr>
              <w:jc w:val="center"/>
              <w:rPr>
                <w:rFonts w:cs="Arial"/>
                <w:b/>
                <w:sz w:val="20"/>
                <w:szCs w:val="20"/>
              </w:rPr>
            </w:pPr>
            <w:proofErr w:type="gramStart"/>
            <w:r w:rsidRPr="006252D8">
              <w:rPr>
                <w:rFonts w:cs="Arial"/>
                <w:b/>
                <w:sz w:val="20"/>
                <w:szCs w:val="20"/>
              </w:rPr>
              <w:t>Revised  Budget</w:t>
            </w:r>
            <w:proofErr w:type="gramEnd"/>
          </w:p>
          <w:p w14:paraId="7D85CA7D" w14:textId="77777777" w:rsidR="007F5DB3" w:rsidRPr="006252D8" w:rsidRDefault="007F5DB3" w:rsidP="007F5DB3">
            <w:pPr>
              <w:jc w:val="center"/>
              <w:rPr>
                <w:rFonts w:cs="Arial"/>
                <w:b/>
                <w:sz w:val="20"/>
                <w:szCs w:val="20"/>
              </w:rPr>
            </w:pPr>
            <w:r w:rsidRPr="006252D8">
              <w:rPr>
                <w:rFonts w:cs="Arial"/>
                <w:b/>
                <w:sz w:val="20"/>
                <w:szCs w:val="20"/>
              </w:rPr>
              <w:t>(A)</w:t>
            </w:r>
          </w:p>
        </w:tc>
        <w:tc>
          <w:tcPr>
            <w:tcW w:w="1111" w:type="dxa"/>
            <w:tcBorders>
              <w:top w:val="single" w:sz="4" w:space="0" w:color="auto"/>
              <w:left w:val="nil"/>
              <w:right w:val="single" w:sz="4" w:space="0" w:color="auto"/>
            </w:tcBorders>
            <w:shd w:val="clear" w:color="000000" w:fill="B8CCE4" w:themeFill="accent1" w:themeFillTint="66"/>
            <w:vAlign w:val="center"/>
            <w:hideMark/>
          </w:tcPr>
          <w:p w14:paraId="10B61CB7" w14:textId="77777777" w:rsidR="007F5DB3" w:rsidRPr="006252D8" w:rsidRDefault="007F5DB3" w:rsidP="007F5DB3">
            <w:pPr>
              <w:jc w:val="center"/>
              <w:rPr>
                <w:rFonts w:cs="Arial"/>
                <w:b/>
                <w:sz w:val="20"/>
                <w:szCs w:val="20"/>
              </w:rPr>
            </w:pPr>
            <w:r w:rsidRPr="006252D8">
              <w:rPr>
                <w:rFonts w:cs="Arial"/>
                <w:b/>
                <w:sz w:val="20"/>
                <w:szCs w:val="20"/>
              </w:rPr>
              <w:t>Outturn</w:t>
            </w:r>
          </w:p>
          <w:p w14:paraId="35786356" w14:textId="77777777" w:rsidR="007F5DB3" w:rsidRPr="006252D8" w:rsidRDefault="007F5DB3" w:rsidP="007F5DB3">
            <w:pPr>
              <w:jc w:val="center"/>
              <w:rPr>
                <w:rFonts w:cs="Arial"/>
                <w:b/>
                <w:sz w:val="20"/>
                <w:szCs w:val="20"/>
              </w:rPr>
            </w:pPr>
            <w:r w:rsidRPr="006252D8">
              <w:rPr>
                <w:rFonts w:cs="Arial"/>
                <w:b/>
                <w:sz w:val="20"/>
                <w:szCs w:val="20"/>
              </w:rPr>
              <w:t>(B)</w:t>
            </w:r>
          </w:p>
        </w:tc>
        <w:tc>
          <w:tcPr>
            <w:tcW w:w="1111" w:type="dxa"/>
            <w:tcBorders>
              <w:top w:val="single" w:sz="4" w:space="0" w:color="auto"/>
              <w:left w:val="nil"/>
              <w:right w:val="single" w:sz="4" w:space="0" w:color="auto"/>
            </w:tcBorders>
            <w:shd w:val="clear" w:color="000000" w:fill="B8CCE4" w:themeFill="accent1" w:themeFillTint="66"/>
            <w:vAlign w:val="center"/>
            <w:hideMark/>
          </w:tcPr>
          <w:p w14:paraId="66879F53" w14:textId="77777777" w:rsidR="007F5DB3" w:rsidRPr="006252D8" w:rsidRDefault="007F5DB3" w:rsidP="007F5DB3">
            <w:pPr>
              <w:jc w:val="center"/>
              <w:rPr>
                <w:rFonts w:cs="Arial"/>
                <w:b/>
                <w:sz w:val="20"/>
                <w:szCs w:val="20"/>
              </w:rPr>
            </w:pPr>
            <w:r w:rsidRPr="006252D8">
              <w:rPr>
                <w:rFonts w:cs="Arial"/>
                <w:b/>
                <w:sz w:val="20"/>
                <w:szCs w:val="20"/>
              </w:rPr>
              <w:t>Variance (B) – (A)</w:t>
            </w:r>
          </w:p>
        </w:tc>
        <w:tc>
          <w:tcPr>
            <w:tcW w:w="1111" w:type="dxa"/>
            <w:tcBorders>
              <w:top w:val="single" w:sz="4" w:space="0" w:color="auto"/>
              <w:left w:val="nil"/>
              <w:right w:val="single" w:sz="4" w:space="0" w:color="auto"/>
            </w:tcBorders>
            <w:shd w:val="clear" w:color="000000" w:fill="B8CCE4" w:themeFill="accent1" w:themeFillTint="66"/>
            <w:tcMar>
              <w:left w:w="28" w:type="dxa"/>
              <w:right w:w="28" w:type="dxa"/>
            </w:tcMar>
            <w:vAlign w:val="center"/>
            <w:hideMark/>
          </w:tcPr>
          <w:p w14:paraId="7BF81F1F" w14:textId="77777777" w:rsidR="007F5DB3" w:rsidRPr="006252D8" w:rsidRDefault="007F5DB3" w:rsidP="007F5DB3">
            <w:pPr>
              <w:jc w:val="center"/>
              <w:rPr>
                <w:rFonts w:cs="Arial"/>
                <w:b/>
                <w:sz w:val="20"/>
                <w:szCs w:val="20"/>
              </w:rPr>
            </w:pPr>
            <w:r w:rsidRPr="006252D8">
              <w:rPr>
                <w:rFonts w:cs="Arial"/>
                <w:b/>
                <w:sz w:val="20"/>
                <w:szCs w:val="20"/>
              </w:rPr>
              <w:t>Re-phased</w:t>
            </w:r>
          </w:p>
          <w:p w14:paraId="78CEDEA5" w14:textId="77777777" w:rsidR="007F5DB3" w:rsidRPr="006252D8" w:rsidRDefault="007F5DB3" w:rsidP="007F5DB3">
            <w:pPr>
              <w:jc w:val="center"/>
              <w:rPr>
                <w:rFonts w:cs="Arial"/>
                <w:b/>
                <w:sz w:val="20"/>
                <w:szCs w:val="20"/>
              </w:rPr>
            </w:pPr>
            <w:r w:rsidRPr="006252D8">
              <w:rPr>
                <w:rFonts w:cs="Arial"/>
                <w:b/>
                <w:sz w:val="20"/>
                <w:szCs w:val="20"/>
              </w:rPr>
              <w:t>into</w:t>
            </w:r>
          </w:p>
          <w:p w14:paraId="33405FD8" w14:textId="77777777" w:rsidR="007F5DB3" w:rsidRPr="006252D8" w:rsidRDefault="007F5DB3" w:rsidP="007F5DB3">
            <w:pPr>
              <w:jc w:val="center"/>
              <w:rPr>
                <w:rFonts w:cs="Arial"/>
                <w:b/>
                <w:sz w:val="20"/>
                <w:szCs w:val="20"/>
              </w:rPr>
            </w:pPr>
            <w:r w:rsidRPr="006252D8">
              <w:rPr>
                <w:rFonts w:cs="Arial"/>
                <w:b/>
                <w:sz w:val="20"/>
                <w:szCs w:val="20"/>
              </w:rPr>
              <w:t>2021-22</w:t>
            </w:r>
          </w:p>
        </w:tc>
        <w:tc>
          <w:tcPr>
            <w:tcW w:w="1112" w:type="dxa"/>
            <w:tcBorders>
              <w:top w:val="single" w:sz="4" w:space="0" w:color="auto"/>
              <w:left w:val="nil"/>
              <w:right w:val="single" w:sz="4" w:space="0" w:color="auto"/>
            </w:tcBorders>
            <w:shd w:val="clear" w:color="000000" w:fill="B8CCE4" w:themeFill="accent1" w:themeFillTint="66"/>
            <w:vAlign w:val="center"/>
            <w:hideMark/>
          </w:tcPr>
          <w:p w14:paraId="47A9BDB5" w14:textId="77777777" w:rsidR="007F5DB3" w:rsidRPr="006252D8" w:rsidRDefault="007F5DB3" w:rsidP="007F5DB3">
            <w:pPr>
              <w:jc w:val="center"/>
              <w:rPr>
                <w:rFonts w:cs="Arial"/>
                <w:b/>
                <w:sz w:val="20"/>
                <w:szCs w:val="20"/>
              </w:rPr>
            </w:pPr>
            <w:r w:rsidRPr="006252D8">
              <w:rPr>
                <w:rFonts w:cs="Arial"/>
                <w:b/>
                <w:sz w:val="20"/>
                <w:szCs w:val="20"/>
              </w:rPr>
              <w:t>Over / (Under)</w:t>
            </w:r>
          </w:p>
          <w:p w14:paraId="55DF933B" w14:textId="77777777" w:rsidR="007F5DB3" w:rsidRPr="006252D8" w:rsidRDefault="007F5DB3" w:rsidP="007F5DB3">
            <w:pPr>
              <w:jc w:val="center"/>
              <w:rPr>
                <w:rFonts w:cs="Arial"/>
                <w:b/>
                <w:sz w:val="20"/>
                <w:szCs w:val="20"/>
              </w:rPr>
            </w:pPr>
            <w:r w:rsidRPr="006252D8">
              <w:rPr>
                <w:rFonts w:cs="Arial"/>
                <w:b/>
                <w:sz w:val="20"/>
                <w:szCs w:val="20"/>
              </w:rPr>
              <w:t>Spend</w:t>
            </w:r>
          </w:p>
        </w:tc>
      </w:tr>
      <w:tr w:rsidR="007F5DB3" w:rsidRPr="00AC4D7B" w14:paraId="74603B95" w14:textId="77777777" w:rsidTr="007F5DB3">
        <w:trPr>
          <w:tblHeader/>
          <w:jc w:val="center"/>
        </w:trPr>
        <w:tc>
          <w:tcPr>
            <w:tcW w:w="2972" w:type="dxa"/>
            <w:tcBorders>
              <w:left w:val="single" w:sz="4" w:space="0" w:color="auto"/>
              <w:bottom w:val="single" w:sz="4" w:space="0" w:color="auto"/>
              <w:right w:val="single" w:sz="4" w:space="0" w:color="auto"/>
            </w:tcBorders>
            <w:shd w:val="clear" w:color="000000" w:fill="B8CCE4" w:themeFill="accent1" w:themeFillTint="66"/>
            <w:vAlign w:val="center"/>
          </w:tcPr>
          <w:p w14:paraId="567AA2A1" w14:textId="77777777" w:rsidR="007F5DB3" w:rsidRPr="006252D8" w:rsidRDefault="007F5DB3" w:rsidP="007F5DB3">
            <w:pPr>
              <w:rPr>
                <w:rFonts w:cs="Arial"/>
                <w:b/>
                <w:sz w:val="20"/>
                <w:szCs w:val="20"/>
              </w:rPr>
            </w:pPr>
          </w:p>
        </w:tc>
        <w:tc>
          <w:tcPr>
            <w:tcW w:w="1111" w:type="dxa"/>
            <w:tcBorders>
              <w:left w:val="nil"/>
              <w:bottom w:val="single" w:sz="4" w:space="0" w:color="auto"/>
              <w:right w:val="single" w:sz="4" w:space="0" w:color="auto"/>
            </w:tcBorders>
            <w:shd w:val="clear" w:color="000000" w:fill="B8CCE4" w:themeFill="accent1" w:themeFillTint="66"/>
            <w:vAlign w:val="center"/>
          </w:tcPr>
          <w:p w14:paraId="39BDEF01" w14:textId="77777777" w:rsidR="007F5DB3" w:rsidRPr="006252D8" w:rsidRDefault="007F5DB3" w:rsidP="007F5DB3">
            <w:pPr>
              <w:jc w:val="center"/>
              <w:rPr>
                <w:rFonts w:cs="Arial"/>
                <w:b/>
                <w:sz w:val="20"/>
                <w:szCs w:val="20"/>
              </w:rPr>
            </w:pPr>
            <w:r w:rsidRPr="006252D8">
              <w:rPr>
                <w:rFonts w:cs="Arial"/>
                <w:b/>
                <w:sz w:val="20"/>
                <w:szCs w:val="20"/>
              </w:rPr>
              <w:t>£000</w:t>
            </w:r>
          </w:p>
        </w:tc>
        <w:tc>
          <w:tcPr>
            <w:tcW w:w="1111" w:type="dxa"/>
            <w:tcBorders>
              <w:left w:val="nil"/>
              <w:bottom w:val="single" w:sz="4" w:space="0" w:color="auto"/>
              <w:right w:val="single" w:sz="4" w:space="0" w:color="auto"/>
            </w:tcBorders>
            <w:shd w:val="clear" w:color="000000" w:fill="B8CCE4" w:themeFill="accent1" w:themeFillTint="66"/>
            <w:vAlign w:val="center"/>
          </w:tcPr>
          <w:p w14:paraId="4686BE26" w14:textId="77777777" w:rsidR="007F5DB3" w:rsidRPr="006252D8" w:rsidRDefault="007F5DB3" w:rsidP="007F5DB3">
            <w:pPr>
              <w:jc w:val="center"/>
              <w:rPr>
                <w:rFonts w:cs="Arial"/>
                <w:b/>
                <w:sz w:val="20"/>
                <w:szCs w:val="20"/>
              </w:rPr>
            </w:pPr>
            <w:r w:rsidRPr="006252D8">
              <w:rPr>
                <w:rFonts w:cs="Arial"/>
                <w:b/>
                <w:sz w:val="20"/>
                <w:szCs w:val="20"/>
              </w:rPr>
              <w:t>£000</w:t>
            </w:r>
          </w:p>
        </w:tc>
        <w:tc>
          <w:tcPr>
            <w:tcW w:w="1111" w:type="dxa"/>
            <w:tcBorders>
              <w:left w:val="nil"/>
              <w:bottom w:val="single" w:sz="4" w:space="0" w:color="auto"/>
              <w:right w:val="single" w:sz="4" w:space="0" w:color="auto"/>
            </w:tcBorders>
            <w:shd w:val="clear" w:color="000000" w:fill="B8CCE4" w:themeFill="accent1" w:themeFillTint="66"/>
            <w:vAlign w:val="center"/>
          </w:tcPr>
          <w:p w14:paraId="3A3987E7" w14:textId="77777777" w:rsidR="007F5DB3" w:rsidRPr="006252D8" w:rsidRDefault="007F5DB3" w:rsidP="007F5DB3">
            <w:pPr>
              <w:jc w:val="center"/>
              <w:rPr>
                <w:rFonts w:cs="Arial"/>
                <w:b/>
                <w:sz w:val="20"/>
                <w:szCs w:val="20"/>
              </w:rPr>
            </w:pPr>
            <w:r w:rsidRPr="006252D8">
              <w:rPr>
                <w:rFonts w:cs="Arial"/>
                <w:b/>
                <w:sz w:val="20"/>
                <w:szCs w:val="20"/>
              </w:rPr>
              <w:t>£000</w:t>
            </w:r>
          </w:p>
        </w:tc>
        <w:tc>
          <w:tcPr>
            <w:tcW w:w="1111" w:type="dxa"/>
            <w:tcBorders>
              <w:left w:val="nil"/>
              <w:bottom w:val="single" w:sz="4" w:space="0" w:color="auto"/>
              <w:right w:val="single" w:sz="4" w:space="0" w:color="auto"/>
            </w:tcBorders>
            <w:shd w:val="clear" w:color="000000" w:fill="B8CCE4" w:themeFill="accent1" w:themeFillTint="66"/>
            <w:vAlign w:val="center"/>
          </w:tcPr>
          <w:p w14:paraId="4C1F896D" w14:textId="77777777" w:rsidR="007F5DB3" w:rsidRPr="006252D8" w:rsidRDefault="007F5DB3" w:rsidP="007F5DB3">
            <w:pPr>
              <w:jc w:val="center"/>
              <w:rPr>
                <w:rFonts w:cs="Arial"/>
                <w:b/>
                <w:sz w:val="20"/>
                <w:szCs w:val="20"/>
              </w:rPr>
            </w:pPr>
            <w:r w:rsidRPr="006252D8">
              <w:rPr>
                <w:rFonts w:cs="Arial"/>
                <w:b/>
                <w:sz w:val="20"/>
                <w:szCs w:val="20"/>
              </w:rPr>
              <w:t>£000</w:t>
            </w:r>
          </w:p>
        </w:tc>
        <w:tc>
          <w:tcPr>
            <w:tcW w:w="1111" w:type="dxa"/>
            <w:tcBorders>
              <w:left w:val="nil"/>
              <w:bottom w:val="single" w:sz="4" w:space="0" w:color="auto"/>
              <w:right w:val="single" w:sz="4" w:space="0" w:color="auto"/>
            </w:tcBorders>
            <w:shd w:val="clear" w:color="000000" w:fill="B8CCE4" w:themeFill="accent1" w:themeFillTint="66"/>
            <w:vAlign w:val="center"/>
          </w:tcPr>
          <w:p w14:paraId="70E7F2A3" w14:textId="77777777" w:rsidR="007F5DB3" w:rsidRPr="006252D8" w:rsidRDefault="007F5DB3" w:rsidP="007F5DB3">
            <w:pPr>
              <w:jc w:val="center"/>
              <w:rPr>
                <w:rFonts w:cs="Arial"/>
                <w:b/>
                <w:sz w:val="20"/>
                <w:szCs w:val="20"/>
              </w:rPr>
            </w:pPr>
            <w:r w:rsidRPr="006252D8">
              <w:rPr>
                <w:rFonts w:cs="Arial"/>
                <w:b/>
                <w:sz w:val="20"/>
                <w:szCs w:val="20"/>
              </w:rPr>
              <w:t>£000</w:t>
            </w:r>
          </w:p>
        </w:tc>
        <w:tc>
          <w:tcPr>
            <w:tcW w:w="1112" w:type="dxa"/>
            <w:tcBorders>
              <w:left w:val="nil"/>
              <w:bottom w:val="single" w:sz="4" w:space="0" w:color="auto"/>
              <w:right w:val="single" w:sz="4" w:space="0" w:color="auto"/>
            </w:tcBorders>
            <w:shd w:val="clear" w:color="000000" w:fill="B8CCE4" w:themeFill="accent1" w:themeFillTint="66"/>
            <w:vAlign w:val="center"/>
          </w:tcPr>
          <w:p w14:paraId="0D544177" w14:textId="77777777" w:rsidR="007F5DB3" w:rsidRPr="006252D8" w:rsidRDefault="007F5DB3" w:rsidP="007F5DB3">
            <w:pPr>
              <w:jc w:val="center"/>
              <w:rPr>
                <w:rFonts w:cs="Arial"/>
                <w:b/>
                <w:sz w:val="20"/>
                <w:szCs w:val="20"/>
              </w:rPr>
            </w:pPr>
            <w:r w:rsidRPr="006252D8">
              <w:rPr>
                <w:rFonts w:cs="Arial"/>
                <w:b/>
                <w:sz w:val="20"/>
                <w:szCs w:val="20"/>
              </w:rPr>
              <w:t>£000</w:t>
            </w:r>
          </w:p>
        </w:tc>
      </w:tr>
      <w:tr w:rsidR="007F5DB3" w:rsidRPr="00AC4D7B" w14:paraId="17A3E39E" w14:textId="77777777" w:rsidTr="007F5DB3">
        <w:trPr>
          <w:jc w:val="center"/>
        </w:trPr>
        <w:tc>
          <w:tcPr>
            <w:tcW w:w="5194" w:type="dxa"/>
            <w:gridSpan w:val="3"/>
            <w:tcBorders>
              <w:top w:val="single" w:sz="4" w:space="0" w:color="BFBFBF"/>
              <w:left w:val="single" w:sz="4" w:space="0" w:color="auto"/>
              <w:bottom w:val="single" w:sz="4" w:space="0" w:color="BFBFBF"/>
              <w:right w:val="single" w:sz="4" w:space="0" w:color="BFBFBF"/>
            </w:tcBorders>
            <w:shd w:val="clear" w:color="auto" w:fill="auto"/>
            <w:vAlign w:val="center"/>
          </w:tcPr>
          <w:p w14:paraId="2ADABCAA" w14:textId="77777777" w:rsidR="007F5DB3" w:rsidRPr="006252D8" w:rsidRDefault="007F5DB3" w:rsidP="007F5DB3">
            <w:pPr>
              <w:rPr>
                <w:rFonts w:cs="Arial"/>
                <w:sz w:val="20"/>
                <w:szCs w:val="20"/>
              </w:rPr>
            </w:pPr>
          </w:p>
          <w:p w14:paraId="24849136" w14:textId="77777777" w:rsidR="007F5DB3" w:rsidRPr="006252D8" w:rsidRDefault="007F5DB3" w:rsidP="007F5DB3">
            <w:pPr>
              <w:rPr>
                <w:rFonts w:cs="Arial"/>
                <w:sz w:val="20"/>
                <w:szCs w:val="20"/>
              </w:rPr>
            </w:pPr>
            <w:r w:rsidRPr="006252D8">
              <w:rPr>
                <w:rFonts w:cs="Arial"/>
                <w:b/>
                <w:color w:val="0070C0"/>
                <w:sz w:val="20"/>
                <w:szCs w:val="20"/>
              </w:rPr>
              <w:t>Good homes, green spaces and healthy places</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0CC39B16" w14:textId="77777777" w:rsidR="007F5DB3" w:rsidRPr="006252D8" w:rsidRDefault="007F5DB3" w:rsidP="007F5DB3">
            <w:pPr>
              <w:rPr>
                <w:rFonts w:cs="Arial"/>
                <w:sz w:val="20"/>
                <w:szCs w:val="20"/>
              </w:rPr>
            </w:pP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472165FF" w14:textId="77777777" w:rsidR="007F5DB3" w:rsidRPr="006252D8" w:rsidRDefault="007F5DB3" w:rsidP="007F5DB3">
            <w:pPr>
              <w:rPr>
                <w:rFonts w:cs="Arial"/>
                <w:sz w:val="20"/>
                <w:szCs w:val="20"/>
              </w:rPr>
            </w:pP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6752BAA8" w14:textId="77777777" w:rsidR="007F5DB3" w:rsidRPr="006252D8" w:rsidRDefault="007F5DB3" w:rsidP="007F5DB3">
            <w:pPr>
              <w:rPr>
                <w:rFonts w:cs="Arial"/>
                <w:sz w:val="20"/>
                <w:szCs w:val="20"/>
              </w:rPr>
            </w:pPr>
          </w:p>
        </w:tc>
        <w:tc>
          <w:tcPr>
            <w:tcW w:w="1112" w:type="dxa"/>
            <w:tcBorders>
              <w:top w:val="single" w:sz="4" w:space="0" w:color="BFBFBF"/>
              <w:left w:val="nil"/>
              <w:bottom w:val="single" w:sz="4" w:space="0" w:color="BFBFBF"/>
              <w:right w:val="single" w:sz="4" w:space="0" w:color="auto"/>
            </w:tcBorders>
            <w:shd w:val="clear" w:color="auto" w:fill="auto"/>
            <w:noWrap/>
            <w:vAlign w:val="center"/>
          </w:tcPr>
          <w:p w14:paraId="6BCFA2C2" w14:textId="77777777" w:rsidR="007F5DB3" w:rsidRPr="006252D8" w:rsidRDefault="007F5DB3" w:rsidP="007F5DB3">
            <w:pPr>
              <w:rPr>
                <w:rFonts w:cs="Arial"/>
                <w:sz w:val="20"/>
                <w:szCs w:val="20"/>
              </w:rPr>
            </w:pPr>
          </w:p>
        </w:tc>
      </w:tr>
      <w:tr w:rsidR="007F5DB3" w:rsidRPr="00AC4D7B" w14:paraId="0BFC7475" w14:textId="77777777" w:rsidTr="007F5DB3">
        <w:trPr>
          <w:jc w:val="center"/>
        </w:trPr>
        <w:tc>
          <w:tcPr>
            <w:tcW w:w="2972" w:type="dxa"/>
            <w:tcBorders>
              <w:top w:val="single" w:sz="4" w:space="0" w:color="BFBFBF"/>
              <w:left w:val="single" w:sz="4" w:space="0" w:color="auto"/>
              <w:bottom w:val="single" w:sz="4" w:space="0" w:color="BFBFBF"/>
              <w:right w:val="single" w:sz="4" w:space="0" w:color="BFBFBF"/>
            </w:tcBorders>
            <w:shd w:val="clear" w:color="auto" w:fill="auto"/>
            <w:vAlign w:val="center"/>
          </w:tcPr>
          <w:p w14:paraId="055FD0AF" w14:textId="77777777" w:rsidR="007F5DB3" w:rsidRPr="006252D8" w:rsidRDefault="007F5DB3" w:rsidP="007F5DB3">
            <w:pPr>
              <w:rPr>
                <w:rFonts w:cs="Arial"/>
                <w:sz w:val="20"/>
                <w:szCs w:val="20"/>
              </w:rPr>
            </w:pPr>
            <w:r w:rsidRPr="006252D8">
              <w:rPr>
                <w:rFonts w:cs="Arial"/>
                <w:sz w:val="20"/>
                <w:szCs w:val="20"/>
              </w:rPr>
              <w:t>Green Links</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47D58A76" w14:textId="77777777" w:rsidR="007F5DB3" w:rsidRPr="006252D8" w:rsidRDefault="007F5DB3" w:rsidP="007F5DB3">
            <w:pPr>
              <w:jc w:val="right"/>
              <w:rPr>
                <w:rFonts w:cs="Arial"/>
                <w:sz w:val="20"/>
                <w:szCs w:val="20"/>
              </w:rPr>
            </w:pPr>
            <w:r w:rsidRPr="006252D8">
              <w:rPr>
                <w:rFonts w:cs="Arial"/>
                <w:sz w:val="20"/>
                <w:szCs w:val="20"/>
              </w:rPr>
              <w:t>460</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662DB63E" w14:textId="77777777" w:rsidR="007F5DB3" w:rsidRPr="006252D8" w:rsidRDefault="007F5DB3" w:rsidP="007F5DB3">
            <w:pPr>
              <w:jc w:val="right"/>
              <w:rPr>
                <w:rFonts w:cs="Arial"/>
                <w:sz w:val="20"/>
                <w:szCs w:val="20"/>
              </w:rPr>
            </w:pPr>
            <w:r w:rsidRPr="006252D8">
              <w:rPr>
                <w:rFonts w:cs="Arial"/>
                <w:sz w:val="20"/>
                <w:szCs w:val="20"/>
              </w:rPr>
              <w:t>252</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02B55F83" w14:textId="77777777" w:rsidR="007F5DB3" w:rsidRPr="006252D8" w:rsidRDefault="007F5DB3" w:rsidP="007F5DB3">
            <w:pPr>
              <w:jc w:val="right"/>
              <w:rPr>
                <w:rFonts w:cs="Arial"/>
                <w:sz w:val="20"/>
                <w:szCs w:val="20"/>
              </w:rPr>
            </w:pPr>
            <w:r w:rsidRPr="006252D8">
              <w:rPr>
                <w:rFonts w:cs="Arial"/>
                <w:sz w:val="20"/>
                <w:szCs w:val="20"/>
              </w:rPr>
              <w:t>118</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031DE927" w14:textId="77777777" w:rsidR="007F5DB3" w:rsidRPr="006252D8" w:rsidRDefault="007F5DB3" w:rsidP="007F5DB3">
            <w:pPr>
              <w:jc w:val="right"/>
              <w:rPr>
                <w:rFonts w:cs="Arial"/>
                <w:sz w:val="20"/>
                <w:szCs w:val="20"/>
              </w:rPr>
            </w:pPr>
            <w:r w:rsidRPr="006252D8">
              <w:rPr>
                <w:rFonts w:cs="Arial"/>
                <w:sz w:val="20"/>
                <w:szCs w:val="20"/>
              </w:rPr>
              <w:t>(134)</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2D86385D" w14:textId="77777777" w:rsidR="007F5DB3" w:rsidRPr="006252D8" w:rsidRDefault="007F5DB3" w:rsidP="007F5DB3">
            <w:pPr>
              <w:jc w:val="right"/>
              <w:rPr>
                <w:rFonts w:cs="Arial"/>
                <w:sz w:val="20"/>
                <w:szCs w:val="20"/>
              </w:rPr>
            </w:pPr>
            <w:r w:rsidRPr="006252D8">
              <w:rPr>
                <w:rFonts w:cs="Arial"/>
                <w:sz w:val="20"/>
                <w:szCs w:val="20"/>
              </w:rPr>
              <w:t>(131)</w:t>
            </w:r>
          </w:p>
        </w:tc>
        <w:tc>
          <w:tcPr>
            <w:tcW w:w="1112" w:type="dxa"/>
            <w:tcBorders>
              <w:top w:val="single" w:sz="4" w:space="0" w:color="BFBFBF"/>
              <w:left w:val="nil"/>
              <w:bottom w:val="single" w:sz="4" w:space="0" w:color="BFBFBF"/>
              <w:right w:val="single" w:sz="4" w:space="0" w:color="auto"/>
            </w:tcBorders>
            <w:shd w:val="clear" w:color="auto" w:fill="auto"/>
            <w:noWrap/>
            <w:vAlign w:val="center"/>
          </w:tcPr>
          <w:p w14:paraId="112D254B" w14:textId="77777777" w:rsidR="007F5DB3" w:rsidRPr="006252D8" w:rsidRDefault="007F5DB3" w:rsidP="007F5DB3">
            <w:pPr>
              <w:jc w:val="right"/>
              <w:rPr>
                <w:rFonts w:cs="Arial"/>
                <w:sz w:val="20"/>
                <w:szCs w:val="20"/>
              </w:rPr>
            </w:pPr>
            <w:r w:rsidRPr="006252D8">
              <w:rPr>
                <w:rFonts w:cs="Arial"/>
                <w:sz w:val="20"/>
                <w:szCs w:val="20"/>
              </w:rPr>
              <w:t>(3)</w:t>
            </w:r>
          </w:p>
        </w:tc>
      </w:tr>
      <w:tr w:rsidR="007F5DB3" w:rsidRPr="00AC4D7B" w14:paraId="5DA7FE22" w14:textId="77777777" w:rsidTr="007F5DB3">
        <w:trPr>
          <w:jc w:val="center"/>
        </w:trPr>
        <w:tc>
          <w:tcPr>
            <w:tcW w:w="2972" w:type="dxa"/>
            <w:tcBorders>
              <w:top w:val="single" w:sz="4" w:space="0" w:color="BFBFBF"/>
              <w:left w:val="single" w:sz="4" w:space="0" w:color="auto"/>
              <w:bottom w:val="single" w:sz="4" w:space="0" w:color="BFBFBF"/>
              <w:right w:val="single" w:sz="4" w:space="0" w:color="BFBFBF"/>
            </w:tcBorders>
            <w:shd w:val="clear" w:color="auto" w:fill="auto"/>
            <w:vAlign w:val="center"/>
          </w:tcPr>
          <w:p w14:paraId="6F0C678B" w14:textId="77777777" w:rsidR="007F5DB3" w:rsidRPr="006252D8" w:rsidRDefault="007F5DB3" w:rsidP="007F5DB3">
            <w:pPr>
              <w:rPr>
                <w:rFonts w:cs="Arial"/>
                <w:sz w:val="20"/>
                <w:szCs w:val="20"/>
              </w:rPr>
            </w:pPr>
            <w:r w:rsidRPr="006252D8">
              <w:rPr>
                <w:rFonts w:cs="Arial"/>
                <w:sz w:val="20"/>
                <w:szCs w:val="20"/>
              </w:rPr>
              <w:t>Worden Park</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49ED44CB" w14:textId="77777777" w:rsidR="007F5DB3" w:rsidRPr="006252D8" w:rsidRDefault="007F5DB3" w:rsidP="007F5DB3">
            <w:pPr>
              <w:jc w:val="right"/>
              <w:rPr>
                <w:rFonts w:cs="Arial"/>
                <w:sz w:val="20"/>
                <w:szCs w:val="20"/>
              </w:rPr>
            </w:pPr>
            <w:r w:rsidRPr="006252D8">
              <w:rPr>
                <w:rFonts w:cs="Arial"/>
                <w:sz w:val="20"/>
                <w:szCs w:val="20"/>
              </w:rPr>
              <w:t>913</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2E74FEFB" w14:textId="77777777" w:rsidR="007F5DB3" w:rsidRPr="006252D8" w:rsidRDefault="007F5DB3" w:rsidP="007F5DB3">
            <w:pPr>
              <w:jc w:val="right"/>
              <w:rPr>
                <w:rFonts w:cs="Arial"/>
                <w:sz w:val="20"/>
                <w:szCs w:val="20"/>
              </w:rPr>
            </w:pPr>
            <w:r w:rsidRPr="006252D8">
              <w:rPr>
                <w:rFonts w:cs="Arial"/>
                <w:sz w:val="20"/>
                <w:szCs w:val="20"/>
              </w:rPr>
              <w:t>444</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5966B7DA" w14:textId="77777777" w:rsidR="007F5DB3" w:rsidRPr="006252D8" w:rsidRDefault="007F5DB3" w:rsidP="007F5DB3">
            <w:pPr>
              <w:jc w:val="right"/>
              <w:rPr>
                <w:rFonts w:cs="Arial"/>
                <w:sz w:val="20"/>
                <w:szCs w:val="20"/>
              </w:rPr>
            </w:pPr>
            <w:r w:rsidRPr="006252D8">
              <w:rPr>
                <w:rFonts w:cs="Arial"/>
                <w:sz w:val="20"/>
                <w:szCs w:val="20"/>
              </w:rPr>
              <w:t>244</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54A809C6" w14:textId="77777777" w:rsidR="007F5DB3" w:rsidRPr="006252D8" w:rsidRDefault="007F5DB3" w:rsidP="007F5DB3">
            <w:pPr>
              <w:jc w:val="right"/>
              <w:rPr>
                <w:rFonts w:cs="Arial"/>
                <w:sz w:val="20"/>
                <w:szCs w:val="20"/>
              </w:rPr>
            </w:pPr>
            <w:r w:rsidRPr="006252D8">
              <w:rPr>
                <w:rFonts w:cs="Arial"/>
                <w:sz w:val="20"/>
                <w:szCs w:val="20"/>
              </w:rPr>
              <w:t>(200)</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4D8BDA21" w14:textId="77777777" w:rsidR="007F5DB3" w:rsidRPr="006252D8" w:rsidRDefault="007F5DB3" w:rsidP="007F5DB3">
            <w:pPr>
              <w:jc w:val="right"/>
              <w:rPr>
                <w:rFonts w:cs="Arial"/>
                <w:sz w:val="20"/>
                <w:szCs w:val="20"/>
              </w:rPr>
            </w:pPr>
            <w:r w:rsidRPr="006252D8">
              <w:rPr>
                <w:rFonts w:cs="Arial"/>
                <w:sz w:val="20"/>
                <w:szCs w:val="20"/>
              </w:rPr>
              <w:t>(97)</w:t>
            </w:r>
          </w:p>
        </w:tc>
        <w:tc>
          <w:tcPr>
            <w:tcW w:w="1112" w:type="dxa"/>
            <w:tcBorders>
              <w:top w:val="single" w:sz="4" w:space="0" w:color="BFBFBF"/>
              <w:left w:val="nil"/>
              <w:bottom w:val="single" w:sz="4" w:space="0" w:color="BFBFBF"/>
              <w:right w:val="single" w:sz="4" w:space="0" w:color="auto"/>
            </w:tcBorders>
            <w:shd w:val="clear" w:color="auto" w:fill="auto"/>
            <w:noWrap/>
            <w:vAlign w:val="center"/>
          </w:tcPr>
          <w:p w14:paraId="093BFEBB" w14:textId="77777777" w:rsidR="007F5DB3" w:rsidRPr="006252D8" w:rsidRDefault="007F5DB3" w:rsidP="007F5DB3">
            <w:pPr>
              <w:jc w:val="right"/>
              <w:rPr>
                <w:rFonts w:cs="Arial"/>
                <w:sz w:val="20"/>
                <w:szCs w:val="20"/>
              </w:rPr>
            </w:pPr>
            <w:r w:rsidRPr="006252D8">
              <w:rPr>
                <w:rFonts w:cs="Arial"/>
                <w:sz w:val="20"/>
                <w:szCs w:val="20"/>
              </w:rPr>
              <w:t>(103)</w:t>
            </w:r>
          </w:p>
        </w:tc>
      </w:tr>
      <w:tr w:rsidR="007F5DB3" w:rsidRPr="00AC4D7B" w14:paraId="7888BAE5" w14:textId="77777777" w:rsidTr="007F5DB3">
        <w:trPr>
          <w:jc w:val="center"/>
        </w:trPr>
        <w:tc>
          <w:tcPr>
            <w:tcW w:w="2972" w:type="dxa"/>
            <w:tcBorders>
              <w:top w:val="single" w:sz="4" w:space="0" w:color="BFBFBF"/>
              <w:left w:val="single" w:sz="4" w:space="0" w:color="auto"/>
              <w:bottom w:val="single" w:sz="4" w:space="0" w:color="BFBFBF"/>
              <w:right w:val="single" w:sz="4" w:space="0" w:color="BFBFBF"/>
            </w:tcBorders>
            <w:shd w:val="clear" w:color="auto" w:fill="auto"/>
            <w:vAlign w:val="center"/>
          </w:tcPr>
          <w:p w14:paraId="10CD5305" w14:textId="77777777" w:rsidR="007F5DB3" w:rsidRPr="006252D8" w:rsidRDefault="007F5DB3" w:rsidP="007F5DB3">
            <w:pPr>
              <w:rPr>
                <w:rFonts w:cs="Arial"/>
                <w:sz w:val="20"/>
                <w:szCs w:val="20"/>
              </w:rPr>
            </w:pPr>
            <w:r w:rsidRPr="006252D8">
              <w:rPr>
                <w:rFonts w:cs="Arial"/>
                <w:sz w:val="20"/>
                <w:szCs w:val="20"/>
              </w:rPr>
              <w:t>Other Parks &amp; Open Space</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2FF6932D" w14:textId="77777777" w:rsidR="007F5DB3" w:rsidRPr="006252D8" w:rsidRDefault="007F5DB3" w:rsidP="007F5DB3">
            <w:pPr>
              <w:jc w:val="right"/>
              <w:rPr>
                <w:rFonts w:cs="Arial"/>
                <w:sz w:val="20"/>
                <w:szCs w:val="20"/>
              </w:rPr>
            </w:pPr>
            <w:r w:rsidRPr="006252D8">
              <w:rPr>
                <w:rFonts w:cs="Arial"/>
                <w:sz w:val="20"/>
                <w:szCs w:val="20"/>
              </w:rPr>
              <w:t>1,200</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2178ED35" w14:textId="77777777" w:rsidR="007F5DB3" w:rsidRPr="006252D8" w:rsidRDefault="007F5DB3" w:rsidP="007F5DB3">
            <w:pPr>
              <w:jc w:val="right"/>
              <w:rPr>
                <w:rFonts w:cs="Arial"/>
                <w:sz w:val="20"/>
                <w:szCs w:val="20"/>
              </w:rPr>
            </w:pPr>
            <w:r w:rsidRPr="006252D8">
              <w:rPr>
                <w:rFonts w:cs="Arial"/>
                <w:sz w:val="20"/>
                <w:szCs w:val="20"/>
              </w:rPr>
              <w:t>839</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3730C526" w14:textId="77777777" w:rsidR="007F5DB3" w:rsidRPr="006252D8" w:rsidRDefault="007F5DB3" w:rsidP="007F5DB3">
            <w:pPr>
              <w:jc w:val="right"/>
              <w:rPr>
                <w:rFonts w:cs="Arial"/>
                <w:sz w:val="20"/>
                <w:szCs w:val="20"/>
              </w:rPr>
            </w:pPr>
            <w:r w:rsidRPr="006252D8">
              <w:rPr>
                <w:rFonts w:cs="Arial"/>
                <w:sz w:val="20"/>
                <w:szCs w:val="20"/>
              </w:rPr>
              <w:t>802</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650813CD" w14:textId="77777777" w:rsidR="007F5DB3" w:rsidRPr="006252D8" w:rsidRDefault="007F5DB3" w:rsidP="007F5DB3">
            <w:pPr>
              <w:jc w:val="right"/>
              <w:rPr>
                <w:rFonts w:cs="Arial"/>
                <w:sz w:val="20"/>
                <w:szCs w:val="20"/>
              </w:rPr>
            </w:pPr>
            <w:r w:rsidRPr="006252D8">
              <w:rPr>
                <w:rFonts w:cs="Arial"/>
                <w:sz w:val="20"/>
                <w:szCs w:val="20"/>
              </w:rPr>
              <w:t>(37)</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01EC86E1" w14:textId="77777777" w:rsidR="007F5DB3" w:rsidRPr="006252D8" w:rsidRDefault="007F5DB3" w:rsidP="007F5DB3">
            <w:pPr>
              <w:jc w:val="right"/>
              <w:rPr>
                <w:rFonts w:cs="Arial"/>
                <w:sz w:val="20"/>
                <w:szCs w:val="20"/>
              </w:rPr>
            </w:pPr>
            <w:r w:rsidRPr="006252D8">
              <w:rPr>
                <w:rFonts w:cs="Arial"/>
                <w:sz w:val="20"/>
                <w:szCs w:val="20"/>
              </w:rPr>
              <w:t>(37)</w:t>
            </w:r>
          </w:p>
        </w:tc>
        <w:tc>
          <w:tcPr>
            <w:tcW w:w="1112" w:type="dxa"/>
            <w:tcBorders>
              <w:top w:val="single" w:sz="4" w:space="0" w:color="BFBFBF"/>
              <w:left w:val="nil"/>
              <w:bottom w:val="single" w:sz="4" w:space="0" w:color="BFBFBF"/>
              <w:right w:val="single" w:sz="4" w:space="0" w:color="auto"/>
            </w:tcBorders>
            <w:shd w:val="clear" w:color="auto" w:fill="auto"/>
            <w:noWrap/>
            <w:vAlign w:val="center"/>
          </w:tcPr>
          <w:p w14:paraId="69FF0C53" w14:textId="77777777" w:rsidR="007F5DB3" w:rsidRPr="006252D8" w:rsidRDefault="007F5DB3" w:rsidP="007F5DB3">
            <w:pPr>
              <w:jc w:val="right"/>
              <w:rPr>
                <w:rFonts w:cs="Arial"/>
                <w:sz w:val="20"/>
                <w:szCs w:val="20"/>
              </w:rPr>
            </w:pPr>
            <w:r w:rsidRPr="006252D8">
              <w:rPr>
                <w:rFonts w:cs="Arial"/>
                <w:sz w:val="20"/>
                <w:szCs w:val="20"/>
              </w:rPr>
              <w:t>0</w:t>
            </w:r>
          </w:p>
        </w:tc>
      </w:tr>
      <w:tr w:rsidR="007F5DB3" w:rsidRPr="00AC4D7B" w14:paraId="7877936C" w14:textId="77777777" w:rsidTr="007F5DB3">
        <w:trPr>
          <w:jc w:val="center"/>
        </w:trPr>
        <w:tc>
          <w:tcPr>
            <w:tcW w:w="2972" w:type="dxa"/>
            <w:tcBorders>
              <w:top w:val="single" w:sz="4" w:space="0" w:color="BFBFBF"/>
              <w:left w:val="single" w:sz="4" w:space="0" w:color="auto"/>
              <w:bottom w:val="single" w:sz="4" w:space="0" w:color="BFBFBF"/>
              <w:right w:val="single" w:sz="4" w:space="0" w:color="BFBFBF"/>
            </w:tcBorders>
            <w:shd w:val="clear" w:color="auto" w:fill="auto"/>
            <w:vAlign w:val="center"/>
          </w:tcPr>
          <w:p w14:paraId="3076E5DE" w14:textId="77777777" w:rsidR="007F5DB3" w:rsidRPr="006252D8" w:rsidRDefault="007F5DB3" w:rsidP="007F5DB3">
            <w:pPr>
              <w:rPr>
                <w:rFonts w:cs="Arial"/>
                <w:sz w:val="20"/>
                <w:szCs w:val="20"/>
              </w:rPr>
            </w:pPr>
            <w:r w:rsidRPr="006252D8">
              <w:rPr>
                <w:rFonts w:cs="Arial"/>
                <w:sz w:val="20"/>
                <w:szCs w:val="20"/>
              </w:rPr>
              <w:t>Sport and Leisure</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5C5D4718" w14:textId="77777777" w:rsidR="007F5DB3" w:rsidRPr="006252D8" w:rsidRDefault="007F5DB3" w:rsidP="007F5DB3">
            <w:pPr>
              <w:jc w:val="right"/>
              <w:rPr>
                <w:rFonts w:cs="Arial"/>
                <w:sz w:val="20"/>
                <w:szCs w:val="20"/>
              </w:rPr>
            </w:pPr>
            <w:r w:rsidRPr="006252D8">
              <w:rPr>
                <w:rFonts w:cs="Arial"/>
                <w:sz w:val="20"/>
                <w:szCs w:val="20"/>
              </w:rPr>
              <w:t>1,298</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017D4E92" w14:textId="77777777" w:rsidR="007F5DB3" w:rsidRPr="006252D8" w:rsidRDefault="007F5DB3" w:rsidP="007F5DB3">
            <w:pPr>
              <w:jc w:val="right"/>
              <w:rPr>
                <w:rFonts w:cs="Arial"/>
                <w:sz w:val="20"/>
                <w:szCs w:val="20"/>
              </w:rPr>
            </w:pPr>
            <w:r>
              <w:rPr>
                <w:rFonts w:cs="Arial"/>
                <w:sz w:val="20"/>
                <w:szCs w:val="20"/>
              </w:rPr>
              <w:t>254</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3F3BEB44" w14:textId="77777777" w:rsidR="007F5DB3" w:rsidRPr="006252D8" w:rsidRDefault="007F5DB3" w:rsidP="007F5DB3">
            <w:pPr>
              <w:jc w:val="right"/>
              <w:rPr>
                <w:rFonts w:cs="Arial"/>
                <w:sz w:val="20"/>
                <w:szCs w:val="20"/>
              </w:rPr>
            </w:pPr>
            <w:r>
              <w:rPr>
                <w:rFonts w:cs="Arial"/>
                <w:sz w:val="20"/>
                <w:szCs w:val="20"/>
              </w:rPr>
              <w:t>156</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78BD5A54" w14:textId="77777777" w:rsidR="007F5DB3" w:rsidRPr="006252D8" w:rsidRDefault="007F5DB3" w:rsidP="007F5DB3">
            <w:pPr>
              <w:jc w:val="right"/>
              <w:rPr>
                <w:rFonts w:cs="Arial"/>
                <w:sz w:val="20"/>
                <w:szCs w:val="20"/>
              </w:rPr>
            </w:pPr>
            <w:r w:rsidRPr="006252D8">
              <w:rPr>
                <w:rFonts w:cs="Arial"/>
                <w:sz w:val="20"/>
                <w:szCs w:val="20"/>
              </w:rPr>
              <w:t>(</w:t>
            </w:r>
            <w:r>
              <w:rPr>
                <w:rFonts w:cs="Arial"/>
                <w:sz w:val="20"/>
                <w:szCs w:val="20"/>
              </w:rPr>
              <w:t>98</w:t>
            </w:r>
            <w:r w:rsidRPr="006252D8">
              <w:rPr>
                <w:rFonts w:cs="Arial"/>
                <w:sz w:val="20"/>
                <w:szCs w:val="20"/>
              </w:rPr>
              <w:t>)</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133F50E3" w14:textId="77777777" w:rsidR="007F5DB3" w:rsidRPr="006252D8" w:rsidRDefault="007F5DB3" w:rsidP="007F5DB3">
            <w:pPr>
              <w:jc w:val="right"/>
              <w:rPr>
                <w:rFonts w:cs="Arial"/>
                <w:sz w:val="20"/>
                <w:szCs w:val="20"/>
              </w:rPr>
            </w:pPr>
            <w:r w:rsidRPr="006252D8">
              <w:rPr>
                <w:rFonts w:cs="Arial"/>
                <w:sz w:val="20"/>
                <w:szCs w:val="20"/>
              </w:rPr>
              <w:t>(</w:t>
            </w:r>
            <w:r>
              <w:rPr>
                <w:rFonts w:cs="Arial"/>
                <w:sz w:val="20"/>
                <w:szCs w:val="20"/>
              </w:rPr>
              <w:t>98</w:t>
            </w:r>
            <w:r w:rsidRPr="006252D8">
              <w:rPr>
                <w:rFonts w:cs="Arial"/>
                <w:sz w:val="20"/>
                <w:szCs w:val="20"/>
              </w:rPr>
              <w:t>)</w:t>
            </w:r>
          </w:p>
        </w:tc>
        <w:tc>
          <w:tcPr>
            <w:tcW w:w="1112" w:type="dxa"/>
            <w:tcBorders>
              <w:top w:val="single" w:sz="4" w:space="0" w:color="BFBFBF"/>
              <w:left w:val="nil"/>
              <w:bottom w:val="single" w:sz="4" w:space="0" w:color="BFBFBF"/>
              <w:right w:val="single" w:sz="4" w:space="0" w:color="auto"/>
            </w:tcBorders>
            <w:shd w:val="clear" w:color="auto" w:fill="auto"/>
            <w:noWrap/>
            <w:vAlign w:val="center"/>
          </w:tcPr>
          <w:p w14:paraId="7F0EDE6A" w14:textId="77777777" w:rsidR="007F5DB3" w:rsidRPr="006252D8" w:rsidRDefault="007F5DB3" w:rsidP="007F5DB3">
            <w:pPr>
              <w:jc w:val="right"/>
              <w:rPr>
                <w:rFonts w:cs="Arial"/>
                <w:sz w:val="20"/>
                <w:szCs w:val="20"/>
              </w:rPr>
            </w:pPr>
            <w:r w:rsidRPr="006252D8">
              <w:rPr>
                <w:rFonts w:cs="Arial"/>
                <w:sz w:val="20"/>
                <w:szCs w:val="20"/>
              </w:rPr>
              <w:t>0</w:t>
            </w:r>
          </w:p>
        </w:tc>
      </w:tr>
      <w:tr w:rsidR="007F5DB3" w:rsidRPr="00AC4D7B" w14:paraId="4E3C1641" w14:textId="77777777" w:rsidTr="007F5DB3">
        <w:trPr>
          <w:jc w:val="center"/>
        </w:trPr>
        <w:tc>
          <w:tcPr>
            <w:tcW w:w="2972" w:type="dxa"/>
            <w:tcBorders>
              <w:top w:val="single" w:sz="4" w:space="0" w:color="BFBFBF"/>
              <w:left w:val="single" w:sz="4" w:space="0" w:color="auto"/>
              <w:bottom w:val="single" w:sz="4" w:space="0" w:color="BFBFBF"/>
              <w:right w:val="single" w:sz="4" w:space="0" w:color="BFBFBF"/>
            </w:tcBorders>
            <w:shd w:val="clear" w:color="auto" w:fill="auto"/>
            <w:vAlign w:val="center"/>
          </w:tcPr>
          <w:p w14:paraId="1E5F8D73" w14:textId="77777777" w:rsidR="007F5DB3" w:rsidRPr="006252D8" w:rsidRDefault="007F5DB3" w:rsidP="007F5DB3">
            <w:pPr>
              <w:rPr>
                <w:rFonts w:cs="Arial"/>
                <w:sz w:val="20"/>
                <w:szCs w:val="20"/>
              </w:rPr>
            </w:pPr>
            <w:r w:rsidRPr="006252D8">
              <w:rPr>
                <w:rFonts w:cs="Arial"/>
                <w:sz w:val="20"/>
                <w:szCs w:val="20"/>
              </w:rPr>
              <w:t>Affordable Housing</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52C227F4" w14:textId="77777777" w:rsidR="007F5DB3" w:rsidRPr="006252D8" w:rsidRDefault="007F5DB3" w:rsidP="007F5DB3">
            <w:pPr>
              <w:jc w:val="right"/>
              <w:rPr>
                <w:rFonts w:cs="Arial"/>
                <w:sz w:val="20"/>
                <w:szCs w:val="20"/>
              </w:rPr>
            </w:pPr>
            <w:r w:rsidRPr="006252D8">
              <w:rPr>
                <w:rFonts w:cs="Arial"/>
                <w:sz w:val="20"/>
                <w:szCs w:val="20"/>
              </w:rPr>
              <w:t>663</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7D8397CD" w14:textId="77777777" w:rsidR="007F5DB3" w:rsidRPr="006252D8" w:rsidRDefault="007F5DB3" w:rsidP="007F5DB3">
            <w:pPr>
              <w:jc w:val="right"/>
              <w:rPr>
                <w:rFonts w:cs="Arial"/>
                <w:sz w:val="20"/>
                <w:szCs w:val="20"/>
              </w:rPr>
            </w:pPr>
            <w:r w:rsidRPr="006252D8">
              <w:rPr>
                <w:rFonts w:cs="Arial"/>
                <w:sz w:val="20"/>
                <w:szCs w:val="20"/>
              </w:rPr>
              <w:t>758</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3C637D59" w14:textId="77777777" w:rsidR="007F5DB3" w:rsidRPr="006252D8" w:rsidRDefault="007F5DB3" w:rsidP="007F5DB3">
            <w:pPr>
              <w:jc w:val="right"/>
              <w:rPr>
                <w:rFonts w:cs="Arial"/>
                <w:sz w:val="20"/>
                <w:szCs w:val="20"/>
              </w:rPr>
            </w:pPr>
            <w:r w:rsidRPr="006252D8">
              <w:rPr>
                <w:rFonts w:cs="Arial"/>
                <w:sz w:val="20"/>
                <w:szCs w:val="20"/>
              </w:rPr>
              <w:t>482</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4FCC8C22" w14:textId="77777777" w:rsidR="007F5DB3" w:rsidRPr="006252D8" w:rsidRDefault="007F5DB3" w:rsidP="007F5DB3">
            <w:pPr>
              <w:jc w:val="right"/>
              <w:rPr>
                <w:rFonts w:cs="Arial"/>
                <w:sz w:val="20"/>
                <w:szCs w:val="20"/>
              </w:rPr>
            </w:pPr>
            <w:r w:rsidRPr="006252D8">
              <w:rPr>
                <w:rFonts w:cs="Arial"/>
                <w:sz w:val="20"/>
                <w:szCs w:val="20"/>
              </w:rPr>
              <w:t>(276)</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7528D528" w14:textId="77777777" w:rsidR="007F5DB3" w:rsidRPr="006252D8" w:rsidRDefault="007F5DB3" w:rsidP="007F5DB3">
            <w:pPr>
              <w:jc w:val="right"/>
              <w:rPr>
                <w:rFonts w:cs="Arial"/>
                <w:sz w:val="20"/>
                <w:szCs w:val="20"/>
              </w:rPr>
            </w:pPr>
            <w:r w:rsidRPr="006252D8">
              <w:rPr>
                <w:rFonts w:cs="Arial"/>
                <w:sz w:val="20"/>
                <w:szCs w:val="20"/>
              </w:rPr>
              <w:t>(276)</w:t>
            </w:r>
          </w:p>
        </w:tc>
        <w:tc>
          <w:tcPr>
            <w:tcW w:w="1112" w:type="dxa"/>
            <w:tcBorders>
              <w:top w:val="single" w:sz="4" w:space="0" w:color="BFBFBF"/>
              <w:left w:val="nil"/>
              <w:bottom w:val="single" w:sz="4" w:space="0" w:color="BFBFBF"/>
              <w:right w:val="single" w:sz="4" w:space="0" w:color="auto"/>
            </w:tcBorders>
            <w:shd w:val="clear" w:color="auto" w:fill="auto"/>
            <w:noWrap/>
            <w:vAlign w:val="center"/>
          </w:tcPr>
          <w:p w14:paraId="3A865372" w14:textId="77777777" w:rsidR="007F5DB3" w:rsidRPr="006252D8" w:rsidRDefault="007F5DB3" w:rsidP="007F5DB3">
            <w:pPr>
              <w:jc w:val="right"/>
              <w:rPr>
                <w:rFonts w:cs="Arial"/>
                <w:sz w:val="20"/>
                <w:szCs w:val="20"/>
              </w:rPr>
            </w:pPr>
            <w:r w:rsidRPr="006252D8">
              <w:rPr>
                <w:rFonts w:cs="Arial"/>
                <w:sz w:val="20"/>
                <w:szCs w:val="20"/>
              </w:rPr>
              <w:t>0</w:t>
            </w:r>
          </w:p>
        </w:tc>
      </w:tr>
      <w:tr w:rsidR="007F5DB3" w:rsidRPr="00AC4D7B" w14:paraId="3F3E9586" w14:textId="77777777" w:rsidTr="007F5DB3">
        <w:trPr>
          <w:jc w:val="center"/>
        </w:trPr>
        <w:tc>
          <w:tcPr>
            <w:tcW w:w="2972" w:type="dxa"/>
            <w:tcBorders>
              <w:top w:val="single" w:sz="4" w:space="0" w:color="BFBFBF"/>
              <w:left w:val="single" w:sz="4" w:space="0" w:color="auto"/>
              <w:bottom w:val="single" w:sz="4" w:space="0" w:color="BFBFBF"/>
              <w:right w:val="single" w:sz="4" w:space="0" w:color="BFBFBF"/>
            </w:tcBorders>
            <w:shd w:val="clear" w:color="auto" w:fill="auto"/>
            <w:vAlign w:val="center"/>
          </w:tcPr>
          <w:p w14:paraId="722E8D48" w14:textId="77777777" w:rsidR="007F5DB3" w:rsidRPr="006252D8" w:rsidRDefault="007F5DB3" w:rsidP="007F5DB3">
            <w:pPr>
              <w:rPr>
                <w:rFonts w:cs="Arial"/>
                <w:sz w:val="20"/>
                <w:szCs w:val="20"/>
              </w:rPr>
            </w:pPr>
            <w:r w:rsidRPr="006252D8">
              <w:rPr>
                <w:rFonts w:cs="Arial"/>
                <w:sz w:val="20"/>
                <w:szCs w:val="20"/>
              </w:rPr>
              <w:t>Disabled Facilities Grants</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7EEF02E8" w14:textId="77777777" w:rsidR="007F5DB3" w:rsidRPr="006252D8" w:rsidRDefault="007F5DB3" w:rsidP="007F5DB3">
            <w:pPr>
              <w:jc w:val="right"/>
              <w:rPr>
                <w:rFonts w:cs="Arial"/>
                <w:sz w:val="20"/>
                <w:szCs w:val="20"/>
              </w:rPr>
            </w:pPr>
            <w:r w:rsidRPr="006252D8">
              <w:rPr>
                <w:rFonts w:cs="Arial"/>
                <w:sz w:val="20"/>
                <w:szCs w:val="20"/>
              </w:rPr>
              <w:t>1,003</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324F72F2" w14:textId="77777777" w:rsidR="007F5DB3" w:rsidRPr="006252D8" w:rsidRDefault="007F5DB3" w:rsidP="007F5DB3">
            <w:pPr>
              <w:jc w:val="right"/>
              <w:rPr>
                <w:rFonts w:cs="Arial"/>
                <w:sz w:val="20"/>
                <w:szCs w:val="20"/>
              </w:rPr>
            </w:pPr>
            <w:r w:rsidRPr="006252D8">
              <w:rPr>
                <w:rFonts w:cs="Arial"/>
                <w:sz w:val="20"/>
                <w:szCs w:val="20"/>
              </w:rPr>
              <w:t>750</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2CF980B6" w14:textId="77777777" w:rsidR="007F5DB3" w:rsidRPr="006252D8" w:rsidRDefault="007F5DB3" w:rsidP="007F5DB3">
            <w:pPr>
              <w:jc w:val="right"/>
              <w:rPr>
                <w:rFonts w:cs="Arial"/>
                <w:sz w:val="20"/>
                <w:szCs w:val="20"/>
              </w:rPr>
            </w:pPr>
            <w:r w:rsidRPr="006252D8">
              <w:rPr>
                <w:rFonts w:cs="Arial"/>
                <w:sz w:val="20"/>
                <w:szCs w:val="20"/>
              </w:rPr>
              <w:t>510</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7ACB94F0" w14:textId="77777777" w:rsidR="007F5DB3" w:rsidRPr="006252D8" w:rsidRDefault="007F5DB3" w:rsidP="007F5DB3">
            <w:pPr>
              <w:jc w:val="right"/>
              <w:rPr>
                <w:rFonts w:cs="Arial"/>
                <w:sz w:val="20"/>
                <w:szCs w:val="20"/>
              </w:rPr>
            </w:pPr>
            <w:r w:rsidRPr="006252D8">
              <w:rPr>
                <w:rFonts w:cs="Arial"/>
                <w:sz w:val="20"/>
                <w:szCs w:val="20"/>
              </w:rPr>
              <w:t>(240)</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6F1DBEAF" w14:textId="77777777" w:rsidR="007F5DB3" w:rsidRPr="006252D8" w:rsidRDefault="007F5DB3" w:rsidP="007F5DB3">
            <w:pPr>
              <w:jc w:val="right"/>
              <w:rPr>
                <w:rFonts w:cs="Arial"/>
                <w:sz w:val="20"/>
                <w:szCs w:val="20"/>
              </w:rPr>
            </w:pPr>
            <w:r w:rsidRPr="006252D8">
              <w:rPr>
                <w:rFonts w:cs="Arial"/>
                <w:sz w:val="20"/>
                <w:szCs w:val="20"/>
              </w:rPr>
              <w:t>(240)</w:t>
            </w:r>
          </w:p>
        </w:tc>
        <w:tc>
          <w:tcPr>
            <w:tcW w:w="1112" w:type="dxa"/>
            <w:tcBorders>
              <w:top w:val="single" w:sz="4" w:space="0" w:color="BFBFBF"/>
              <w:left w:val="nil"/>
              <w:bottom w:val="single" w:sz="4" w:space="0" w:color="BFBFBF"/>
              <w:right w:val="single" w:sz="4" w:space="0" w:color="auto"/>
            </w:tcBorders>
            <w:shd w:val="clear" w:color="auto" w:fill="auto"/>
            <w:noWrap/>
            <w:vAlign w:val="center"/>
          </w:tcPr>
          <w:p w14:paraId="63293762" w14:textId="77777777" w:rsidR="007F5DB3" w:rsidRPr="006252D8" w:rsidRDefault="007F5DB3" w:rsidP="007F5DB3">
            <w:pPr>
              <w:jc w:val="right"/>
              <w:rPr>
                <w:rFonts w:cs="Arial"/>
                <w:sz w:val="20"/>
                <w:szCs w:val="20"/>
              </w:rPr>
            </w:pPr>
            <w:r w:rsidRPr="006252D8">
              <w:rPr>
                <w:rFonts w:cs="Arial"/>
                <w:sz w:val="20"/>
                <w:szCs w:val="20"/>
              </w:rPr>
              <w:t>0</w:t>
            </w:r>
          </w:p>
        </w:tc>
      </w:tr>
      <w:tr w:rsidR="007F5DB3" w:rsidRPr="00AC4D7B" w14:paraId="61211165" w14:textId="77777777" w:rsidTr="007F5DB3">
        <w:trPr>
          <w:jc w:val="center"/>
        </w:trPr>
        <w:tc>
          <w:tcPr>
            <w:tcW w:w="2972" w:type="dxa"/>
            <w:tcBorders>
              <w:top w:val="single" w:sz="4" w:space="0" w:color="BFBFBF"/>
              <w:left w:val="single" w:sz="4" w:space="0" w:color="auto"/>
              <w:bottom w:val="single" w:sz="4" w:space="0" w:color="BFBFBF"/>
              <w:right w:val="single" w:sz="4" w:space="0" w:color="BFBFBF"/>
            </w:tcBorders>
            <w:shd w:val="clear" w:color="auto" w:fill="auto"/>
            <w:vAlign w:val="center"/>
          </w:tcPr>
          <w:p w14:paraId="5EFB173C" w14:textId="77777777" w:rsidR="007F5DB3" w:rsidRPr="006252D8" w:rsidRDefault="007F5DB3" w:rsidP="007F5DB3">
            <w:pPr>
              <w:rPr>
                <w:rFonts w:cs="Arial"/>
                <w:sz w:val="20"/>
                <w:szCs w:val="20"/>
              </w:rPr>
            </w:pPr>
            <w:r w:rsidRPr="006252D8">
              <w:rPr>
                <w:rFonts w:cs="Arial"/>
                <w:sz w:val="20"/>
                <w:szCs w:val="20"/>
              </w:rPr>
              <w:t>Empty Homes Grants</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61B745AA" w14:textId="77777777" w:rsidR="007F5DB3" w:rsidRPr="006252D8" w:rsidRDefault="007F5DB3" w:rsidP="007F5DB3">
            <w:pPr>
              <w:jc w:val="right"/>
              <w:rPr>
                <w:rFonts w:cs="Arial"/>
                <w:sz w:val="20"/>
                <w:szCs w:val="20"/>
              </w:rPr>
            </w:pPr>
            <w:r w:rsidRPr="006252D8">
              <w:rPr>
                <w:rFonts w:cs="Arial"/>
                <w:sz w:val="20"/>
                <w:szCs w:val="20"/>
              </w:rPr>
              <w:t>39</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4EF8880A" w14:textId="77777777" w:rsidR="007F5DB3" w:rsidRPr="006252D8" w:rsidRDefault="007F5DB3" w:rsidP="007F5DB3">
            <w:pPr>
              <w:jc w:val="right"/>
              <w:rPr>
                <w:rFonts w:cs="Arial"/>
                <w:sz w:val="20"/>
                <w:szCs w:val="20"/>
              </w:rPr>
            </w:pPr>
            <w:r w:rsidRPr="006252D8">
              <w:rPr>
                <w:rFonts w:cs="Arial"/>
                <w:sz w:val="20"/>
                <w:szCs w:val="20"/>
              </w:rPr>
              <w:t>0</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2F87B616" w14:textId="77777777" w:rsidR="007F5DB3" w:rsidRPr="006252D8" w:rsidRDefault="007F5DB3" w:rsidP="007F5DB3">
            <w:pPr>
              <w:jc w:val="right"/>
              <w:rPr>
                <w:rFonts w:cs="Arial"/>
                <w:sz w:val="20"/>
                <w:szCs w:val="20"/>
              </w:rPr>
            </w:pPr>
            <w:r w:rsidRPr="006252D8">
              <w:rPr>
                <w:rFonts w:cs="Arial"/>
                <w:sz w:val="20"/>
                <w:szCs w:val="20"/>
              </w:rPr>
              <w:t>0</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0461244A" w14:textId="77777777" w:rsidR="007F5DB3" w:rsidRPr="006252D8" w:rsidRDefault="007F5DB3" w:rsidP="007F5DB3">
            <w:pPr>
              <w:jc w:val="right"/>
              <w:rPr>
                <w:rFonts w:cs="Arial"/>
                <w:sz w:val="20"/>
                <w:szCs w:val="20"/>
              </w:rPr>
            </w:pPr>
            <w:r w:rsidRPr="006252D8">
              <w:rPr>
                <w:rFonts w:cs="Arial"/>
                <w:sz w:val="20"/>
                <w:szCs w:val="20"/>
              </w:rPr>
              <w:t>0</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1DB9EA80" w14:textId="77777777" w:rsidR="007F5DB3" w:rsidRPr="006252D8" w:rsidRDefault="007F5DB3" w:rsidP="007F5DB3">
            <w:pPr>
              <w:jc w:val="right"/>
              <w:rPr>
                <w:rFonts w:cs="Arial"/>
                <w:sz w:val="20"/>
                <w:szCs w:val="20"/>
              </w:rPr>
            </w:pPr>
            <w:r w:rsidRPr="006252D8">
              <w:rPr>
                <w:rFonts w:cs="Arial"/>
                <w:sz w:val="20"/>
                <w:szCs w:val="20"/>
              </w:rPr>
              <w:t>0</w:t>
            </w:r>
          </w:p>
        </w:tc>
        <w:tc>
          <w:tcPr>
            <w:tcW w:w="1112" w:type="dxa"/>
            <w:tcBorders>
              <w:top w:val="single" w:sz="4" w:space="0" w:color="BFBFBF"/>
              <w:left w:val="nil"/>
              <w:bottom w:val="single" w:sz="4" w:space="0" w:color="BFBFBF"/>
              <w:right w:val="single" w:sz="4" w:space="0" w:color="auto"/>
            </w:tcBorders>
            <w:shd w:val="clear" w:color="auto" w:fill="auto"/>
            <w:noWrap/>
            <w:vAlign w:val="center"/>
          </w:tcPr>
          <w:p w14:paraId="0065EC26" w14:textId="77777777" w:rsidR="007F5DB3" w:rsidRPr="006252D8" w:rsidRDefault="007F5DB3" w:rsidP="007F5DB3">
            <w:pPr>
              <w:jc w:val="right"/>
              <w:rPr>
                <w:rFonts w:cs="Arial"/>
                <w:sz w:val="20"/>
                <w:szCs w:val="20"/>
              </w:rPr>
            </w:pPr>
            <w:r w:rsidRPr="006252D8">
              <w:rPr>
                <w:rFonts w:cs="Arial"/>
                <w:sz w:val="20"/>
                <w:szCs w:val="20"/>
              </w:rPr>
              <w:t>0</w:t>
            </w:r>
          </w:p>
        </w:tc>
      </w:tr>
      <w:tr w:rsidR="007F5DB3" w:rsidRPr="00AC4D7B" w14:paraId="649F4338" w14:textId="77777777" w:rsidTr="007F5DB3">
        <w:trPr>
          <w:jc w:val="center"/>
        </w:trPr>
        <w:tc>
          <w:tcPr>
            <w:tcW w:w="2972" w:type="dxa"/>
            <w:tcBorders>
              <w:top w:val="single" w:sz="4" w:space="0" w:color="BFBFBF"/>
              <w:left w:val="single" w:sz="4" w:space="0" w:color="auto"/>
              <w:bottom w:val="single" w:sz="4" w:space="0" w:color="BFBFBF"/>
              <w:right w:val="single" w:sz="4" w:space="0" w:color="BFBFBF"/>
            </w:tcBorders>
            <w:shd w:val="clear" w:color="auto" w:fill="auto"/>
            <w:vAlign w:val="center"/>
          </w:tcPr>
          <w:p w14:paraId="4CA5343F" w14:textId="77777777" w:rsidR="007F5DB3" w:rsidRPr="006252D8" w:rsidRDefault="007F5DB3" w:rsidP="007F5DB3">
            <w:pPr>
              <w:jc w:val="left"/>
              <w:rPr>
                <w:rFonts w:cs="Arial"/>
                <w:sz w:val="20"/>
                <w:szCs w:val="20"/>
              </w:rPr>
            </w:pPr>
            <w:r w:rsidRPr="006252D8">
              <w:rPr>
                <w:rFonts w:cs="Arial"/>
                <w:sz w:val="20"/>
                <w:szCs w:val="20"/>
              </w:rPr>
              <w:t>Private Sector Home Improvement Grants</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78D233F8" w14:textId="77777777" w:rsidR="007F5DB3" w:rsidRPr="006252D8" w:rsidRDefault="007F5DB3" w:rsidP="007F5DB3">
            <w:pPr>
              <w:jc w:val="right"/>
              <w:rPr>
                <w:rFonts w:cs="Arial"/>
                <w:sz w:val="20"/>
                <w:szCs w:val="20"/>
              </w:rPr>
            </w:pPr>
            <w:r w:rsidRPr="006252D8">
              <w:rPr>
                <w:rFonts w:cs="Arial"/>
                <w:sz w:val="20"/>
                <w:szCs w:val="20"/>
              </w:rPr>
              <w:t>75</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33209E31" w14:textId="77777777" w:rsidR="007F5DB3" w:rsidRPr="006252D8" w:rsidRDefault="007F5DB3" w:rsidP="007F5DB3">
            <w:pPr>
              <w:jc w:val="right"/>
              <w:rPr>
                <w:rFonts w:cs="Arial"/>
                <w:sz w:val="20"/>
                <w:szCs w:val="20"/>
              </w:rPr>
            </w:pPr>
            <w:r w:rsidRPr="006252D8">
              <w:rPr>
                <w:rFonts w:cs="Arial"/>
                <w:sz w:val="20"/>
                <w:szCs w:val="20"/>
              </w:rPr>
              <w:t>6</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05618343" w14:textId="77777777" w:rsidR="007F5DB3" w:rsidRPr="006252D8" w:rsidRDefault="007F5DB3" w:rsidP="007F5DB3">
            <w:pPr>
              <w:jc w:val="right"/>
              <w:rPr>
                <w:rFonts w:cs="Arial"/>
                <w:sz w:val="20"/>
                <w:szCs w:val="20"/>
              </w:rPr>
            </w:pPr>
            <w:r w:rsidRPr="006252D8">
              <w:rPr>
                <w:rFonts w:cs="Arial"/>
                <w:sz w:val="20"/>
                <w:szCs w:val="20"/>
              </w:rPr>
              <w:t>6</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08F5636E" w14:textId="77777777" w:rsidR="007F5DB3" w:rsidRPr="006252D8" w:rsidRDefault="007F5DB3" w:rsidP="007F5DB3">
            <w:pPr>
              <w:jc w:val="right"/>
              <w:rPr>
                <w:rFonts w:cs="Arial"/>
                <w:sz w:val="20"/>
                <w:szCs w:val="20"/>
              </w:rPr>
            </w:pPr>
            <w:r w:rsidRPr="006252D8">
              <w:rPr>
                <w:rFonts w:cs="Arial"/>
                <w:sz w:val="20"/>
                <w:szCs w:val="20"/>
              </w:rPr>
              <w:t>0</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48F42E61" w14:textId="77777777" w:rsidR="007F5DB3" w:rsidRPr="006252D8" w:rsidRDefault="007F5DB3" w:rsidP="007F5DB3">
            <w:pPr>
              <w:jc w:val="right"/>
              <w:rPr>
                <w:rFonts w:cs="Arial"/>
                <w:sz w:val="20"/>
                <w:szCs w:val="20"/>
              </w:rPr>
            </w:pPr>
            <w:r w:rsidRPr="006252D8">
              <w:rPr>
                <w:rFonts w:cs="Arial"/>
                <w:sz w:val="20"/>
                <w:szCs w:val="20"/>
              </w:rPr>
              <w:t>0</w:t>
            </w:r>
          </w:p>
        </w:tc>
        <w:tc>
          <w:tcPr>
            <w:tcW w:w="1112" w:type="dxa"/>
            <w:tcBorders>
              <w:top w:val="single" w:sz="4" w:space="0" w:color="BFBFBF"/>
              <w:left w:val="nil"/>
              <w:bottom w:val="single" w:sz="4" w:space="0" w:color="BFBFBF"/>
              <w:right w:val="single" w:sz="4" w:space="0" w:color="auto"/>
            </w:tcBorders>
            <w:shd w:val="clear" w:color="auto" w:fill="auto"/>
            <w:noWrap/>
            <w:vAlign w:val="center"/>
          </w:tcPr>
          <w:p w14:paraId="5AA41AA6" w14:textId="77777777" w:rsidR="007F5DB3" w:rsidRPr="006252D8" w:rsidRDefault="007F5DB3" w:rsidP="007F5DB3">
            <w:pPr>
              <w:jc w:val="right"/>
              <w:rPr>
                <w:rFonts w:cs="Arial"/>
                <w:sz w:val="20"/>
                <w:szCs w:val="20"/>
              </w:rPr>
            </w:pPr>
            <w:r w:rsidRPr="006252D8">
              <w:rPr>
                <w:rFonts w:cs="Arial"/>
                <w:sz w:val="20"/>
                <w:szCs w:val="20"/>
              </w:rPr>
              <w:t>0</w:t>
            </w:r>
          </w:p>
        </w:tc>
      </w:tr>
      <w:tr w:rsidR="007F5DB3" w:rsidRPr="00AC4D7B" w14:paraId="07FA43C3" w14:textId="77777777" w:rsidTr="007F5DB3">
        <w:trPr>
          <w:jc w:val="center"/>
        </w:trPr>
        <w:tc>
          <w:tcPr>
            <w:tcW w:w="5194" w:type="dxa"/>
            <w:gridSpan w:val="3"/>
            <w:tcBorders>
              <w:top w:val="single" w:sz="4" w:space="0" w:color="BFBFBF"/>
              <w:left w:val="single" w:sz="4" w:space="0" w:color="auto"/>
              <w:bottom w:val="single" w:sz="4" w:space="0" w:color="BFBFBF"/>
              <w:right w:val="single" w:sz="4" w:space="0" w:color="BFBFBF"/>
            </w:tcBorders>
            <w:shd w:val="clear" w:color="auto" w:fill="auto"/>
            <w:vAlign w:val="center"/>
          </w:tcPr>
          <w:p w14:paraId="4CE2B148" w14:textId="77777777" w:rsidR="007F5DB3" w:rsidRPr="006252D8" w:rsidRDefault="007F5DB3" w:rsidP="007F5DB3">
            <w:pPr>
              <w:jc w:val="left"/>
              <w:rPr>
                <w:rFonts w:cs="Arial"/>
                <w:sz w:val="20"/>
                <w:szCs w:val="20"/>
              </w:rPr>
            </w:pPr>
          </w:p>
          <w:p w14:paraId="2FB7ED40" w14:textId="77777777" w:rsidR="007F5DB3" w:rsidRPr="006252D8" w:rsidRDefault="007F5DB3" w:rsidP="007F5DB3">
            <w:pPr>
              <w:jc w:val="left"/>
              <w:rPr>
                <w:rFonts w:cs="Arial"/>
                <w:sz w:val="20"/>
                <w:szCs w:val="20"/>
              </w:rPr>
            </w:pPr>
            <w:r w:rsidRPr="006252D8">
              <w:rPr>
                <w:rFonts w:cs="Arial"/>
                <w:b/>
                <w:color w:val="0070C0"/>
                <w:sz w:val="20"/>
                <w:szCs w:val="20"/>
              </w:rPr>
              <w:t>A fair economy that works for everyone</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3E157EC6" w14:textId="77777777" w:rsidR="007F5DB3" w:rsidRPr="006252D8" w:rsidRDefault="007F5DB3" w:rsidP="007F5DB3">
            <w:pPr>
              <w:jc w:val="right"/>
              <w:rPr>
                <w:rFonts w:cs="Arial"/>
                <w:sz w:val="20"/>
                <w:szCs w:val="20"/>
              </w:rPr>
            </w:pP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59AD598E" w14:textId="77777777" w:rsidR="007F5DB3" w:rsidRPr="006252D8" w:rsidRDefault="007F5DB3" w:rsidP="007F5DB3">
            <w:pPr>
              <w:jc w:val="right"/>
              <w:rPr>
                <w:rFonts w:cs="Arial"/>
                <w:sz w:val="20"/>
                <w:szCs w:val="20"/>
              </w:rPr>
            </w:pP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6A517E71" w14:textId="77777777" w:rsidR="007F5DB3" w:rsidRPr="006252D8" w:rsidRDefault="007F5DB3" w:rsidP="007F5DB3">
            <w:pPr>
              <w:jc w:val="right"/>
              <w:rPr>
                <w:rFonts w:cs="Arial"/>
                <w:sz w:val="20"/>
                <w:szCs w:val="20"/>
              </w:rPr>
            </w:pPr>
          </w:p>
        </w:tc>
        <w:tc>
          <w:tcPr>
            <w:tcW w:w="1112" w:type="dxa"/>
            <w:tcBorders>
              <w:top w:val="single" w:sz="4" w:space="0" w:color="BFBFBF"/>
              <w:left w:val="nil"/>
              <w:bottom w:val="single" w:sz="4" w:space="0" w:color="BFBFBF"/>
              <w:right w:val="single" w:sz="4" w:space="0" w:color="auto"/>
            </w:tcBorders>
            <w:shd w:val="clear" w:color="auto" w:fill="auto"/>
            <w:noWrap/>
            <w:vAlign w:val="center"/>
          </w:tcPr>
          <w:p w14:paraId="536C976E" w14:textId="77777777" w:rsidR="007F5DB3" w:rsidRPr="006252D8" w:rsidRDefault="007F5DB3" w:rsidP="007F5DB3">
            <w:pPr>
              <w:jc w:val="right"/>
              <w:rPr>
                <w:rFonts w:cs="Arial"/>
                <w:sz w:val="20"/>
                <w:szCs w:val="20"/>
              </w:rPr>
            </w:pPr>
          </w:p>
        </w:tc>
      </w:tr>
      <w:tr w:rsidR="007F5DB3" w:rsidRPr="00AC4D7B" w14:paraId="69A48833" w14:textId="77777777" w:rsidTr="007F5DB3">
        <w:trPr>
          <w:jc w:val="center"/>
        </w:trPr>
        <w:tc>
          <w:tcPr>
            <w:tcW w:w="2972" w:type="dxa"/>
            <w:tcBorders>
              <w:top w:val="single" w:sz="4" w:space="0" w:color="BFBFBF"/>
              <w:left w:val="single" w:sz="4" w:space="0" w:color="auto"/>
              <w:bottom w:val="single" w:sz="4" w:space="0" w:color="BFBFBF"/>
              <w:right w:val="single" w:sz="4" w:space="0" w:color="BFBFBF"/>
            </w:tcBorders>
            <w:shd w:val="clear" w:color="auto" w:fill="auto"/>
            <w:vAlign w:val="center"/>
          </w:tcPr>
          <w:p w14:paraId="2706396D" w14:textId="77777777" w:rsidR="007F5DB3" w:rsidRPr="006252D8" w:rsidRDefault="007F5DB3" w:rsidP="007F5DB3">
            <w:pPr>
              <w:rPr>
                <w:rFonts w:cs="Arial"/>
                <w:sz w:val="20"/>
                <w:szCs w:val="20"/>
              </w:rPr>
            </w:pPr>
            <w:r w:rsidRPr="006252D8">
              <w:rPr>
                <w:rFonts w:cs="Arial"/>
                <w:sz w:val="20"/>
                <w:szCs w:val="20"/>
              </w:rPr>
              <w:t xml:space="preserve">Land Acquisition – </w:t>
            </w:r>
            <w:proofErr w:type="spellStart"/>
            <w:r w:rsidRPr="006252D8">
              <w:rPr>
                <w:rFonts w:cs="Arial"/>
                <w:sz w:val="20"/>
                <w:szCs w:val="20"/>
              </w:rPr>
              <w:t>Croston</w:t>
            </w:r>
            <w:proofErr w:type="spellEnd"/>
            <w:r w:rsidRPr="006252D8">
              <w:rPr>
                <w:rFonts w:cs="Arial"/>
                <w:sz w:val="20"/>
                <w:szCs w:val="20"/>
              </w:rPr>
              <w:t xml:space="preserve"> Road</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34D5DD2B" w14:textId="77777777" w:rsidR="007F5DB3" w:rsidRPr="006252D8" w:rsidRDefault="007F5DB3" w:rsidP="007F5DB3">
            <w:pPr>
              <w:jc w:val="right"/>
              <w:rPr>
                <w:rFonts w:cs="Arial"/>
                <w:sz w:val="20"/>
                <w:szCs w:val="20"/>
              </w:rPr>
            </w:pPr>
            <w:r w:rsidRPr="006252D8">
              <w:rPr>
                <w:rFonts w:cs="Arial"/>
                <w:sz w:val="20"/>
                <w:szCs w:val="20"/>
              </w:rPr>
              <w:t>77</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0B929AE8" w14:textId="77777777" w:rsidR="007F5DB3" w:rsidRPr="006252D8" w:rsidRDefault="007F5DB3" w:rsidP="007F5DB3">
            <w:pPr>
              <w:jc w:val="right"/>
              <w:rPr>
                <w:rFonts w:cs="Arial"/>
                <w:sz w:val="20"/>
                <w:szCs w:val="20"/>
              </w:rPr>
            </w:pPr>
            <w:r w:rsidRPr="006252D8">
              <w:rPr>
                <w:rFonts w:cs="Arial"/>
                <w:sz w:val="20"/>
                <w:szCs w:val="20"/>
              </w:rPr>
              <w:t>30</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124D796C" w14:textId="77777777" w:rsidR="007F5DB3" w:rsidRPr="006252D8" w:rsidRDefault="007F5DB3" w:rsidP="007F5DB3">
            <w:pPr>
              <w:jc w:val="right"/>
              <w:rPr>
                <w:rFonts w:cs="Arial"/>
                <w:sz w:val="20"/>
                <w:szCs w:val="20"/>
              </w:rPr>
            </w:pPr>
            <w:r w:rsidRPr="006252D8">
              <w:rPr>
                <w:rFonts w:cs="Arial"/>
                <w:sz w:val="20"/>
                <w:szCs w:val="20"/>
              </w:rPr>
              <w:t>30</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4137CE1F" w14:textId="77777777" w:rsidR="007F5DB3" w:rsidRPr="006252D8" w:rsidRDefault="007F5DB3" w:rsidP="007F5DB3">
            <w:pPr>
              <w:jc w:val="right"/>
              <w:rPr>
                <w:rFonts w:cs="Arial"/>
                <w:sz w:val="20"/>
                <w:szCs w:val="20"/>
              </w:rPr>
            </w:pPr>
            <w:r w:rsidRPr="006252D8">
              <w:rPr>
                <w:rFonts w:cs="Arial"/>
                <w:sz w:val="20"/>
                <w:szCs w:val="20"/>
              </w:rPr>
              <w:t>0</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14EB4358" w14:textId="77777777" w:rsidR="007F5DB3" w:rsidRPr="006252D8" w:rsidRDefault="007F5DB3" w:rsidP="007F5DB3">
            <w:pPr>
              <w:jc w:val="right"/>
              <w:rPr>
                <w:rFonts w:cs="Arial"/>
                <w:sz w:val="20"/>
                <w:szCs w:val="20"/>
              </w:rPr>
            </w:pPr>
            <w:r w:rsidRPr="006252D8">
              <w:rPr>
                <w:rFonts w:cs="Arial"/>
                <w:sz w:val="20"/>
                <w:szCs w:val="20"/>
              </w:rPr>
              <w:t>0</w:t>
            </w:r>
          </w:p>
        </w:tc>
        <w:tc>
          <w:tcPr>
            <w:tcW w:w="1112" w:type="dxa"/>
            <w:tcBorders>
              <w:top w:val="single" w:sz="4" w:space="0" w:color="BFBFBF"/>
              <w:left w:val="nil"/>
              <w:bottom w:val="single" w:sz="4" w:space="0" w:color="BFBFBF"/>
              <w:right w:val="single" w:sz="4" w:space="0" w:color="auto"/>
            </w:tcBorders>
            <w:shd w:val="clear" w:color="auto" w:fill="auto"/>
            <w:noWrap/>
            <w:vAlign w:val="center"/>
          </w:tcPr>
          <w:p w14:paraId="208356C5" w14:textId="77777777" w:rsidR="007F5DB3" w:rsidRPr="006252D8" w:rsidRDefault="007F5DB3" w:rsidP="007F5DB3">
            <w:pPr>
              <w:jc w:val="right"/>
              <w:rPr>
                <w:rFonts w:cs="Arial"/>
                <w:sz w:val="20"/>
                <w:szCs w:val="20"/>
              </w:rPr>
            </w:pPr>
            <w:r w:rsidRPr="006252D8">
              <w:rPr>
                <w:rFonts w:cs="Arial"/>
                <w:sz w:val="20"/>
                <w:szCs w:val="20"/>
              </w:rPr>
              <w:t>0</w:t>
            </w:r>
          </w:p>
        </w:tc>
      </w:tr>
      <w:tr w:rsidR="007F5DB3" w:rsidRPr="00AC4D7B" w14:paraId="25D77A0C" w14:textId="77777777" w:rsidTr="007F5DB3">
        <w:trPr>
          <w:jc w:val="center"/>
        </w:trPr>
        <w:tc>
          <w:tcPr>
            <w:tcW w:w="2972" w:type="dxa"/>
            <w:tcBorders>
              <w:top w:val="single" w:sz="4" w:space="0" w:color="BFBFBF"/>
              <w:left w:val="single" w:sz="4" w:space="0" w:color="auto"/>
              <w:bottom w:val="single" w:sz="4" w:space="0" w:color="BFBFBF"/>
              <w:right w:val="single" w:sz="4" w:space="0" w:color="BFBFBF"/>
            </w:tcBorders>
            <w:shd w:val="clear" w:color="auto" w:fill="auto"/>
            <w:vAlign w:val="center"/>
          </w:tcPr>
          <w:p w14:paraId="6809F50D" w14:textId="77777777" w:rsidR="007F5DB3" w:rsidRPr="006252D8" w:rsidRDefault="007F5DB3" w:rsidP="007F5DB3">
            <w:pPr>
              <w:rPr>
                <w:rFonts w:cs="Arial"/>
                <w:sz w:val="20"/>
                <w:szCs w:val="20"/>
              </w:rPr>
            </w:pPr>
            <w:r w:rsidRPr="006252D8">
              <w:rPr>
                <w:rFonts w:cs="Arial"/>
                <w:sz w:val="20"/>
                <w:szCs w:val="20"/>
              </w:rPr>
              <w:t>Leyland Train Station Ticket Office</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610ADC79" w14:textId="77777777" w:rsidR="007F5DB3" w:rsidRPr="006252D8" w:rsidRDefault="007F5DB3" w:rsidP="007F5DB3">
            <w:pPr>
              <w:jc w:val="right"/>
              <w:rPr>
                <w:rFonts w:cs="Arial"/>
                <w:sz w:val="20"/>
                <w:szCs w:val="20"/>
              </w:rPr>
            </w:pPr>
            <w:r w:rsidRPr="006252D8">
              <w:rPr>
                <w:rFonts w:cs="Arial"/>
                <w:sz w:val="20"/>
                <w:szCs w:val="20"/>
              </w:rPr>
              <w:t>60</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78B8E53F" w14:textId="77777777" w:rsidR="007F5DB3" w:rsidRPr="006252D8" w:rsidRDefault="007F5DB3" w:rsidP="007F5DB3">
            <w:pPr>
              <w:jc w:val="right"/>
              <w:rPr>
                <w:rFonts w:cs="Arial"/>
                <w:sz w:val="20"/>
                <w:szCs w:val="20"/>
              </w:rPr>
            </w:pPr>
            <w:r w:rsidRPr="006252D8">
              <w:rPr>
                <w:rFonts w:cs="Arial"/>
                <w:sz w:val="20"/>
                <w:szCs w:val="20"/>
              </w:rPr>
              <w:t>15</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683F932D" w14:textId="77777777" w:rsidR="007F5DB3" w:rsidRPr="006252D8" w:rsidRDefault="007F5DB3" w:rsidP="007F5DB3">
            <w:pPr>
              <w:jc w:val="right"/>
              <w:rPr>
                <w:rFonts w:cs="Arial"/>
                <w:sz w:val="20"/>
                <w:szCs w:val="20"/>
              </w:rPr>
            </w:pPr>
            <w:r w:rsidRPr="006252D8">
              <w:rPr>
                <w:rFonts w:cs="Arial"/>
                <w:sz w:val="20"/>
                <w:szCs w:val="20"/>
              </w:rPr>
              <w:t>0</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69FE17C3" w14:textId="77777777" w:rsidR="007F5DB3" w:rsidRPr="006252D8" w:rsidRDefault="007F5DB3" w:rsidP="007F5DB3">
            <w:pPr>
              <w:jc w:val="right"/>
              <w:rPr>
                <w:rFonts w:cs="Arial"/>
                <w:sz w:val="20"/>
                <w:szCs w:val="20"/>
              </w:rPr>
            </w:pPr>
            <w:r w:rsidRPr="006252D8">
              <w:rPr>
                <w:rFonts w:cs="Arial"/>
                <w:sz w:val="20"/>
                <w:szCs w:val="20"/>
              </w:rPr>
              <w:t>(15)</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53E27BB1" w14:textId="77777777" w:rsidR="007F5DB3" w:rsidRPr="006252D8" w:rsidRDefault="007F5DB3" w:rsidP="007F5DB3">
            <w:pPr>
              <w:jc w:val="right"/>
              <w:rPr>
                <w:rFonts w:cs="Arial"/>
                <w:sz w:val="20"/>
                <w:szCs w:val="20"/>
              </w:rPr>
            </w:pPr>
            <w:r w:rsidRPr="006252D8">
              <w:rPr>
                <w:rFonts w:cs="Arial"/>
                <w:sz w:val="20"/>
                <w:szCs w:val="20"/>
              </w:rPr>
              <w:t>(15)</w:t>
            </w:r>
          </w:p>
        </w:tc>
        <w:tc>
          <w:tcPr>
            <w:tcW w:w="1112" w:type="dxa"/>
            <w:tcBorders>
              <w:top w:val="single" w:sz="4" w:space="0" w:color="BFBFBF"/>
              <w:left w:val="nil"/>
              <w:bottom w:val="single" w:sz="4" w:space="0" w:color="BFBFBF"/>
              <w:right w:val="single" w:sz="4" w:space="0" w:color="auto"/>
            </w:tcBorders>
            <w:shd w:val="clear" w:color="auto" w:fill="auto"/>
            <w:noWrap/>
            <w:vAlign w:val="center"/>
          </w:tcPr>
          <w:p w14:paraId="32B005B3" w14:textId="77777777" w:rsidR="007F5DB3" w:rsidRPr="006252D8" w:rsidRDefault="007F5DB3" w:rsidP="007F5DB3">
            <w:pPr>
              <w:jc w:val="right"/>
              <w:rPr>
                <w:rFonts w:cs="Arial"/>
                <w:sz w:val="20"/>
                <w:szCs w:val="20"/>
              </w:rPr>
            </w:pPr>
            <w:r w:rsidRPr="006252D8">
              <w:rPr>
                <w:rFonts w:cs="Arial"/>
                <w:sz w:val="20"/>
                <w:szCs w:val="20"/>
              </w:rPr>
              <w:t>0</w:t>
            </w:r>
          </w:p>
        </w:tc>
      </w:tr>
      <w:tr w:rsidR="007F5DB3" w:rsidRPr="00AC4D7B" w14:paraId="5670755A" w14:textId="77777777" w:rsidTr="007F5DB3">
        <w:trPr>
          <w:jc w:val="center"/>
        </w:trPr>
        <w:tc>
          <w:tcPr>
            <w:tcW w:w="2972" w:type="dxa"/>
            <w:tcBorders>
              <w:top w:val="single" w:sz="4" w:space="0" w:color="BFBFBF"/>
              <w:left w:val="single" w:sz="4" w:space="0" w:color="auto"/>
              <w:bottom w:val="single" w:sz="4" w:space="0" w:color="BFBFBF"/>
              <w:right w:val="single" w:sz="4" w:space="0" w:color="BFBFBF"/>
            </w:tcBorders>
            <w:shd w:val="clear" w:color="auto" w:fill="auto"/>
            <w:vAlign w:val="center"/>
          </w:tcPr>
          <w:p w14:paraId="5671E5EA" w14:textId="77777777" w:rsidR="007F5DB3" w:rsidRPr="006252D8" w:rsidRDefault="007F5DB3" w:rsidP="007F5DB3">
            <w:pPr>
              <w:rPr>
                <w:rFonts w:cs="Arial"/>
                <w:sz w:val="20"/>
                <w:szCs w:val="20"/>
              </w:rPr>
            </w:pPr>
            <w:r w:rsidRPr="006252D8">
              <w:rPr>
                <w:rFonts w:cs="Arial"/>
                <w:sz w:val="20"/>
                <w:szCs w:val="20"/>
              </w:rPr>
              <w:t xml:space="preserve">Acquisitions </w:t>
            </w:r>
            <w:proofErr w:type="spellStart"/>
            <w:r w:rsidRPr="006252D8">
              <w:rPr>
                <w:rFonts w:cs="Arial"/>
                <w:sz w:val="20"/>
                <w:szCs w:val="20"/>
              </w:rPr>
              <w:t>Qunn</w:t>
            </w:r>
            <w:proofErr w:type="spellEnd"/>
            <w:r w:rsidRPr="006252D8">
              <w:rPr>
                <w:rFonts w:cs="Arial"/>
                <w:sz w:val="20"/>
                <w:szCs w:val="20"/>
              </w:rPr>
              <w:t xml:space="preserve"> St</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6A8E2DC1" w14:textId="77777777" w:rsidR="007F5DB3" w:rsidRPr="006252D8" w:rsidRDefault="007F5DB3" w:rsidP="007F5DB3">
            <w:pPr>
              <w:jc w:val="right"/>
              <w:rPr>
                <w:rFonts w:cs="Arial"/>
                <w:sz w:val="20"/>
                <w:szCs w:val="20"/>
              </w:rPr>
            </w:pPr>
            <w:r w:rsidRPr="006252D8">
              <w:rPr>
                <w:rFonts w:cs="Arial"/>
                <w:sz w:val="20"/>
                <w:szCs w:val="20"/>
              </w:rPr>
              <w:t>0</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6B7E2698" w14:textId="77777777" w:rsidR="007F5DB3" w:rsidRPr="006252D8" w:rsidRDefault="007F5DB3" w:rsidP="007F5DB3">
            <w:pPr>
              <w:jc w:val="right"/>
              <w:rPr>
                <w:rFonts w:cs="Arial"/>
                <w:sz w:val="20"/>
                <w:szCs w:val="20"/>
              </w:rPr>
            </w:pPr>
            <w:r w:rsidRPr="006252D8">
              <w:rPr>
                <w:rFonts w:cs="Arial"/>
                <w:sz w:val="20"/>
                <w:szCs w:val="20"/>
              </w:rPr>
              <w:t>1,123</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619B7B1F" w14:textId="77777777" w:rsidR="007F5DB3" w:rsidRPr="006252D8" w:rsidRDefault="007F5DB3" w:rsidP="007F5DB3">
            <w:pPr>
              <w:jc w:val="right"/>
              <w:rPr>
                <w:rFonts w:cs="Arial"/>
                <w:sz w:val="20"/>
                <w:szCs w:val="20"/>
              </w:rPr>
            </w:pPr>
            <w:r w:rsidRPr="006252D8">
              <w:rPr>
                <w:rFonts w:cs="Arial"/>
                <w:sz w:val="20"/>
                <w:szCs w:val="20"/>
              </w:rPr>
              <w:t>0</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24CF2F4D" w14:textId="77777777" w:rsidR="007F5DB3" w:rsidRPr="006252D8" w:rsidRDefault="007F5DB3" w:rsidP="007F5DB3">
            <w:pPr>
              <w:jc w:val="right"/>
              <w:rPr>
                <w:rFonts w:cs="Arial"/>
                <w:sz w:val="20"/>
                <w:szCs w:val="20"/>
              </w:rPr>
            </w:pPr>
            <w:r w:rsidRPr="006252D8">
              <w:rPr>
                <w:rFonts w:cs="Arial"/>
                <w:sz w:val="20"/>
                <w:szCs w:val="20"/>
              </w:rPr>
              <w:t>(1,123)</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3B566B0C" w14:textId="77777777" w:rsidR="007F5DB3" w:rsidRPr="006252D8" w:rsidRDefault="007F5DB3" w:rsidP="007F5DB3">
            <w:pPr>
              <w:jc w:val="right"/>
              <w:rPr>
                <w:rFonts w:cs="Arial"/>
                <w:sz w:val="20"/>
                <w:szCs w:val="20"/>
              </w:rPr>
            </w:pPr>
            <w:r w:rsidRPr="006252D8">
              <w:rPr>
                <w:rFonts w:cs="Arial"/>
                <w:sz w:val="20"/>
                <w:szCs w:val="20"/>
              </w:rPr>
              <w:t>(1,123)</w:t>
            </w:r>
          </w:p>
        </w:tc>
        <w:tc>
          <w:tcPr>
            <w:tcW w:w="1112" w:type="dxa"/>
            <w:tcBorders>
              <w:top w:val="single" w:sz="4" w:space="0" w:color="BFBFBF"/>
              <w:left w:val="nil"/>
              <w:bottom w:val="single" w:sz="4" w:space="0" w:color="BFBFBF"/>
              <w:right w:val="single" w:sz="4" w:space="0" w:color="auto"/>
            </w:tcBorders>
            <w:shd w:val="clear" w:color="auto" w:fill="auto"/>
            <w:noWrap/>
            <w:vAlign w:val="center"/>
          </w:tcPr>
          <w:p w14:paraId="7D558F89" w14:textId="77777777" w:rsidR="007F5DB3" w:rsidRPr="006252D8" w:rsidRDefault="007F5DB3" w:rsidP="007F5DB3">
            <w:pPr>
              <w:jc w:val="right"/>
              <w:rPr>
                <w:rFonts w:cs="Arial"/>
                <w:sz w:val="20"/>
                <w:szCs w:val="20"/>
              </w:rPr>
            </w:pPr>
            <w:r w:rsidRPr="006252D8">
              <w:rPr>
                <w:rFonts w:cs="Arial"/>
                <w:sz w:val="20"/>
                <w:szCs w:val="20"/>
              </w:rPr>
              <w:t>0</w:t>
            </w:r>
          </w:p>
        </w:tc>
      </w:tr>
      <w:tr w:rsidR="007F5DB3" w:rsidRPr="00AC4D7B" w14:paraId="76E3E02F" w14:textId="77777777" w:rsidTr="007F5DB3">
        <w:trPr>
          <w:jc w:val="center"/>
        </w:trPr>
        <w:tc>
          <w:tcPr>
            <w:tcW w:w="2972" w:type="dxa"/>
            <w:tcBorders>
              <w:top w:val="single" w:sz="4" w:space="0" w:color="BFBFBF"/>
              <w:left w:val="single" w:sz="4" w:space="0" w:color="auto"/>
              <w:bottom w:val="single" w:sz="4" w:space="0" w:color="BFBFBF"/>
              <w:right w:val="single" w:sz="4" w:space="0" w:color="BFBFBF"/>
            </w:tcBorders>
            <w:shd w:val="clear" w:color="auto" w:fill="auto"/>
            <w:vAlign w:val="center"/>
          </w:tcPr>
          <w:p w14:paraId="3352DDD4" w14:textId="77777777" w:rsidR="007F5DB3" w:rsidRPr="006252D8" w:rsidRDefault="007F5DB3" w:rsidP="007F5DB3">
            <w:pPr>
              <w:rPr>
                <w:rFonts w:cs="Arial"/>
                <w:sz w:val="20"/>
                <w:szCs w:val="20"/>
              </w:rPr>
            </w:pPr>
            <w:r w:rsidRPr="006252D8">
              <w:rPr>
                <w:rFonts w:cs="Arial"/>
                <w:sz w:val="20"/>
                <w:szCs w:val="20"/>
              </w:rPr>
              <w:t>Master Planning and Regeneration</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0D14E995" w14:textId="77777777" w:rsidR="007F5DB3" w:rsidRPr="006252D8" w:rsidRDefault="007F5DB3" w:rsidP="007F5DB3">
            <w:pPr>
              <w:jc w:val="right"/>
              <w:rPr>
                <w:rFonts w:cs="Arial"/>
                <w:sz w:val="20"/>
                <w:szCs w:val="20"/>
              </w:rPr>
            </w:pPr>
            <w:r w:rsidRPr="006252D8">
              <w:rPr>
                <w:rFonts w:cs="Arial"/>
                <w:sz w:val="20"/>
                <w:szCs w:val="20"/>
              </w:rPr>
              <w:t>50</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7651AB41" w14:textId="77777777" w:rsidR="007F5DB3" w:rsidRPr="006252D8" w:rsidRDefault="007F5DB3" w:rsidP="007F5DB3">
            <w:pPr>
              <w:jc w:val="right"/>
              <w:rPr>
                <w:rFonts w:cs="Arial"/>
                <w:sz w:val="20"/>
                <w:szCs w:val="20"/>
              </w:rPr>
            </w:pPr>
            <w:r w:rsidRPr="006252D8">
              <w:rPr>
                <w:rFonts w:cs="Arial"/>
                <w:sz w:val="20"/>
                <w:szCs w:val="20"/>
              </w:rPr>
              <w:t>50</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3623CA4F" w14:textId="77777777" w:rsidR="007F5DB3" w:rsidRPr="006252D8" w:rsidRDefault="007F5DB3" w:rsidP="007F5DB3">
            <w:pPr>
              <w:jc w:val="right"/>
              <w:rPr>
                <w:rFonts w:cs="Arial"/>
                <w:sz w:val="20"/>
                <w:szCs w:val="20"/>
              </w:rPr>
            </w:pPr>
            <w:r w:rsidRPr="006252D8">
              <w:rPr>
                <w:rFonts w:cs="Arial"/>
                <w:sz w:val="20"/>
                <w:szCs w:val="20"/>
              </w:rPr>
              <w:t>0</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16150F8B" w14:textId="77777777" w:rsidR="007F5DB3" w:rsidRPr="006252D8" w:rsidRDefault="007F5DB3" w:rsidP="007F5DB3">
            <w:pPr>
              <w:jc w:val="right"/>
              <w:rPr>
                <w:rFonts w:cs="Arial"/>
                <w:sz w:val="20"/>
                <w:szCs w:val="20"/>
              </w:rPr>
            </w:pPr>
            <w:r w:rsidRPr="006252D8">
              <w:rPr>
                <w:rFonts w:cs="Arial"/>
                <w:sz w:val="20"/>
                <w:szCs w:val="20"/>
              </w:rPr>
              <w:t>(50)</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41020EFA" w14:textId="77777777" w:rsidR="007F5DB3" w:rsidRPr="006252D8" w:rsidRDefault="007F5DB3" w:rsidP="007F5DB3">
            <w:pPr>
              <w:jc w:val="right"/>
              <w:rPr>
                <w:rFonts w:cs="Arial"/>
                <w:sz w:val="20"/>
                <w:szCs w:val="20"/>
              </w:rPr>
            </w:pPr>
            <w:r w:rsidRPr="006252D8">
              <w:rPr>
                <w:rFonts w:cs="Arial"/>
                <w:sz w:val="20"/>
                <w:szCs w:val="20"/>
              </w:rPr>
              <w:t>(50)</w:t>
            </w:r>
          </w:p>
        </w:tc>
        <w:tc>
          <w:tcPr>
            <w:tcW w:w="1112" w:type="dxa"/>
            <w:tcBorders>
              <w:top w:val="single" w:sz="4" w:space="0" w:color="BFBFBF"/>
              <w:left w:val="nil"/>
              <w:bottom w:val="single" w:sz="4" w:space="0" w:color="BFBFBF"/>
              <w:right w:val="single" w:sz="4" w:space="0" w:color="auto"/>
            </w:tcBorders>
            <w:shd w:val="clear" w:color="auto" w:fill="auto"/>
            <w:noWrap/>
            <w:vAlign w:val="center"/>
          </w:tcPr>
          <w:p w14:paraId="0705719A" w14:textId="77777777" w:rsidR="007F5DB3" w:rsidRPr="006252D8" w:rsidRDefault="007F5DB3" w:rsidP="007F5DB3">
            <w:pPr>
              <w:jc w:val="right"/>
              <w:rPr>
                <w:rFonts w:cs="Arial"/>
                <w:sz w:val="20"/>
                <w:szCs w:val="20"/>
              </w:rPr>
            </w:pPr>
            <w:r w:rsidRPr="006252D8">
              <w:rPr>
                <w:rFonts w:cs="Arial"/>
                <w:sz w:val="20"/>
                <w:szCs w:val="20"/>
              </w:rPr>
              <w:t>0</w:t>
            </w:r>
          </w:p>
        </w:tc>
      </w:tr>
      <w:tr w:rsidR="007F5DB3" w:rsidRPr="00AC4D7B" w14:paraId="482B0AA1" w14:textId="77777777" w:rsidTr="007F5DB3">
        <w:trPr>
          <w:jc w:val="center"/>
        </w:trPr>
        <w:tc>
          <w:tcPr>
            <w:tcW w:w="2972" w:type="dxa"/>
            <w:tcBorders>
              <w:top w:val="single" w:sz="4" w:space="0" w:color="BFBFBF"/>
              <w:left w:val="single" w:sz="4" w:space="0" w:color="auto"/>
              <w:bottom w:val="single" w:sz="4" w:space="0" w:color="BFBFBF"/>
              <w:right w:val="single" w:sz="4" w:space="0" w:color="BFBFBF"/>
            </w:tcBorders>
            <w:shd w:val="clear" w:color="auto" w:fill="auto"/>
            <w:vAlign w:val="center"/>
          </w:tcPr>
          <w:p w14:paraId="1F1C509B" w14:textId="77777777" w:rsidR="007F5DB3" w:rsidRPr="006252D8" w:rsidRDefault="007F5DB3" w:rsidP="007F5DB3">
            <w:pPr>
              <w:rPr>
                <w:rFonts w:cs="Arial"/>
                <w:sz w:val="20"/>
                <w:szCs w:val="20"/>
              </w:rPr>
            </w:pPr>
            <w:r w:rsidRPr="006252D8">
              <w:rPr>
                <w:rFonts w:cs="Arial"/>
                <w:sz w:val="20"/>
                <w:szCs w:val="20"/>
              </w:rPr>
              <w:t>New Longton Regeneration</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1C4D0295" w14:textId="77777777" w:rsidR="007F5DB3" w:rsidRPr="006252D8" w:rsidRDefault="007F5DB3" w:rsidP="007F5DB3">
            <w:pPr>
              <w:jc w:val="right"/>
              <w:rPr>
                <w:rFonts w:cs="Arial"/>
                <w:sz w:val="20"/>
                <w:szCs w:val="20"/>
              </w:rPr>
            </w:pPr>
            <w:r w:rsidRPr="006252D8">
              <w:rPr>
                <w:rFonts w:cs="Arial"/>
                <w:sz w:val="20"/>
                <w:szCs w:val="20"/>
              </w:rPr>
              <w:t>75</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5168D16A" w14:textId="77777777" w:rsidR="007F5DB3" w:rsidRPr="006252D8" w:rsidRDefault="007F5DB3" w:rsidP="007F5DB3">
            <w:pPr>
              <w:jc w:val="right"/>
              <w:rPr>
                <w:rFonts w:cs="Arial"/>
                <w:sz w:val="20"/>
                <w:szCs w:val="20"/>
              </w:rPr>
            </w:pPr>
            <w:r w:rsidRPr="006252D8">
              <w:rPr>
                <w:rFonts w:cs="Arial"/>
                <w:sz w:val="20"/>
                <w:szCs w:val="20"/>
              </w:rPr>
              <w:t>0</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3D36ADB1" w14:textId="77777777" w:rsidR="007F5DB3" w:rsidRPr="006252D8" w:rsidRDefault="007F5DB3" w:rsidP="007F5DB3">
            <w:pPr>
              <w:jc w:val="right"/>
              <w:rPr>
                <w:rFonts w:cs="Arial"/>
                <w:sz w:val="20"/>
                <w:szCs w:val="20"/>
              </w:rPr>
            </w:pPr>
            <w:r w:rsidRPr="006252D8">
              <w:rPr>
                <w:rFonts w:cs="Arial"/>
                <w:sz w:val="20"/>
                <w:szCs w:val="20"/>
              </w:rPr>
              <w:t>0</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75B24580" w14:textId="77777777" w:rsidR="007F5DB3" w:rsidRPr="006252D8" w:rsidRDefault="007F5DB3" w:rsidP="007F5DB3">
            <w:pPr>
              <w:jc w:val="right"/>
              <w:rPr>
                <w:rFonts w:cs="Arial"/>
                <w:sz w:val="20"/>
                <w:szCs w:val="20"/>
              </w:rPr>
            </w:pPr>
            <w:r w:rsidRPr="006252D8">
              <w:rPr>
                <w:rFonts w:cs="Arial"/>
                <w:sz w:val="20"/>
                <w:szCs w:val="20"/>
              </w:rPr>
              <w:t>0</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53213669" w14:textId="77777777" w:rsidR="007F5DB3" w:rsidRPr="006252D8" w:rsidRDefault="007F5DB3" w:rsidP="007F5DB3">
            <w:pPr>
              <w:jc w:val="right"/>
              <w:rPr>
                <w:rFonts w:cs="Arial"/>
                <w:sz w:val="20"/>
                <w:szCs w:val="20"/>
              </w:rPr>
            </w:pPr>
            <w:r w:rsidRPr="006252D8">
              <w:rPr>
                <w:rFonts w:cs="Arial"/>
                <w:sz w:val="20"/>
                <w:szCs w:val="20"/>
              </w:rPr>
              <w:t>0</w:t>
            </w:r>
          </w:p>
        </w:tc>
        <w:tc>
          <w:tcPr>
            <w:tcW w:w="1112" w:type="dxa"/>
            <w:tcBorders>
              <w:top w:val="single" w:sz="4" w:space="0" w:color="BFBFBF"/>
              <w:left w:val="nil"/>
              <w:bottom w:val="single" w:sz="4" w:space="0" w:color="BFBFBF"/>
              <w:right w:val="single" w:sz="4" w:space="0" w:color="auto"/>
            </w:tcBorders>
            <w:shd w:val="clear" w:color="auto" w:fill="auto"/>
            <w:noWrap/>
            <w:vAlign w:val="center"/>
          </w:tcPr>
          <w:p w14:paraId="3C313E2D" w14:textId="77777777" w:rsidR="007F5DB3" w:rsidRPr="006252D8" w:rsidRDefault="007F5DB3" w:rsidP="007F5DB3">
            <w:pPr>
              <w:jc w:val="right"/>
              <w:rPr>
                <w:rFonts w:cs="Arial"/>
                <w:sz w:val="20"/>
                <w:szCs w:val="20"/>
              </w:rPr>
            </w:pPr>
            <w:r w:rsidRPr="006252D8">
              <w:rPr>
                <w:rFonts w:cs="Arial"/>
                <w:sz w:val="20"/>
                <w:szCs w:val="20"/>
              </w:rPr>
              <w:t>0</w:t>
            </w:r>
          </w:p>
        </w:tc>
      </w:tr>
      <w:tr w:rsidR="007F5DB3" w:rsidRPr="00AC4D7B" w14:paraId="2C52C398" w14:textId="77777777" w:rsidTr="007F5DB3">
        <w:trPr>
          <w:jc w:val="center"/>
        </w:trPr>
        <w:tc>
          <w:tcPr>
            <w:tcW w:w="2972" w:type="dxa"/>
            <w:tcBorders>
              <w:top w:val="single" w:sz="4" w:space="0" w:color="BFBFBF"/>
              <w:left w:val="single" w:sz="4" w:space="0" w:color="auto"/>
              <w:bottom w:val="single" w:sz="4" w:space="0" w:color="BFBFBF"/>
              <w:right w:val="single" w:sz="4" w:space="0" w:color="BFBFBF"/>
            </w:tcBorders>
            <w:shd w:val="clear" w:color="auto" w:fill="auto"/>
            <w:vAlign w:val="center"/>
          </w:tcPr>
          <w:p w14:paraId="3643AADD" w14:textId="77777777" w:rsidR="007F5DB3" w:rsidRPr="006252D8" w:rsidRDefault="007F5DB3" w:rsidP="007F5DB3">
            <w:pPr>
              <w:rPr>
                <w:rFonts w:cs="Arial"/>
                <w:sz w:val="20"/>
                <w:szCs w:val="20"/>
              </w:rPr>
            </w:pPr>
            <w:proofErr w:type="spellStart"/>
            <w:r w:rsidRPr="006252D8">
              <w:rPr>
                <w:rFonts w:cs="Arial"/>
                <w:sz w:val="20"/>
                <w:szCs w:val="20"/>
              </w:rPr>
              <w:t>Parkin</w:t>
            </w:r>
            <w:proofErr w:type="spellEnd"/>
            <w:r w:rsidRPr="006252D8">
              <w:rPr>
                <w:rFonts w:cs="Arial"/>
                <w:sz w:val="20"/>
                <w:szCs w:val="20"/>
              </w:rPr>
              <w:t xml:space="preserve"> Meters Replacement</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5CFEBB19" w14:textId="77777777" w:rsidR="007F5DB3" w:rsidRPr="006252D8" w:rsidRDefault="007F5DB3" w:rsidP="007F5DB3">
            <w:pPr>
              <w:jc w:val="right"/>
              <w:rPr>
                <w:rFonts w:cs="Arial"/>
                <w:sz w:val="20"/>
                <w:szCs w:val="20"/>
              </w:rPr>
            </w:pPr>
            <w:r w:rsidRPr="006252D8">
              <w:rPr>
                <w:rFonts w:cs="Arial"/>
                <w:sz w:val="20"/>
                <w:szCs w:val="20"/>
              </w:rPr>
              <w:t>0</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335C8D9E" w14:textId="77777777" w:rsidR="007F5DB3" w:rsidRPr="006252D8" w:rsidRDefault="007F5DB3" w:rsidP="007F5DB3">
            <w:pPr>
              <w:jc w:val="right"/>
              <w:rPr>
                <w:rFonts w:cs="Arial"/>
                <w:sz w:val="20"/>
                <w:szCs w:val="20"/>
              </w:rPr>
            </w:pPr>
            <w:r w:rsidRPr="006252D8">
              <w:rPr>
                <w:rFonts w:cs="Arial"/>
                <w:sz w:val="20"/>
                <w:szCs w:val="20"/>
              </w:rPr>
              <w:t>45</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00B1B095" w14:textId="77777777" w:rsidR="007F5DB3" w:rsidRPr="006252D8" w:rsidRDefault="007F5DB3" w:rsidP="007F5DB3">
            <w:pPr>
              <w:jc w:val="right"/>
              <w:rPr>
                <w:rFonts w:cs="Arial"/>
                <w:sz w:val="20"/>
                <w:szCs w:val="20"/>
              </w:rPr>
            </w:pPr>
            <w:r w:rsidRPr="006252D8">
              <w:rPr>
                <w:rFonts w:cs="Arial"/>
                <w:sz w:val="20"/>
                <w:szCs w:val="20"/>
              </w:rPr>
              <w:t>0</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3BCFF0DD" w14:textId="77777777" w:rsidR="007F5DB3" w:rsidRPr="006252D8" w:rsidRDefault="007F5DB3" w:rsidP="007F5DB3">
            <w:pPr>
              <w:jc w:val="right"/>
              <w:rPr>
                <w:rFonts w:cs="Arial"/>
                <w:sz w:val="20"/>
                <w:szCs w:val="20"/>
              </w:rPr>
            </w:pPr>
            <w:r w:rsidRPr="006252D8">
              <w:rPr>
                <w:rFonts w:cs="Arial"/>
                <w:sz w:val="20"/>
                <w:szCs w:val="20"/>
              </w:rPr>
              <w:t>(45)</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3358129F" w14:textId="77777777" w:rsidR="007F5DB3" w:rsidRPr="006252D8" w:rsidRDefault="007F5DB3" w:rsidP="007F5DB3">
            <w:pPr>
              <w:jc w:val="right"/>
              <w:rPr>
                <w:rFonts w:cs="Arial"/>
                <w:sz w:val="20"/>
                <w:szCs w:val="20"/>
              </w:rPr>
            </w:pPr>
            <w:r w:rsidRPr="006252D8">
              <w:rPr>
                <w:rFonts w:cs="Arial"/>
                <w:sz w:val="20"/>
                <w:szCs w:val="20"/>
              </w:rPr>
              <w:t>(45)</w:t>
            </w:r>
          </w:p>
        </w:tc>
        <w:tc>
          <w:tcPr>
            <w:tcW w:w="1112" w:type="dxa"/>
            <w:tcBorders>
              <w:top w:val="single" w:sz="4" w:space="0" w:color="BFBFBF"/>
              <w:left w:val="nil"/>
              <w:bottom w:val="single" w:sz="4" w:space="0" w:color="BFBFBF"/>
              <w:right w:val="single" w:sz="4" w:space="0" w:color="auto"/>
            </w:tcBorders>
            <w:shd w:val="clear" w:color="auto" w:fill="auto"/>
            <w:noWrap/>
            <w:vAlign w:val="center"/>
          </w:tcPr>
          <w:p w14:paraId="54CF35E0" w14:textId="77777777" w:rsidR="007F5DB3" w:rsidRPr="006252D8" w:rsidRDefault="007F5DB3" w:rsidP="007F5DB3">
            <w:pPr>
              <w:jc w:val="right"/>
              <w:rPr>
                <w:rFonts w:cs="Arial"/>
                <w:sz w:val="20"/>
                <w:szCs w:val="20"/>
              </w:rPr>
            </w:pPr>
            <w:r w:rsidRPr="006252D8">
              <w:rPr>
                <w:rFonts w:cs="Arial"/>
                <w:sz w:val="20"/>
                <w:szCs w:val="20"/>
              </w:rPr>
              <w:t>0</w:t>
            </w:r>
          </w:p>
        </w:tc>
      </w:tr>
      <w:tr w:rsidR="007F5DB3" w:rsidRPr="00AC4D7B" w14:paraId="69A21808" w14:textId="77777777" w:rsidTr="007F5DB3">
        <w:trPr>
          <w:jc w:val="center"/>
        </w:trPr>
        <w:tc>
          <w:tcPr>
            <w:tcW w:w="2972" w:type="dxa"/>
            <w:tcBorders>
              <w:top w:val="single" w:sz="4" w:space="0" w:color="BFBFBF"/>
              <w:left w:val="single" w:sz="4" w:space="0" w:color="auto"/>
              <w:bottom w:val="single" w:sz="4" w:space="0" w:color="BFBFBF"/>
              <w:right w:val="single" w:sz="4" w:space="0" w:color="BFBFBF"/>
            </w:tcBorders>
            <w:shd w:val="clear" w:color="auto" w:fill="auto"/>
            <w:vAlign w:val="center"/>
          </w:tcPr>
          <w:p w14:paraId="7E26634D" w14:textId="77777777" w:rsidR="007F5DB3" w:rsidRPr="006252D8" w:rsidRDefault="007F5DB3" w:rsidP="007F5DB3">
            <w:pPr>
              <w:rPr>
                <w:rFonts w:cs="Arial"/>
                <w:sz w:val="20"/>
                <w:szCs w:val="20"/>
              </w:rPr>
            </w:pPr>
          </w:p>
          <w:p w14:paraId="21BC6CF2" w14:textId="77777777" w:rsidR="007F5DB3" w:rsidRPr="006252D8" w:rsidRDefault="007F5DB3" w:rsidP="007F5DB3">
            <w:pPr>
              <w:jc w:val="left"/>
              <w:rPr>
                <w:rFonts w:cs="Arial"/>
                <w:sz w:val="20"/>
                <w:szCs w:val="20"/>
              </w:rPr>
            </w:pPr>
            <w:r w:rsidRPr="006252D8">
              <w:rPr>
                <w:rFonts w:cs="Arial"/>
                <w:b/>
                <w:color w:val="0070C0"/>
                <w:sz w:val="20"/>
                <w:szCs w:val="20"/>
              </w:rPr>
              <w:t>Thriving communities</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54AC5003" w14:textId="77777777" w:rsidR="007F5DB3" w:rsidRPr="006252D8" w:rsidRDefault="007F5DB3" w:rsidP="007F5DB3">
            <w:pPr>
              <w:jc w:val="right"/>
              <w:rPr>
                <w:rFonts w:cs="Arial"/>
                <w:sz w:val="20"/>
                <w:szCs w:val="20"/>
              </w:rPr>
            </w:pP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71866398" w14:textId="77777777" w:rsidR="007F5DB3" w:rsidRPr="006252D8" w:rsidRDefault="007F5DB3" w:rsidP="007F5DB3">
            <w:pPr>
              <w:jc w:val="right"/>
              <w:rPr>
                <w:rFonts w:cs="Arial"/>
                <w:sz w:val="20"/>
                <w:szCs w:val="20"/>
              </w:rPr>
            </w:pP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4BA7BC9F" w14:textId="77777777" w:rsidR="007F5DB3" w:rsidRPr="006252D8" w:rsidRDefault="007F5DB3" w:rsidP="007F5DB3">
            <w:pPr>
              <w:jc w:val="right"/>
              <w:rPr>
                <w:rFonts w:cs="Arial"/>
                <w:sz w:val="20"/>
                <w:szCs w:val="20"/>
              </w:rPr>
            </w:pP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7CFC0A15" w14:textId="77777777" w:rsidR="007F5DB3" w:rsidRPr="006252D8" w:rsidRDefault="007F5DB3" w:rsidP="007F5DB3">
            <w:pPr>
              <w:jc w:val="right"/>
              <w:rPr>
                <w:rFonts w:cs="Arial"/>
                <w:sz w:val="20"/>
                <w:szCs w:val="20"/>
              </w:rPr>
            </w:pP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6C1BBE2A" w14:textId="77777777" w:rsidR="007F5DB3" w:rsidRPr="006252D8" w:rsidRDefault="007F5DB3" w:rsidP="007F5DB3">
            <w:pPr>
              <w:jc w:val="right"/>
              <w:rPr>
                <w:rFonts w:cs="Arial"/>
                <w:sz w:val="20"/>
                <w:szCs w:val="20"/>
              </w:rPr>
            </w:pPr>
          </w:p>
        </w:tc>
        <w:tc>
          <w:tcPr>
            <w:tcW w:w="1112" w:type="dxa"/>
            <w:tcBorders>
              <w:top w:val="single" w:sz="4" w:space="0" w:color="BFBFBF"/>
              <w:left w:val="nil"/>
              <w:bottom w:val="single" w:sz="4" w:space="0" w:color="BFBFBF"/>
              <w:right w:val="single" w:sz="4" w:space="0" w:color="auto"/>
            </w:tcBorders>
            <w:shd w:val="clear" w:color="auto" w:fill="auto"/>
            <w:noWrap/>
            <w:vAlign w:val="center"/>
          </w:tcPr>
          <w:p w14:paraId="7F5B38E1" w14:textId="77777777" w:rsidR="007F5DB3" w:rsidRPr="006252D8" w:rsidRDefault="007F5DB3" w:rsidP="007F5DB3">
            <w:pPr>
              <w:jc w:val="right"/>
              <w:rPr>
                <w:rFonts w:cs="Arial"/>
                <w:sz w:val="20"/>
                <w:szCs w:val="20"/>
              </w:rPr>
            </w:pPr>
          </w:p>
        </w:tc>
      </w:tr>
      <w:tr w:rsidR="007F5DB3" w:rsidRPr="00AC4D7B" w14:paraId="54BA2BF8" w14:textId="77777777" w:rsidTr="007F5DB3">
        <w:trPr>
          <w:jc w:val="center"/>
        </w:trPr>
        <w:tc>
          <w:tcPr>
            <w:tcW w:w="2972" w:type="dxa"/>
            <w:tcBorders>
              <w:top w:val="single" w:sz="4" w:space="0" w:color="BFBFBF"/>
              <w:left w:val="single" w:sz="4" w:space="0" w:color="auto"/>
              <w:bottom w:val="single" w:sz="4" w:space="0" w:color="BFBFBF"/>
              <w:right w:val="single" w:sz="4" w:space="0" w:color="BFBFBF"/>
            </w:tcBorders>
            <w:shd w:val="clear" w:color="auto" w:fill="auto"/>
            <w:vAlign w:val="center"/>
          </w:tcPr>
          <w:p w14:paraId="0A80D455" w14:textId="77777777" w:rsidR="007F5DB3" w:rsidRPr="006252D8" w:rsidRDefault="007F5DB3" w:rsidP="007F5DB3">
            <w:pPr>
              <w:rPr>
                <w:rFonts w:cs="Arial"/>
                <w:sz w:val="20"/>
                <w:szCs w:val="20"/>
              </w:rPr>
            </w:pPr>
            <w:proofErr w:type="spellStart"/>
            <w:r w:rsidRPr="006252D8">
              <w:rPr>
                <w:rFonts w:cs="Arial"/>
                <w:sz w:val="20"/>
                <w:szCs w:val="20"/>
              </w:rPr>
              <w:t>Hoole</w:t>
            </w:r>
            <w:proofErr w:type="spellEnd"/>
            <w:r w:rsidRPr="006252D8">
              <w:rPr>
                <w:rFonts w:cs="Arial"/>
                <w:sz w:val="20"/>
                <w:szCs w:val="20"/>
              </w:rPr>
              <w:t xml:space="preserve"> Village Hall Grant</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0B5E8A2A" w14:textId="77777777" w:rsidR="007F5DB3" w:rsidRPr="006252D8" w:rsidRDefault="007F5DB3" w:rsidP="007F5DB3">
            <w:pPr>
              <w:jc w:val="right"/>
              <w:rPr>
                <w:rFonts w:cs="Arial"/>
                <w:sz w:val="20"/>
                <w:szCs w:val="20"/>
              </w:rPr>
            </w:pPr>
            <w:r w:rsidRPr="006252D8">
              <w:rPr>
                <w:rFonts w:cs="Arial"/>
                <w:sz w:val="20"/>
                <w:szCs w:val="20"/>
              </w:rPr>
              <w:t>200</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44E71319" w14:textId="77777777" w:rsidR="007F5DB3" w:rsidRPr="006252D8" w:rsidRDefault="007F5DB3" w:rsidP="007F5DB3">
            <w:pPr>
              <w:jc w:val="right"/>
              <w:rPr>
                <w:rFonts w:cs="Arial"/>
                <w:sz w:val="20"/>
                <w:szCs w:val="20"/>
              </w:rPr>
            </w:pPr>
            <w:r w:rsidRPr="006252D8">
              <w:rPr>
                <w:rFonts w:cs="Arial"/>
                <w:sz w:val="20"/>
                <w:szCs w:val="20"/>
              </w:rPr>
              <w:t>50</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6FD47581" w14:textId="77777777" w:rsidR="007F5DB3" w:rsidRPr="006252D8" w:rsidRDefault="007F5DB3" w:rsidP="007F5DB3">
            <w:pPr>
              <w:jc w:val="right"/>
              <w:rPr>
                <w:rFonts w:cs="Arial"/>
                <w:sz w:val="20"/>
                <w:szCs w:val="20"/>
              </w:rPr>
            </w:pPr>
            <w:r w:rsidRPr="006252D8">
              <w:rPr>
                <w:rFonts w:cs="Arial"/>
                <w:sz w:val="20"/>
                <w:szCs w:val="20"/>
              </w:rPr>
              <w:t>50</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44ACC462" w14:textId="77777777" w:rsidR="007F5DB3" w:rsidRPr="006252D8" w:rsidRDefault="007F5DB3" w:rsidP="007F5DB3">
            <w:pPr>
              <w:jc w:val="right"/>
              <w:rPr>
                <w:rFonts w:cs="Arial"/>
                <w:sz w:val="20"/>
                <w:szCs w:val="20"/>
              </w:rPr>
            </w:pPr>
            <w:r w:rsidRPr="006252D8">
              <w:rPr>
                <w:rFonts w:cs="Arial"/>
                <w:sz w:val="20"/>
                <w:szCs w:val="20"/>
              </w:rPr>
              <w:t>0</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32F6BA72" w14:textId="77777777" w:rsidR="007F5DB3" w:rsidRPr="006252D8" w:rsidRDefault="007F5DB3" w:rsidP="007F5DB3">
            <w:pPr>
              <w:jc w:val="right"/>
              <w:rPr>
                <w:rFonts w:cs="Arial"/>
                <w:sz w:val="20"/>
                <w:szCs w:val="20"/>
              </w:rPr>
            </w:pPr>
            <w:r w:rsidRPr="006252D8">
              <w:rPr>
                <w:rFonts w:cs="Arial"/>
                <w:sz w:val="20"/>
                <w:szCs w:val="20"/>
              </w:rPr>
              <w:t>0</w:t>
            </w:r>
          </w:p>
        </w:tc>
        <w:tc>
          <w:tcPr>
            <w:tcW w:w="1112" w:type="dxa"/>
            <w:tcBorders>
              <w:top w:val="single" w:sz="4" w:space="0" w:color="BFBFBF"/>
              <w:left w:val="nil"/>
              <w:bottom w:val="single" w:sz="4" w:space="0" w:color="BFBFBF"/>
              <w:right w:val="single" w:sz="4" w:space="0" w:color="auto"/>
            </w:tcBorders>
            <w:shd w:val="clear" w:color="auto" w:fill="auto"/>
            <w:noWrap/>
            <w:vAlign w:val="center"/>
          </w:tcPr>
          <w:p w14:paraId="3E5B6EE5" w14:textId="77777777" w:rsidR="007F5DB3" w:rsidRPr="006252D8" w:rsidRDefault="007F5DB3" w:rsidP="007F5DB3">
            <w:pPr>
              <w:jc w:val="right"/>
              <w:rPr>
                <w:rFonts w:cs="Arial"/>
                <w:sz w:val="20"/>
                <w:szCs w:val="20"/>
              </w:rPr>
            </w:pPr>
            <w:r w:rsidRPr="006252D8">
              <w:rPr>
                <w:rFonts w:cs="Arial"/>
                <w:sz w:val="20"/>
                <w:szCs w:val="20"/>
              </w:rPr>
              <w:t>0</w:t>
            </w:r>
          </w:p>
        </w:tc>
      </w:tr>
      <w:tr w:rsidR="007F5DB3" w:rsidRPr="00AC4D7B" w14:paraId="28FD07AE" w14:textId="77777777" w:rsidTr="007F5DB3">
        <w:trPr>
          <w:jc w:val="center"/>
        </w:trPr>
        <w:tc>
          <w:tcPr>
            <w:tcW w:w="2972" w:type="dxa"/>
            <w:tcBorders>
              <w:top w:val="single" w:sz="4" w:space="0" w:color="BFBFBF"/>
              <w:left w:val="single" w:sz="4" w:space="0" w:color="auto"/>
              <w:bottom w:val="single" w:sz="4" w:space="0" w:color="BFBFBF"/>
              <w:right w:val="single" w:sz="4" w:space="0" w:color="BFBFBF"/>
            </w:tcBorders>
            <w:shd w:val="clear" w:color="auto" w:fill="auto"/>
            <w:vAlign w:val="center"/>
          </w:tcPr>
          <w:p w14:paraId="0535AEB3" w14:textId="77777777" w:rsidR="007F5DB3" w:rsidRPr="006252D8" w:rsidRDefault="007F5DB3" w:rsidP="007F5DB3">
            <w:pPr>
              <w:rPr>
                <w:rFonts w:cs="Arial"/>
                <w:sz w:val="20"/>
                <w:szCs w:val="20"/>
              </w:rPr>
            </w:pPr>
            <w:r w:rsidRPr="006252D8">
              <w:rPr>
                <w:rFonts w:cs="Arial"/>
                <w:sz w:val="20"/>
                <w:szCs w:val="20"/>
              </w:rPr>
              <w:t>St Mary’s Penwortham – Churchyard Wall Repair</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777BC830" w14:textId="77777777" w:rsidR="007F5DB3" w:rsidRPr="006252D8" w:rsidRDefault="007F5DB3" w:rsidP="007F5DB3">
            <w:pPr>
              <w:jc w:val="right"/>
              <w:rPr>
                <w:rFonts w:cs="Arial"/>
                <w:sz w:val="20"/>
                <w:szCs w:val="20"/>
              </w:rPr>
            </w:pPr>
            <w:r w:rsidRPr="006252D8">
              <w:rPr>
                <w:rFonts w:cs="Arial"/>
                <w:sz w:val="20"/>
                <w:szCs w:val="20"/>
              </w:rPr>
              <w:t>140</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62BBDE5C" w14:textId="77777777" w:rsidR="007F5DB3" w:rsidRPr="006252D8" w:rsidRDefault="007F5DB3" w:rsidP="007F5DB3">
            <w:pPr>
              <w:jc w:val="right"/>
              <w:rPr>
                <w:rFonts w:cs="Arial"/>
                <w:sz w:val="20"/>
                <w:szCs w:val="20"/>
              </w:rPr>
            </w:pPr>
            <w:r w:rsidRPr="006252D8">
              <w:rPr>
                <w:rFonts w:cs="Arial"/>
                <w:sz w:val="20"/>
                <w:szCs w:val="20"/>
              </w:rPr>
              <w:t>40</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5C4E5240" w14:textId="77777777" w:rsidR="007F5DB3" w:rsidRPr="006252D8" w:rsidRDefault="007F5DB3" w:rsidP="007F5DB3">
            <w:pPr>
              <w:jc w:val="right"/>
              <w:rPr>
                <w:rFonts w:cs="Arial"/>
                <w:sz w:val="20"/>
                <w:szCs w:val="20"/>
              </w:rPr>
            </w:pPr>
            <w:r w:rsidRPr="006252D8">
              <w:rPr>
                <w:rFonts w:cs="Arial"/>
                <w:sz w:val="20"/>
                <w:szCs w:val="20"/>
              </w:rPr>
              <w:t>21</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43B6517E" w14:textId="77777777" w:rsidR="007F5DB3" w:rsidRPr="006252D8" w:rsidRDefault="007F5DB3" w:rsidP="007F5DB3">
            <w:pPr>
              <w:jc w:val="right"/>
              <w:rPr>
                <w:rFonts w:cs="Arial"/>
                <w:sz w:val="20"/>
                <w:szCs w:val="20"/>
              </w:rPr>
            </w:pPr>
            <w:r w:rsidRPr="006252D8">
              <w:rPr>
                <w:rFonts w:cs="Arial"/>
                <w:sz w:val="20"/>
                <w:szCs w:val="20"/>
              </w:rPr>
              <w:t>(19</w:t>
            </w:r>
            <w:r>
              <w:rPr>
                <w:rFonts w:cs="Arial"/>
                <w:sz w:val="20"/>
                <w:szCs w:val="20"/>
              </w:rPr>
              <w:t>)</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44612C5C" w14:textId="77777777" w:rsidR="007F5DB3" w:rsidRPr="006252D8" w:rsidRDefault="007F5DB3" w:rsidP="007F5DB3">
            <w:pPr>
              <w:jc w:val="right"/>
              <w:rPr>
                <w:rFonts w:cs="Arial"/>
                <w:sz w:val="20"/>
                <w:szCs w:val="20"/>
              </w:rPr>
            </w:pPr>
            <w:r w:rsidRPr="006252D8">
              <w:rPr>
                <w:rFonts w:cs="Arial"/>
                <w:sz w:val="20"/>
                <w:szCs w:val="20"/>
              </w:rPr>
              <w:t>(19)</w:t>
            </w:r>
          </w:p>
        </w:tc>
        <w:tc>
          <w:tcPr>
            <w:tcW w:w="1112" w:type="dxa"/>
            <w:tcBorders>
              <w:top w:val="single" w:sz="4" w:space="0" w:color="BFBFBF"/>
              <w:left w:val="nil"/>
              <w:bottom w:val="single" w:sz="4" w:space="0" w:color="BFBFBF"/>
              <w:right w:val="single" w:sz="4" w:space="0" w:color="auto"/>
            </w:tcBorders>
            <w:shd w:val="clear" w:color="auto" w:fill="auto"/>
            <w:noWrap/>
            <w:vAlign w:val="center"/>
          </w:tcPr>
          <w:p w14:paraId="5EEF9A3D" w14:textId="77777777" w:rsidR="007F5DB3" w:rsidRPr="006252D8" w:rsidRDefault="007F5DB3" w:rsidP="007F5DB3">
            <w:pPr>
              <w:jc w:val="right"/>
              <w:rPr>
                <w:rFonts w:cs="Arial"/>
                <w:sz w:val="20"/>
                <w:szCs w:val="20"/>
              </w:rPr>
            </w:pPr>
            <w:r w:rsidRPr="006252D8">
              <w:rPr>
                <w:rFonts w:cs="Arial"/>
                <w:sz w:val="20"/>
                <w:szCs w:val="20"/>
              </w:rPr>
              <w:t>0</w:t>
            </w:r>
          </w:p>
        </w:tc>
      </w:tr>
      <w:tr w:rsidR="007F5DB3" w:rsidRPr="00AC4D7B" w14:paraId="22495C8A" w14:textId="77777777" w:rsidTr="007F5DB3">
        <w:trPr>
          <w:jc w:val="center"/>
        </w:trPr>
        <w:tc>
          <w:tcPr>
            <w:tcW w:w="4083" w:type="dxa"/>
            <w:gridSpan w:val="2"/>
            <w:tcBorders>
              <w:top w:val="single" w:sz="4" w:space="0" w:color="BFBFBF"/>
              <w:left w:val="single" w:sz="4" w:space="0" w:color="auto"/>
              <w:bottom w:val="single" w:sz="4" w:space="0" w:color="BFBFBF"/>
              <w:right w:val="single" w:sz="4" w:space="0" w:color="BFBFBF"/>
            </w:tcBorders>
            <w:shd w:val="clear" w:color="auto" w:fill="auto"/>
            <w:vAlign w:val="center"/>
          </w:tcPr>
          <w:p w14:paraId="0E1C58CF" w14:textId="77777777" w:rsidR="007F5DB3" w:rsidRPr="006252D8" w:rsidRDefault="007F5DB3" w:rsidP="007F5DB3">
            <w:pPr>
              <w:jc w:val="left"/>
              <w:rPr>
                <w:rFonts w:cs="Arial"/>
                <w:b/>
                <w:color w:val="0070C0"/>
                <w:sz w:val="20"/>
                <w:szCs w:val="20"/>
              </w:rPr>
            </w:pPr>
          </w:p>
          <w:p w14:paraId="7087B252" w14:textId="77777777" w:rsidR="007F5DB3" w:rsidRPr="006252D8" w:rsidRDefault="007F5DB3" w:rsidP="007F5DB3">
            <w:pPr>
              <w:jc w:val="left"/>
              <w:rPr>
                <w:rFonts w:cs="Arial"/>
                <w:sz w:val="20"/>
                <w:szCs w:val="20"/>
              </w:rPr>
            </w:pPr>
            <w:r w:rsidRPr="006252D8">
              <w:rPr>
                <w:rFonts w:cs="Arial"/>
                <w:b/>
                <w:color w:val="0070C0"/>
                <w:sz w:val="20"/>
                <w:szCs w:val="20"/>
              </w:rPr>
              <w:t>An exemplary council</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20D0EBAD" w14:textId="77777777" w:rsidR="007F5DB3" w:rsidRPr="006252D8" w:rsidRDefault="007F5DB3" w:rsidP="007F5DB3">
            <w:pPr>
              <w:jc w:val="right"/>
              <w:rPr>
                <w:rFonts w:cs="Arial"/>
                <w:sz w:val="20"/>
                <w:szCs w:val="20"/>
              </w:rPr>
            </w:pP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09EE174E" w14:textId="77777777" w:rsidR="007F5DB3" w:rsidRPr="006252D8" w:rsidRDefault="007F5DB3" w:rsidP="007F5DB3">
            <w:pPr>
              <w:jc w:val="right"/>
              <w:rPr>
                <w:rFonts w:cs="Arial"/>
                <w:sz w:val="20"/>
                <w:szCs w:val="20"/>
                <w:highlight w:val="yellow"/>
              </w:rPr>
            </w:pP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0E00BB71" w14:textId="77777777" w:rsidR="007F5DB3" w:rsidRPr="006252D8" w:rsidRDefault="007F5DB3" w:rsidP="007F5DB3">
            <w:pPr>
              <w:jc w:val="right"/>
              <w:rPr>
                <w:rFonts w:cs="Arial"/>
                <w:sz w:val="20"/>
                <w:szCs w:val="20"/>
              </w:rPr>
            </w:pP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4D23A90E" w14:textId="77777777" w:rsidR="007F5DB3" w:rsidRPr="006252D8" w:rsidRDefault="007F5DB3" w:rsidP="007F5DB3">
            <w:pPr>
              <w:jc w:val="right"/>
              <w:rPr>
                <w:rFonts w:cs="Arial"/>
                <w:sz w:val="20"/>
                <w:szCs w:val="20"/>
                <w:highlight w:val="yellow"/>
              </w:rPr>
            </w:pPr>
          </w:p>
        </w:tc>
        <w:tc>
          <w:tcPr>
            <w:tcW w:w="1112" w:type="dxa"/>
            <w:tcBorders>
              <w:top w:val="single" w:sz="4" w:space="0" w:color="BFBFBF"/>
              <w:left w:val="nil"/>
              <w:bottom w:val="single" w:sz="4" w:space="0" w:color="BFBFBF"/>
              <w:right w:val="single" w:sz="4" w:space="0" w:color="auto"/>
            </w:tcBorders>
            <w:shd w:val="clear" w:color="auto" w:fill="auto"/>
            <w:noWrap/>
            <w:vAlign w:val="center"/>
          </w:tcPr>
          <w:p w14:paraId="6C19511B" w14:textId="77777777" w:rsidR="007F5DB3" w:rsidRPr="006252D8" w:rsidRDefault="007F5DB3" w:rsidP="007F5DB3">
            <w:pPr>
              <w:jc w:val="right"/>
              <w:rPr>
                <w:rFonts w:cs="Arial"/>
                <w:sz w:val="20"/>
                <w:szCs w:val="20"/>
                <w:highlight w:val="yellow"/>
              </w:rPr>
            </w:pPr>
          </w:p>
        </w:tc>
      </w:tr>
      <w:tr w:rsidR="007F5DB3" w:rsidRPr="00AC4D7B" w14:paraId="1D5C7EE0" w14:textId="77777777" w:rsidTr="007F5DB3">
        <w:trPr>
          <w:jc w:val="center"/>
        </w:trPr>
        <w:tc>
          <w:tcPr>
            <w:tcW w:w="2972" w:type="dxa"/>
            <w:tcBorders>
              <w:top w:val="single" w:sz="4" w:space="0" w:color="BFBFBF"/>
              <w:left w:val="single" w:sz="4" w:space="0" w:color="auto"/>
              <w:bottom w:val="single" w:sz="4" w:space="0" w:color="BFBFBF"/>
              <w:right w:val="single" w:sz="4" w:space="0" w:color="BFBFBF"/>
            </w:tcBorders>
            <w:shd w:val="clear" w:color="auto" w:fill="auto"/>
            <w:vAlign w:val="center"/>
          </w:tcPr>
          <w:p w14:paraId="736FEAFA" w14:textId="77777777" w:rsidR="007F5DB3" w:rsidRPr="006252D8" w:rsidRDefault="007F5DB3" w:rsidP="007F5DB3">
            <w:pPr>
              <w:rPr>
                <w:rFonts w:cs="Arial"/>
                <w:sz w:val="20"/>
                <w:szCs w:val="20"/>
              </w:rPr>
            </w:pPr>
            <w:r w:rsidRPr="006252D8">
              <w:rPr>
                <w:rFonts w:cs="Arial"/>
                <w:sz w:val="20"/>
                <w:szCs w:val="20"/>
              </w:rPr>
              <w:t>IT Programme – Digital Strategy</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279678A6" w14:textId="77777777" w:rsidR="007F5DB3" w:rsidRPr="006252D8" w:rsidRDefault="007F5DB3" w:rsidP="007F5DB3">
            <w:pPr>
              <w:jc w:val="right"/>
              <w:rPr>
                <w:rFonts w:cs="Arial"/>
                <w:sz w:val="20"/>
                <w:szCs w:val="20"/>
              </w:rPr>
            </w:pPr>
            <w:r w:rsidRPr="006252D8">
              <w:rPr>
                <w:rFonts w:cs="Arial"/>
                <w:sz w:val="20"/>
                <w:szCs w:val="20"/>
              </w:rPr>
              <w:t>405</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529F4DA6" w14:textId="77777777" w:rsidR="007F5DB3" w:rsidRPr="006252D8" w:rsidRDefault="007F5DB3" w:rsidP="007F5DB3">
            <w:pPr>
              <w:jc w:val="right"/>
              <w:rPr>
                <w:rFonts w:cs="Arial"/>
                <w:sz w:val="20"/>
                <w:szCs w:val="20"/>
              </w:rPr>
            </w:pPr>
            <w:r w:rsidRPr="006252D8">
              <w:rPr>
                <w:rFonts w:cs="Arial"/>
                <w:sz w:val="20"/>
                <w:szCs w:val="20"/>
              </w:rPr>
              <w:t>269</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4472AEDF" w14:textId="77777777" w:rsidR="007F5DB3" w:rsidRPr="006252D8" w:rsidRDefault="007F5DB3" w:rsidP="007F5DB3">
            <w:pPr>
              <w:jc w:val="right"/>
              <w:rPr>
                <w:rFonts w:cs="Arial"/>
                <w:sz w:val="20"/>
                <w:szCs w:val="20"/>
              </w:rPr>
            </w:pPr>
            <w:r w:rsidRPr="006252D8">
              <w:rPr>
                <w:rFonts w:cs="Arial"/>
                <w:sz w:val="20"/>
                <w:szCs w:val="20"/>
              </w:rPr>
              <w:t>185</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7EAB8B7B" w14:textId="77777777" w:rsidR="007F5DB3" w:rsidRPr="006252D8" w:rsidRDefault="007F5DB3" w:rsidP="007F5DB3">
            <w:pPr>
              <w:jc w:val="right"/>
              <w:rPr>
                <w:rFonts w:cs="Arial"/>
                <w:sz w:val="20"/>
                <w:szCs w:val="20"/>
              </w:rPr>
            </w:pPr>
            <w:r w:rsidRPr="006252D8">
              <w:rPr>
                <w:rFonts w:cs="Arial"/>
                <w:sz w:val="20"/>
                <w:szCs w:val="20"/>
              </w:rPr>
              <w:t>(83)</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1612F229" w14:textId="77777777" w:rsidR="007F5DB3" w:rsidRPr="006252D8" w:rsidRDefault="007F5DB3" w:rsidP="007F5DB3">
            <w:pPr>
              <w:jc w:val="right"/>
              <w:rPr>
                <w:rFonts w:cs="Arial"/>
                <w:sz w:val="20"/>
                <w:szCs w:val="20"/>
              </w:rPr>
            </w:pPr>
            <w:r w:rsidRPr="006252D8">
              <w:rPr>
                <w:rFonts w:cs="Arial"/>
                <w:sz w:val="20"/>
                <w:szCs w:val="20"/>
              </w:rPr>
              <w:t>0</w:t>
            </w:r>
          </w:p>
        </w:tc>
        <w:tc>
          <w:tcPr>
            <w:tcW w:w="1112" w:type="dxa"/>
            <w:tcBorders>
              <w:top w:val="single" w:sz="4" w:space="0" w:color="BFBFBF"/>
              <w:left w:val="nil"/>
              <w:bottom w:val="single" w:sz="4" w:space="0" w:color="BFBFBF"/>
              <w:right w:val="single" w:sz="4" w:space="0" w:color="auto"/>
            </w:tcBorders>
            <w:shd w:val="clear" w:color="auto" w:fill="auto"/>
            <w:noWrap/>
            <w:vAlign w:val="center"/>
          </w:tcPr>
          <w:p w14:paraId="6FE0C7C3" w14:textId="77777777" w:rsidR="007F5DB3" w:rsidRPr="006252D8" w:rsidRDefault="007F5DB3" w:rsidP="007F5DB3">
            <w:pPr>
              <w:jc w:val="right"/>
              <w:rPr>
                <w:rFonts w:cs="Arial"/>
                <w:sz w:val="20"/>
                <w:szCs w:val="20"/>
              </w:rPr>
            </w:pPr>
            <w:r w:rsidRPr="006252D8">
              <w:rPr>
                <w:rFonts w:cs="Arial"/>
                <w:sz w:val="20"/>
                <w:szCs w:val="20"/>
              </w:rPr>
              <w:t>(83)</w:t>
            </w:r>
          </w:p>
        </w:tc>
      </w:tr>
      <w:tr w:rsidR="007F5DB3" w:rsidRPr="00AC4D7B" w14:paraId="6E6DA0B6" w14:textId="77777777" w:rsidTr="007F5DB3">
        <w:trPr>
          <w:jc w:val="center"/>
        </w:trPr>
        <w:tc>
          <w:tcPr>
            <w:tcW w:w="2972" w:type="dxa"/>
            <w:tcBorders>
              <w:top w:val="single" w:sz="4" w:space="0" w:color="BFBFBF"/>
              <w:left w:val="single" w:sz="4" w:space="0" w:color="auto"/>
              <w:bottom w:val="single" w:sz="4" w:space="0" w:color="BFBFBF"/>
              <w:right w:val="single" w:sz="4" w:space="0" w:color="BFBFBF"/>
            </w:tcBorders>
            <w:shd w:val="clear" w:color="auto" w:fill="auto"/>
            <w:vAlign w:val="center"/>
          </w:tcPr>
          <w:p w14:paraId="007C14BF" w14:textId="77777777" w:rsidR="007F5DB3" w:rsidRPr="006252D8" w:rsidRDefault="007F5DB3" w:rsidP="007F5DB3">
            <w:pPr>
              <w:rPr>
                <w:rFonts w:cs="Arial"/>
                <w:sz w:val="20"/>
                <w:szCs w:val="20"/>
              </w:rPr>
            </w:pPr>
            <w:r w:rsidRPr="006252D8">
              <w:rPr>
                <w:rFonts w:cs="Arial"/>
                <w:sz w:val="20"/>
                <w:szCs w:val="20"/>
              </w:rPr>
              <w:t>Vehicles and plant replacement</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33348DCC" w14:textId="77777777" w:rsidR="007F5DB3" w:rsidRPr="006252D8" w:rsidRDefault="007F5DB3" w:rsidP="007F5DB3">
            <w:pPr>
              <w:jc w:val="right"/>
              <w:rPr>
                <w:rFonts w:cs="Arial"/>
                <w:sz w:val="20"/>
                <w:szCs w:val="20"/>
              </w:rPr>
            </w:pPr>
            <w:r w:rsidRPr="006252D8">
              <w:rPr>
                <w:rFonts w:cs="Arial"/>
                <w:sz w:val="20"/>
                <w:szCs w:val="20"/>
              </w:rPr>
              <w:t>2,477</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02309D9C" w14:textId="77777777" w:rsidR="007F5DB3" w:rsidRPr="006252D8" w:rsidRDefault="007F5DB3" w:rsidP="007F5DB3">
            <w:pPr>
              <w:jc w:val="right"/>
              <w:rPr>
                <w:rFonts w:cs="Arial"/>
                <w:sz w:val="20"/>
                <w:szCs w:val="20"/>
              </w:rPr>
            </w:pPr>
            <w:r w:rsidRPr="006252D8">
              <w:rPr>
                <w:rFonts w:cs="Arial"/>
                <w:sz w:val="20"/>
                <w:szCs w:val="20"/>
              </w:rPr>
              <w:t>1,530</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1E1B2821" w14:textId="77777777" w:rsidR="007F5DB3" w:rsidRPr="006252D8" w:rsidRDefault="007F5DB3" w:rsidP="007F5DB3">
            <w:pPr>
              <w:jc w:val="right"/>
              <w:rPr>
                <w:rFonts w:cs="Arial"/>
                <w:sz w:val="20"/>
                <w:szCs w:val="20"/>
              </w:rPr>
            </w:pPr>
            <w:r w:rsidRPr="006252D8">
              <w:rPr>
                <w:rFonts w:cs="Arial"/>
                <w:sz w:val="20"/>
                <w:szCs w:val="20"/>
              </w:rPr>
              <w:t>1,368</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12DF2989" w14:textId="77777777" w:rsidR="007F5DB3" w:rsidRPr="006252D8" w:rsidRDefault="007F5DB3" w:rsidP="007F5DB3">
            <w:pPr>
              <w:jc w:val="right"/>
              <w:rPr>
                <w:rFonts w:cs="Arial"/>
                <w:sz w:val="20"/>
                <w:szCs w:val="20"/>
              </w:rPr>
            </w:pPr>
            <w:r w:rsidRPr="006252D8">
              <w:rPr>
                <w:rFonts w:cs="Arial"/>
                <w:sz w:val="20"/>
                <w:szCs w:val="20"/>
              </w:rPr>
              <w:t>(162)</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16492DB3" w14:textId="77777777" w:rsidR="007F5DB3" w:rsidRPr="006252D8" w:rsidRDefault="007F5DB3" w:rsidP="007F5DB3">
            <w:pPr>
              <w:jc w:val="right"/>
              <w:rPr>
                <w:rFonts w:cs="Arial"/>
                <w:sz w:val="20"/>
                <w:szCs w:val="20"/>
              </w:rPr>
            </w:pPr>
            <w:r w:rsidRPr="006252D8">
              <w:rPr>
                <w:rFonts w:cs="Arial"/>
                <w:sz w:val="20"/>
                <w:szCs w:val="20"/>
              </w:rPr>
              <w:t>(162)</w:t>
            </w:r>
          </w:p>
        </w:tc>
        <w:tc>
          <w:tcPr>
            <w:tcW w:w="1112" w:type="dxa"/>
            <w:tcBorders>
              <w:top w:val="single" w:sz="4" w:space="0" w:color="BFBFBF"/>
              <w:left w:val="nil"/>
              <w:bottom w:val="single" w:sz="4" w:space="0" w:color="BFBFBF"/>
              <w:right w:val="single" w:sz="4" w:space="0" w:color="auto"/>
            </w:tcBorders>
            <w:shd w:val="clear" w:color="auto" w:fill="auto"/>
            <w:noWrap/>
            <w:vAlign w:val="center"/>
          </w:tcPr>
          <w:p w14:paraId="106ADB59" w14:textId="77777777" w:rsidR="007F5DB3" w:rsidRPr="006252D8" w:rsidRDefault="007F5DB3" w:rsidP="007F5DB3">
            <w:pPr>
              <w:jc w:val="right"/>
              <w:rPr>
                <w:rFonts w:cs="Arial"/>
                <w:sz w:val="20"/>
                <w:szCs w:val="20"/>
              </w:rPr>
            </w:pPr>
            <w:r w:rsidRPr="006252D8">
              <w:rPr>
                <w:rFonts w:cs="Arial"/>
                <w:sz w:val="20"/>
                <w:szCs w:val="20"/>
              </w:rPr>
              <w:t>0</w:t>
            </w:r>
          </w:p>
        </w:tc>
      </w:tr>
      <w:tr w:rsidR="007F5DB3" w:rsidRPr="00AC4D7B" w14:paraId="21B7B4A2" w14:textId="77777777" w:rsidTr="007F5DB3">
        <w:trPr>
          <w:jc w:val="center"/>
        </w:trPr>
        <w:tc>
          <w:tcPr>
            <w:tcW w:w="2972" w:type="dxa"/>
            <w:tcBorders>
              <w:top w:val="single" w:sz="4" w:space="0" w:color="BFBFBF"/>
              <w:left w:val="single" w:sz="4" w:space="0" w:color="auto"/>
              <w:bottom w:val="single" w:sz="4" w:space="0" w:color="BFBFBF"/>
              <w:right w:val="single" w:sz="4" w:space="0" w:color="BFBFBF"/>
            </w:tcBorders>
            <w:shd w:val="clear" w:color="auto" w:fill="auto"/>
            <w:vAlign w:val="center"/>
          </w:tcPr>
          <w:p w14:paraId="7EBB5139" w14:textId="77777777" w:rsidR="007F5DB3" w:rsidRPr="006252D8" w:rsidRDefault="007F5DB3" w:rsidP="007F5DB3">
            <w:pPr>
              <w:rPr>
                <w:rFonts w:cs="Arial"/>
                <w:sz w:val="20"/>
                <w:szCs w:val="20"/>
              </w:rPr>
            </w:pPr>
            <w:r w:rsidRPr="006252D8">
              <w:rPr>
                <w:rFonts w:cs="Arial"/>
                <w:sz w:val="20"/>
                <w:szCs w:val="20"/>
              </w:rPr>
              <w:t>Corporate buildings/Asset Management Planning</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7327FDE7" w14:textId="77777777" w:rsidR="007F5DB3" w:rsidRPr="006252D8" w:rsidRDefault="007F5DB3" w:rsidP="007F5DB3">
            <w:pPr>
              <w:jc w:val="right"/>
              <w:rPr>
                <w:rFonts w:cs="Arial"/>
                <w:sz w:val="20"/>
                <w:szCs w:val="20"/>
              </w:rPr>
            </w:pPr>
            <w:r w:rsidRPr="006252D8">
              <w:rPr>
                <w:rFonts w:cs="Arial"/>
                <w:sz w:val="20"/>
                <w:szCs w:val="20"/>
              </w:rPr>
              <w:t>480</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60446D0B" w14:textId="77777777" w:rsidR="007F5DB3" w:rsidRPr="006252D8" w:rsidRDefault="007F5DB3" w:rsidP="007F5DB3">
            <w:pPr>
              <w:jc w:val="right"/>
              <w:rPr>
                <w:rFonts w:cs="Arial"/>
                <w:sz w:val="20"/>
                <w:szCs w:val="20"/>
              </w:rPr>
            </w:pPr>
            <w:r w:rsidRPr="006252D8">
              <w:rPr>
                <w:rFonts w:cs="Arial"/>
                <w:sz w:val="20"/>
                <w:szCs w:val="20"/>
              </w:rPr>
              <w:t>158</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3C182F04" w14:textId="77777777" w:rsidR="007F5DB3" w:rsidRPr="006252D8" w:rsidRDefault="007F5DB3" w:rsidP="007F5DB3">
            <w:pPr>
              <w:jc w:val="right"/>
              <w:rPr>
                <w:rFonts w:cs="Arial"/>
                <w:sz w:val="20"/>
                <w:szCs w:val="20"/>
              </w:rPr>
            </w:pPr>
            <w:r w:rsidRPr="006252D8">
              <w:rPr>
                <w:rFonts w:cs="Arial"/>
                <w:sz w:val="20"/>
                <w:szCs w:val="20"/>
              </w:rPr>
              <w:t>73</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06D07523" w14:textId="77777777" w:rsidR="007F5DB3" w:rsidRPr="006252D8" w:rsidRDefault="007F5DB3" w:rsidP="007F5DB3">
            <w:pPr>
              <w:jc w:val="right"/>
              <w:rPr>
                <w:rFonts w:cs="Arial"/>
                <w:sz w:val="20"/>
                <w:szCs w:val="20"/>
              </w:rPr>
            </w:pPr>
            <w:r w:rsidRPr="006252D8">
              <w:rPr>
                <w:rFonts w:cs="Arial"/>
                <w:sz w:val="20"/>
                <w:szCs w:val="20"/>
              </w:rPr>
              <w:t>(85)</w:t>
            </w:r>
          </w:p>
        </w:tc>
        <w:tc>
          <w:tcPr>
            <w:tcW w:w="1111" w:type="dxa"/>
            <w:tcBorders>
              <w:top w:val="single" w:sz="4" w:space="0" w:color="BFBFBF"/>
              <w:left w:val="nil"/>
              <w:bottom w:val="single" w:sz="4" w:space="0" w:color="BFBFBF"/>
              <w:right w:val="single" w:sz="4" w:space="0" w:color="BFBFBF"/>
            </w:tcBorders>
            <w:shd w:val="clear" w:color="auto" w:fill="auto"/>
            <w:noWrap/>
            <w:vAlign w:val="center"/>
          </w:tcPr>
          <w:p w14:paraId="062A7A8A" w14:textId="77777777" w:rsidR="007F5DB3" w:rsidRPr="006252D8" w:rsidRDefault="007F5DB3" w:rsidP="007F5DB3">
            <w:pPr>
              <w:jc w:val="right"/>
              <w:rPr>
                <w:rFonts w:cs="Arial"/>
                <w:sz w:val="20"/>
                <w:szCs w:val="20"/>
              </w:rPr>
            </w:pPr>
            <w:r w:rsidRPr="006252D8">
              <w:rPr>
                <w:rFonts w:cs="Arial"/>
                <w:sz w:val="20"/>
                <w:szCs w:val="20"/>
              </w:rPr>
              <w:t>(85)</w:t>
            </w:r>
          </w:p>
        </w:tc>
        <w:tc>
          <w:tcPr>
            <w:tcW w:w="1112" w:type="dxa"/>
            <w:tcBorders>
              <w:top w:val="single" w:sz="4" w:space="0" w:color="BFBFBF"/>
              <w:left w:val="nil"/>
              <w:bottom w:val="single" w:sz="4" w:space="0" w:color="BFBFBF"/>
              <w:right w:val="single" w:sz="4" w:space="0" w:color="auto"/>
            </w:tcBorders>
            <w:shd w:val="clear" w:color="auto" w:fill="auto"/>
            <w:noWrap/>
            <w:vAlign w:val="center"/>
          </w:tcPr>
          <w:p w14:paraId="26ABA3CD" w14:textId="77777777" w:rsidR="007F5DB3" w:rsidRPr="006252D8" w:rsidRDefault="007F5DB3" w:rsidP="007F5DB3">
            <w:pPr>
              <w:jc w:val="right"/>
              <w:rPr>
                <w:rFonts w:cs="Arial"/>
                <w:sz w:val="20"/>
                <w:szCs w:val="20"/>
              </w:rPr>
            </w:pPr>
            <w:r w:rsidRPr="006252D8">
              <w:rPr>
                <w:rFonts w:cs="Arial"/>
                <w:sz w:val="20"/>
                <w:szCs w:val="20"/>
              </w:rPr>
              <w:t>0</w:t>
            </w:r>
          </w:p>
        </w:tc>
      </w:tr>
      <w:tr w:rsidR="007F5DB3" w:rsidRPr="00AC4D7B" w14:paraId="1D241F8A" w14:textId="77777777" w:rsidTr="007F5DB3">
        <w:trPr>
          <w:jc w:val="center"/>
        </w:trPr>
        <w:tc>
          <w:tcPr>
            <w:tcW w:w="2972" w:type="dxa"/>
            <w:tcBorders>
              <w:top w:val="single" w:sz="4" w:space="0" w:color="BFBFBF"/>
              <w:left w:val="single" w:sz="4" w:space="0" w:color="auto"/>
              <w:bottom w:val="single" w:sz="4" w:space="0" w:color="auto"/>
              <w:right w:val="single" w:sz="4" w:space="0" w:color="BFBFBF"/>
            </w:tcBorders>
            <w:shd w:val="clear" w:color="auto" w:fill="auto"/>
            <w:vAlign w:val="center"/>
          </w:tcPr>
          <w:p w14:paraId="1F99776E" w14:textId="77777777" w:rsidR="007F5DB3" w:rsidRPr="006252D8" w:rsidRDefault="007F5DB3" w:rsidP="007F5DB3">
            <w:pPr>
              <w:rPr>
                <w:rFonts w:cs="Arial"/>
                <w:sz w:val="20"/>
                <w:szCs w:val="20"/>
              </w:rPr>
            </w:pPr>
          </w:p>
        </w:tc>
        <w:tc>
          <w:tcPr>
            <w:tcW w:w="1111" w:type="dxa"/>
            <w:tcBorders>
              <w:top w:val="single" w:sz="4" w:space="0" w:color="BFBFBF"/>
              <w:left w:val="nil"/>
              <w:bottom w:val="single" w:sz="4" w:space="0" w:color="auto"/>
              <w:right w:val="single" w:sz="4" w:space="0" w:color="BFBFBF"/>
            </w:tcBorders>
            <w:shd w:val="clear" w:color="auto" w:fill="auto"/>
            <w:noWrap/>
            <w:vAlign w:val="center"/>
          </w:tcPr>
          <w:p w14:paraId="5D8782DD" w14:textId="77777777" w:rsidR="007F5DB3" w:rsidRPr="006252D8" w:rsidRDefault="007F5DB3" w:rsidP="007F5DB3">
            <w:pPr>
              <w:jc w:val="right"/>
              <w:rPr>
                <w:rFonts w:cs="Arial"/>
                <w:sz w:val="20"/>
                <w:szCs w:val="20"/>
              </w:rPr>
            </w:pPr>
          </w:p>
        </w:tc>
        <w:tc>
          <w:tcPr>
            <w:tcW w:w="1111" w:type="dxa"/>
            <w:tcBorders>
              <w:top w:val="single" w:sz="4" w:space="0" w:color="BFBFBF"/>
              <w:left w:val="nil"/>
              <w:bottom w:val="single" w:sz="4" w:space="0" w:color="auto"/>
              <w:right w:val="single" w:sz="4" w:space="0" w:color="BFBFBF"/>
            </w:tcBorders>
            <w:shd w:val="clear" w:color="auto" w:fill="auto"/>
            <w:noWrap/>
            <w:vAlign w:val="center"/>
          </w:tcPr>
          <w:p w14:paraId="32B43233" w14:textId="77777777" w:rsidR="007F5DB3" w:rsidRPr="006252D8" w:rsidRDefault="007F5DB3" w:rsidP="007F5DB3">
            <w:pPr>
              <w:jc w:val="right"/>
              <w:rPr>
                <w:rFonts w:cs="Arial"/>
                <w:sz w:val="20"/>
                <w:szCs w:val="20"/>
              </w:rPr>
            </w:pPr>
          </w:p>
        </w:tc>
        <w:tc>
          <w:tcPr>
            <w:tcW w:w="1111" w:type="dxa"/>
            <w:tcBorders>
              <w:top w:val="single" w:sz="4" w:space="0" w:color="BFBFBF"/>
              <w:left w:val="nil"/>
              <w:bottom w:val="single" w:sz="4" w:space="0" w:color="auto"/>
              <w:right w:val="single" w:sz="4" w:space="0" w:color="BFBFBF"/>
            </w:tcBorders>
            <w:shd w:val="clear" w:color="auto" w:fill="auto"/>
            <w:noWrap/>
            <w:vAlign w:val="center"/>
          </w:tcPr>
          <w:p w14:paraId="45F6A72B" w14:textId="77777777" w:rsidR="007F5DB3" w:rsidRPr="006252D8" w:rsidRDefault="007F5DB3" w:rsidP="007F5DB3">
            <w:pPr>
              <w:jc w:val="right"/>
              <w:rPr>
                <w:rFonts w:cs="Arial"/>
                <w:sz w:val="20"/>
                <w:szCs w:val="20"/>
              </w:rPr>
            </w:pPr>
          </w:p>
        </w:tc>
        <w:tc>
          <w:tcPr>
            <w:tcW w:w="1111" w:type="dxa"/>
            <w:tcBorders>
              <w:top w:val="single" w:sz="4" w:space="0" w:color="BFBFBF"/>
              <w:left w:val="nil"/>
              <w:bottom w:val="single" w:sz="4" w:space="0" w:color="auto"/>
              <w:right w:val="single" w:sz="4" w:space="0" w:color="BFBFBF"/>
            </w:tcBorders>
            <w:shd w:val="clear" w:color="auto" w:fill="auto"/>
            <w:noWrap/>
            <w:vAlign w:val="center"/>
          </w:tcPr>
          <w:p w14:paraId="2277F1E4" w14:textId="77777777" w:rsidR="007F5DB3" w:rsidRPr="006252D8" w:rsidRDefault="007F5DB3" w:rsidP="007F5DB3">
            <w:pPr>
              <w:jc w:val="right"/>
              <w:rPr>
                <w:rFonts w:cs="Arial"/>
                <w:sz w:val="20"/>
                <w:szCs w:val="20"/>
              </w:rPr>
            </w:pPr>
          </w:p>
        </w:tc>
        <w:tc>
          <w:tcPr>
            <w:tcW w:w="1111" w:type="dxa"/>
            <w:tcBorders>
              <w:top w:val="single" w:sz="4" w:space="0" w:color="BFBFBF"/>
              <w:left w:val="nil"/>
              <w:bottom w:val="single" w:sz="4" w:space="0" w:color="auto"/>
              <w:right w:val="single" w:sz="4" w:space="0" w:color="BFBFBF"/>
            </w:tcBorders>
            <w:shd w:val="clear" w:color="auto" w:fill="auto"/>
            <w:noWrap/>
            <w:vAlign w:val="center"/>
          </w:tcPr>
          <w:p w14:paraId="6E87866D" w14:textId="77777777" w:rsidR="007F5DB3" w:rsidRPr="006252D8" w:rsidRDefault="007F5DB3" w:rsidP="007F5DB3">
            <w:pPr>
              <w:jc w:val="right"/>
              <w:rPr>
                <w:rFonts w:cs="Arial"/>
                <w:sz w:val="20"/>
                <w:szCs w:val="20"/>
              </w:rPr>
            </w:pPr>
          </w:p>
        </w:tc>
        <w:tc>
          <w:tcPr>
            <w:tcW w:w="1112" w:type="dxa"/>
            <w:tcBorders>
              <w:top w:val="single" w:sz="4" w:space="0" w:color="BFBFBF"/>
              <w:left w:val="nil"/>
              <w:bottom w:val="single" w:sz="4" w:space="0" w:color="auto"/>
              <w:right w:val="single" w:sz="4" w:space="0" w:color="auto"/>
            </w:tcBorders>
            <w:shd w:val="clear" w:color="auto" w:fill="auto"/>
            <w:noWrap/>
            <w:vAlign w:val="center"/>
          </w:tcPr>
          <w:p w14:paraId="603CF231" w14:textId="77777777" w:rsidR="007F5DB3" w:rsidRPr="006252D8" w:rsidRDefault="007F5DB3" w:rsidP="007F5DB3">
            <w:pPr>
              <w:jc w:val="right"/>
              <w:rPr>
                <w:rFonts w:cs="Arial"/>
                <w:sz w:val="20"/>
                <w:szCs w:val="20"/>
              </w:rPr>
            </w:pPr>
          </w:p>
        </w:tc>
      </w:tr>
      <w:tr w:rsidR="007F5DB3" w:rsidRPr="00AC4D7B" w14:paraId="0084E7B5" w14:textId="77777777" w:rsidTr="007F5DB3">
        <w:trPr>
          <w:trHeight w:val="70"/>
          <w:jc w:val="center"/>
        </w:trPr>
        <w:tc>
          <w:tcPr>
            <w:tcW w:w="2972" w:type="dxa"/>
            <w:tcBorders>
              <w:top w:val="single" w:sz="4" w:space="0" w:color="auto"/>
              <w:left w:val="single" w:sz="4" w:space="0" w:color="auto"/>
              <w:bottom w:val="single" w:sz="4" w:space="0" w:color="auto"/>
              <w:right w:val="single" w:sz="4" w:space="0" w:color="BFBFBF"/>
            </w:tcBorders>
            <w:shd w:val="clear" w:color="auto" w:fill="D9D9D9" w:themeFill="background1" w:themeFillShade="D9"/>
            <w:vAlign w:val="center"/>
          </w:tcPr>
          <w:p w14:paraId="0DDAAD87" w14:textId="77777777" w:rsidR="007F5DB3" w:rsidRPr="006252D8" w:rsidRDefault="007F5DB3" w:rsidP="007F5DB3">
            <w:pPr>
              <w:rPr>
                <w:rFonts w:cs="Arial"/>
                <w:b/>
                <w:sz w:val="20"/>
                <w:szCs w:val="20"/>
              </w:rPr>
            </w:pPr>
            <w:r w:rsidRPr="006252D8">
              <w:rPr>
                <w:rFonts w:cs="Arial"/>
                <w:b/>
                <w:sz w:val="20"/>
                <w:szCs w:val="20"/>
              </w:rPr>
              <w:t>TOTAL</w:t>
            </w:r>
          </w:p>
        </w:tc>
        <w:tc>
          <w:tcPr>
            <w:tcW w:w="1111" w:type="dxa"/>
            <w:tcBorders>
              <w:top w:val="single" w:sz="4" w:space="0" w:color="auto"/>
              <w:left w:val="nil"/>
              <w:bottom w:val="single" w:sz="4" w:space="0" w:color="auto"/>
              <w:right w:val="single" w:sz="4" w:space="0" w:color="BFBFBF"/>
            </w:tcBorders>
            <w:shd w:val="clear" w:color="auto" w:fill="D9D9D9" w:themeFill="background1" w:themeFillShade="D9"/>
            <w:noWrap/>
            <w:vAlign w:val="center"/>
          </w:tcPr>
          <w:p w14:paraId="193FD6F5" w14:textId="77777777" w:rsidR="007F5DB3" w:rsidRPr="006252D8" w:rsidRDefault="007F5DB3" w:rsidP="007F5DB3">
            <w:pPr>
              <w:jc w:val="right"/>
              <w:rPr>
                <w:rFonts w:cs="Arial"/>
                <w:b/>
                <w:sz w:val="20"/>
                <w:szCs w:val="20"/>
              </w:rPr>
            </w:pPr>
            <w:r w:rsidRPr="006252D8">
              <w:rPr>
                <w:rFonts w:cs="Arial"/>
                <w:b/>
                <w:sz w:val="20"/>
                <w:szCs w:val="20"/>
              </w:rPr>
              <w:t>9,614</w:t>
            </w:r>
          </w:p>
        </w:tc>
        <w:tc>
          <w:tcPr>
            <w:tcW w:w="1111" w:type="dxa"/>
            <w:tcBorders>
              <w:top w:val="single" w:sz="4" w:space="0" w:color="auto"/>
              <w:left w:val="nil"/>
              <w:bottom w:val="single" w:sz="4" w:space="0" w:color="auto"/>
              <w:right w:val="single" w:sz="4" w:space="0" w:color="BFBFBF"/>
            </w:tcBorders>
            <w:shd w:val="clear" w:color="auto" w:fill="D9D9D9" w:themeFill="background1" w:themeFillShade="D9"/>
            <w:noWrap/>
            <w:vAlign w:val="center"/>
          </w:tcPr>
          <w:p w14:paraId="41263059" w14:textId="77777777" w:rsidR="007F5DB3" w:rsidRPr="006252D8" w:rsidRDefault="007F5DB3" w:rsidP="007F5DB3">
            <w:pPr>
              <w:jc w:val="right"/>
              <w:rPr>
                <w:rFonts w:cs="Arial"/>
                <w:b/>
                <w:sz w:val="20"/>
                <w:szCs w:val="20"/>
              </w:rPr>
            </w:pPr>
            <w:r>
              <w:rPr>
                <w:rFonts w:cs="Arial"/>
                <w:b/>
                <w:sz w:val="20"/>
                <w:szCs w:val="20"/>
              </w:rPr>
              <w:t>6</w:t>
            </w:r>
            <w:r w:rsidRPr="006252D8">
              <w:rPr>
                <w:rFonts w:cs="Arial"/>
                <w:b/>
                <w:sz w:val="20"/>
                <w:szCs w:val="20"/>
              </w:rPr>
              <w:t>,</w:t>
            </w:r>
            <w:r>
              <w:rPr>
                <w:rFonts w:cs="Arial"/>
                <w:b/>
                <w:sz w:val="20"/>
                <w:szCs w:val="20"/>
              </w:rPr>
              <w:t>61</w:t>
            </w:r>
            <w:r w:rsidRPr="006252D8">
              <w:rPr>
                <w:rFonts w:cs="Arial"/>
                <w:b/>
                <w:sz w:val="20"/>
                <w:szCs w:val="20"/>
              </w:rPr>
              <w:t>3</w:t>
            </w:r>
          </w:p>
        </w:tc>
        <w:tc>
          <w:tcPr>
            <w:tcW w:w="1111" w:type="dxa"/>
            <w:tcBorders>
              <w:top w:val="single" w:sz="4" w:space="0" w:color="auto"/>
              <w:left w:val="nil"/>
              <w:bottom w:val="single" w:sz="4" w:space="0" w:color="auto"/>
              <w:right w:val="single" w:sz="4" w:space="0" w:color="BFBFBF"/>
            </w:tcBorders>
            <w:shd w:val="clear" w:color="auto" w:fill="D9D9D9" w:themeFill="background1" w:themeFillShade="D9"/>
            <w:noWrap/>
            <w:vAlign w:val="center"/>
          </w:tcPr>
          <w:p w14:paraId="71199AC6" w14:textId="77777777" w:rsidR="007F5DB3" w:rsidRPr="006252D8" w:rsidRDefault="007F5DB3" w:rsidP="007F5DB3">
            <w:pPr>
              <w:jc w:val="right"/>
              <w:rPr>
                <w:rFonts w:cs="Arial"/>
                <w:b/>
                <w:sz w:val="20"/>
                <w:szCs w:val="20"/>
              </w:rPr>
            </w:pPr>
            <w:r w:rsidRPr="006252D8">
              <w:rPr>
                <w:rFonts w:cs="Arial"/>
                <w:b/>
                <w:sz w:val="20"/>
                <w:szCs w:val="20"/>
              </w:rPr>
              <w:t>4,</w:t>
            </w:r>
            <w:r>
              <w:rPr>
                <w:rFonts w:cs="Arial"/>
                <w:b/>
                <w:sz w:val="20"/>
                <w:szCs w:val="20"/>
              </w:rPr>
              <w:t>045</w:t>
            </w:r>
          </w:p>
        </w:tc>
        <w:tc>
          <w:tcPr>
            <w:tcW w:w="1111" w:type="dxa"/>
            <w:tcBorders>
              <w:top w:val="single" w:sz="4" w:space="0" w:color="auto"/>
              <w:left w:val="nil"/>
              <w:bottom w:val="single" w:sz="4" w:space="0" w:color="auto"/>
              <w:right w:val="single" w:sz="4" w:space="0" w:color="BFBFBF"/>
            </w:tcBorders>
            <w:shd w:val="clear" w:color="auto" w:fill="D9D9D9" w:themeFill="background1" w:themeFillShade="D9"/>
            <w:noWrap/>
            <w:vAlign w:val="center"/>
          </w:tcPr>
          <w:p w14:paraId="7E5392F7" w14:textId="77777777" w:rsidR="007F5DB3" w:rsidRPr="006252D8" w:rsidRDefault="007F5DB3" w:rsidP="007F5DB3">
            <w:pPr>
              <w:jc w:val="right"/>
              <w:rPr>
                <w:rFonts w:cs="Arial"/>
                <w:b/>
                <w:sz w:val="20"/>
                <w:szCs w:val="20"/>
              </w:rPr>
            </w:pPr>
            <w:r>
              <w:rPr>
                <w:rFonts w:cs="Arial"/>
                <w:b/>
                <w:sz w:val="20"/>
                <w:szCs w:val="20"/>
              </w:rPr>
              <w:t>(2,568)</w:t>
            </w:r>
          </w:p>
        </w:tc>
        <w:tc>
          <w:tcPr>
            <w:tcW w:w="1111" w:type="dxa"/>
            <w:tcBorders>
              <w:top w:val="single" w:sz="4" w:space="0" w:color="auto"/>
              <w:left w:val="nil"/>
              <w:bottom w:val="single" w:sz="4" w:space="0" w:color="auto"/>
              <w:right w:val="single" w:sz="4" w:space="0" w:color="BFBFBF"/>
            </w:tcBorders>
            <w:shd w:val="clear" w:color="auto" w:fill="D9D9D9" w:themeFill="background1" w:themeFillShade="D9"/>
            <w:noWrap/>
            <w:vAlign w:val="center"/>
          </w:tcPr>
          <w:p w14:paraId="673A0371" w14:textId="77777777" w:rsidR="007F5DB3" w:rsidRPr="006252D8" w:rsidRDefault="007F5DB3" w:rsidP="007F5DB3">
            <w:pPr>
              <w:jc w:val="right"/>
              <w:rPr>
                <w:rFonts w:cs="Arial"/>
                <w:b/>
                <w:sz w:val="20"/>
                <w:szCs w:val="20"/>
              </w:rPr>
            </w:pPr>
            <w:r>
              <w:rPr>
                <w:rFonts w:cs="Arial"/>
                <w:b/>
                <w:sz w:val="20"/>
                <w:szCs w:val="20"/>
              </w:rPr>
              <w:t>(2,379)</w:t>
            </w:r>
          </w:p>
        </w:tc>
        <w:tc>
          <w:tcPr>
            <w:tcW w:w="111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7A2EDAD" w14:textId="77777777" w:rsidR="007F5DB3" w:rsidRPr="006252D8" w:rsidRDefault="007F5DB3" w:rsidP="007F5DB3">
            <w:pPr>
              <w:jc w:val="right"/>
              <w:rPr>
                <w:rFonts w:cs="Arial"/>
                <w:b/>
                <w:sz w:val="20"/>
                <w:szCs w:val="20"/>
              </w:rPr>
            </w:pPr>
            <w:r>
              <w:rPr>
                <w:rFonts w:cs="Arial"/>
                <w:b/>
                <w:sz w:val="20"/>
                <w:szCs w:val="20"/>
              </w:rPr>
              <w:t>(189)</w:t>
            </w:r>
          </w:p>
        </w:tc>
      </w:tr>
    </w:tbl>
    <w:p w14:paraId="05B9C6C6" w14:textId="77777777" w:rsidR="007F5DB3" w:rsidRPr="00AC4D7B" w:rsidRDefault="007F5DB3" w:rsidP="007F5DB3"/>
    <w:p w14:paraId="430B605D" w14:textId="77777777" w:rsidR="007F5DB3" w:rsidRPr="00AC4D7B" w:rsidRDefault="007F5DB3" w:rsidP="007F5DB3">
      <w:r w:rsidRPr="00AC4D7B">
        <w:t>The Council spent £</w:t>
      </w:r>
      <w:r>
        <w:t>4.045</w:t>
      </w:r>
      <w:r w:rsidRPr="00AC4D7B">
        <w:t>m against the revised budget of £</w:t>
      </w:r>
      <w:r>
        <w:t>6.613m</w:t>
      </w:r>
      <w:r w:rsidRPr="00AC4D7B">
        <w:t xml:space="preserve">, which equates </w:t>
      </w:r>
      <w:r>
        <w:t>to 61%</w:t>
      </w:r>
      <w:r w:rsidRPr="00AC4D7B">
        <w:t xml:space="preserve"> and gives an overall variance of £</w:t>
      </w:r>
      <w:r>
        <w:t>2.568m</w:t>
      </w:r>
      <w:r w:rsidRPr="00AC4D7B">
        <w:t>.  Of this, £</w:t>
      </w:r>
      <w:r>
        <w:t>2.379</w:t>
      </w:r>
      <w:r w:rsidRPr="00AC4D7B">
        <w:t xml:space="preserve">m has been carried forward into </w:t>
      </w:r>
      <w:r>
        <w:t>2021/22</w:t>
      </w:r>
      <w:r w:rsidRPr="00AC4D7B">
        <w:t xml:space="preserve"> to enable projects to be completed.  The remaining £0.</w:t>
      </w:r>
      <w:r>
        <w:t>189</w:t>
      </w:r>
      <w:r w:rsidRPr="00AC4D7B">
        <w:t>m is a net underspend.  A summary position of capital expenditure is set out below.</w:t>
      </w:r>
    </w:p>
    <w:p w14:paraId="267CAB3B" w14:textId="77777777" w:rsidR="007F5DB3" w:rsidRPr="00AC4D7B" w:rsidRDefault="007F5DB3" w:rsidP="007F5DB3"/>
    <w:p w14:paraId="17C1D00D" w14:textId="77777777" w:rsidR="007F5DB3" w:rsidRPr="00AC4D7B" w:rsidRDefault="007F5DB3" w:rsidP="007F5DB3"/>
    <w:p w14:paraId="01573F7E" w14:textId="77777777" w:rsidR="007F5DB3" w:rsidRPr="00AC4D7B" w:rsidRDefault="007F5DB3" w:rsidP="007F5DB3"/>
    <w:p w14:paraId="0B2B842B" w14:textId="77777777" w:rsidR="007F5DB3" w:rsidRPr="00AC4D7B" w:rsidRDefault="007F5DB3" w:rsidP="007F5DB3"/>
    <w:p w14:paraId="1F7A0C5D" w14:textId="77777777" w:rsidR="007F5DB3" w:rsidRPr="00AC4D7B" w:rsidRDefault="007F5DB3" w:rsidP="007F5DB3">
      <w:r>
        <w:rPr>
          <w:noProof/>
        </w:rPr>
        <w:drawing>
          <wp:inline distT="0" distB="0" distL="0" distR="0" wp14:anchorId="779727D9" wp14:editId="7CE0B713">
            <wp:extent cx="6120130" cy="3672205"/>
            <wp:effectExtent l="0" t="0" r="0" b="4445"/>
            <wp:docPr id="12" name="Chart 12">
              <a:extLst xmlns:a="http://schemas.openxmlformats.org/drawingml/2006/main">
                <a:ext uri="{FF2B5EF4-FFF2-40B4-BE49-F238E27FC236}">
                  <a16:creationId xmlns:a16="http://schemas.microsoft.com/office/drawing/2014/main" id="{26B1FD6F-EAFC-41FD-89EF-7973CA021D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839073E" w14:textId="77777777" w:rsidR="007F5DB3" w:rsidRPr="00AC4D7B" w:rsidRDefault="007F5DB3" w:rsidP="007F5DB3"/>
    <w:p w14:paraId="2ED7A13D" w14:textId="77777777" w:rsidR="007F5DB3" w:rsidRPr="00AC4D7B" w:rsidRDefault="007F5DB3" w:rsidP="007F5DB3"/>
    <w:p w14:paraId="21517CD6" w14:textId="77777777" w:rsidR="007F5DB3" w:rsidRPr="00AC4D7B" w:rsidRDefault="007F5DB3" w:rsidP="007F5DB3">
      <w:pPr>
        <w:rPr>
          <w:color w:val="FF0000"/>
        </w:rPr>
      </w:pPr>
    </w:p>
    <w:p w14:paraId="4E2EED81" w14:textId="77777777" w:rsidR="007F5DB3" w:rsidRDefault="007F5DB3" w:rsidP="007F5DB3"/>
    <w:p w14:paraId="795A4231" w14:textId="77777777" w:rsidR="007F5DB3" w:rsidRPr="00AC4D7B" w:rsidRDefault="007F5DB3" w:rsidP="007F5DB3">
      <w:pPr>
        <w:rPr>
          <w:rFonts w:cs="Arial"/>
          <w:b/>
          <w:szCs w:val="22"/>
        </w:rPr>
      </w:pPr>
      <w:r>
        <w:rPr>
          <w:noProof/>
        </w:rPr>
        <w:drawing>
          <wp:inline distT="0" distB="0" distL="0" distR="0" wp14:anchorId="53DC4EDC" wp14:editId="45CA2A9C">
            <wp:extent cx="6120130" cy="3672205"/>
            <wp:effectExtent l="0" t="0" r="0" b="4445"/>
            <wp:docPr id="13" name="Chart 13">
              <a:extLst xmlns:a="http://schemas.openxmlformats.org/drawingml/2006/main">
                <a:ext uri="{FF2B5EF4-FFF2-40B4-BE49-F238E27FC236}">
                  <a16:creationId xmlns:a16="http://schemas.microsoft.com/office/drawing/2014/main" id="{582A9866-66B5-4E5F-9FF7-98313677D8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AC4D7B">
        <w:br w:type="page"/>
      </w:r>
    </w:p>
    <w:p w14:paraId="16AA4F89" w14:textId="77777777" w:rsidR="007F5DB3" w:rsidRPr="00D70299" w:rsidRDefault="007F5DB3" w:rsidP="007F5DB3">
      <w:pPr>
        <w:jc w:val="left"/>
      </w:pPr>
      <w:r w:rsidRPr="00D70299">
        <w:t>The significant areas of spend on projects (over £20k) in 2020/21 are outlined below:</w:t>
      </w:r>
    </w:p>
    <w:p w14:paraId="1EB9E675" w14:textId="77777777" w:rsidR="007F5DB3" w:rsidRDefault="007F5DB3" w:rsidP="007F5DB3">
      <w:pPr>
        <w:jc w:val="left"/>
        <w:rPr>
          <w:b/>
          <w:bCs/>
        </w:rPr>
      </w:pPr>
    </w:p>
    <w:tbl>
      <w:tblPr>
        <w:tblStyle w:val="TableGrid"/>
        <w:tblW w:w="0" w:type="auto"/>
        <w:tblLook w:val="04A0" w:firstRow="1" w:lastRow="0" w:firstColumn="1" w:lastColumn="0" w:noHBand="0" w:noVBand="1"/>
      </w:tblPr>
      <w:tblGrid>
        <w:gridCol w:w="5665"/>
        <w:gridCol w:w="1023"/>
      </w:tblGrid>
      <w:tr w:rsidR="007F5DB3" w14:paraId="2303AAC2" w14:textId="77777777" w:rsidTr="007F5DB3">
        <w:tc>
          <w:tcPr>
            <w:tcW w:w="5665" w:type="dxa"/>
          </w:tcPr>
          <w:p w14:paraId="5CCAC602" w14:textId="77777777" w:rsidR="007F5DB3" w:rsidRPr="005A01CA" w:rsidRDefault="007F5DB3" w:rsidP="007F5DB3">
            <w:pPr>
              <w:jc w:val="center"/>
              <w:rPr>
                <w:rFonts w:cs="Arial"/>
                <w:b/>
                <w:bCs/>
                <w:szCs w:val="22"/>
              </w:rPr>
            </w:pPr>
            <w:r w:rsidRPr="005A01CA">
              <w:rPr>
                <w:rFonts w:cs="Arial"/>
                <w:b/>
                <w:bCs/>
                <w:szCs w:val="22"/>
              </w:rPr>
              <w:t>Project</w:t>
            </w:r>
          </w:p>
        </w:tc>
        <w:tc>
          <w:tcPr>
            <w:tcW w:w="993" w:type="dxa"/>
          </w:tcPr>
          <w:p w14:paraId="6A1B1AB5" w14:textId="77777777" w:rsidR="007F5DB3" w:rsidRPr="005A01CA" w:rsidRDefault="007F5DB3" w:rsidP="007F5DB3">
            <w:pPr>
              <w:jc w:val="center"/>
              <w:rPr>
                <w:rFonts w:cs="Arial"/>
                <w:b/>
                <w:bCs/>
                <w:szCs w:val="22"/>
              </w:rPr>
            </w:pPr>
            <w:r w:rsidRPr="005A01CA">
              <w:rPr>
                <w:rFonts w:cs="Arial"/>
                <w:b/>
                <w:bCs/>
                <w:szCs w:val="22"/>
              </w:rPr>
              <w:t xml:space="preserve">2020/21 Outturn </w:t>
            </w:r>
          </w:p>
          <w:p w14:paraId="2CDC85BF" w14:textId="77777777" w:rsidR="007F5DB3" w:rsidRPr="005A01CA" w:rsidRDefault="007F5DB3" w:rsidP="007F5DB3">
            <w:pPr>
              <w:jc w:val="center"/>
              <w:rPr>
                <w:rFonts w:cs="Arial"/>
                <w:b/>
                <w:bCs/>
                <w:szCs w:val="22"/>
              </w:rPr>
            </w:pPr>
            <w:r w:rsidRPr="005A01CA">
              <w:rPr>
                <w:rFonts w:cs="Arial"/>
                <w:b/>
                <w:bCs/>
                <w:szCs w:val="22"/>
              </w:rPr>
              <w:t>£m</w:t>
            </w:r>
          </w:p>
        </w:tc>
      </w:tr>
      <w:tr w:rsidR="007F5DB3" w14:paraId="31286713" w14:textId="77777777" w:rsidTr="007F5DB3">
        <w:tc>
          <w:tcPr>
            <w:tcW w:w="5665" w:type="dxa"/>
          </w:tcPr>
          <w:p w14:paraId="5EBA9B0F" w14:textId="77777777" w:rsidR="007F5DB3" w:rsidRPr="005A01CA" w:rsidRDefault="007F5DB3" w:rsidP="007F5DB3">
            <w:pPr>
              <w:jc w:val="left"/>
              <w:rPr>
                <w:rFonts w:cs="Arial"/>
                <w:b/>
                <w:color w:val="0070C0"/>
                <w:szCs w:val="22"/>
              </w:rPr>
            </w:pPr>
          </w:p>
          <w:p w14:paraId="37DB6C56" w14:textId="77777777" w:rsidR="007F5DB3" w:rsidRPr="005A01CA" w:rsidRDefault="007F5DB3" w:rsidP="007F5DB3">
            <w:pPr>
              <w:jc w:val="left"/>
              <w:rPr>
                <w:rFonts w:cs="Arial"/>
                <w:szCs w:val="22"/>
              </w:rPr>
            </w:pPr>
            <w:r w:rsidRPr="005A01CA">
              <w:rPr>
                <w:rFonts w:cs="Arial"/>
                <w:b/>
                <w:color w:val="0070C0"/>
                <w:szCs w:val="22"/>
              </w:rPr>
              <w:t>Good homes, green spaces and healthy places</w:t>
            </w:r>
          </w:p>
        </w:tc>
        <w:tc>
          <w:tcPr>
            <w:tcW w:w="993" w:type="dxa"/>
          </w:tcPr>
          <w:p w14:paraId="77D7E991" w14:textId="77777777" w:rsidR="007F5DB3" w:rsidRPr="005A01CA" w:rsidRDefault="007F5DB3" w:rsidP="007F5DB3">
            <w:pPr>
              <w:jc w:val="right"/>
              <w:rPr>
                <w:rFonts w:cs="Arial"/>
                <w:szCs w:val="22"/>
              </w:rPr>
            </w:pPr>
          </w:p>
        </w:tc>
      </w:tr>
      <w:tr w:rsidR="007F5DB3" w14:paraId="14366081" w14:textId="77777777" w:rsidTr="007F5DB3">
        <w:tc>
          <w:tcPr>
            <w:tcW w:w="5665" w:type="dxa"/>
          </w:tcPr>
          <w:p w14:paraId="76070011" w14:textId="77777777" w:rsidR="007F5DB3" w:rsidRPr="005A01CA" w:rsidRDefault="007F5DB3" w:rsidP="007F5DB3">
            <w:pPr>
              <w:jc w:val="left"/>
              <w:rPr>
                <w:rFonts w:cs="Arial"/>
                <w:szCs w:val="22"/>
              </w:rPr>
            </w:pPr>
            <w:r w:rsidRPr="005A01CA">
              <w:rPr>
                <w:rFonts w:cs="Arial"/>
                <w:szCs w:val="22"/>
              </w:rPr>
              <w:t xml:space="preserve">Green Link – </w:t>
            </w:r>
            <w:proofErr w:type="spellStart"/>
            <w:r w:rsidRPr="005A01CA">
              <w:rPr>
                <w:rFonts w:cs="Arial"/>
                <w:szCs w:val="22"/>
              </w:rPr>
              <w:t>Shruggs</w:t>
            </w:r>
            <w:proofErr w:type="spellEnd"/>
            <w:r w:rsidRPr="005A01CA">
              <w:rPr>
                <w:rFonts w:cs="Arial"/>
                <w:szCs w:val="22"/>
              </w:rPr>
              <w:t xml:space="preserve"> Wood</w:t>
            </w:r>
          </w:p>
        </w:tc>
        <w:tc>
          <w:tcPr>
            <w:tcW w:w="993" w:type="dxa"/>
          </w:tcPr>
          <w:p w14:paraId="059A86EA" w14:textId="77777777" w:rsidR="007F5DB3" w:rsidRPr="005A01CA" w:rsidRDefault="007F5DB3" w:rsidP="007F5DB3">
            <w:pPr>
              <w:jc w:val="right"/>
              <w:rPr>
                <w:rFonts w:cs="Arial"/>
                <w:szCs w:val="22"/>
              </w:rPr>
            </w:pPr>
            <w:r w:rsidRPr="005A01CA">
              <w:rPr>
                <w:rFonts w:cs="Arial"/>
                <w:szCs w:val="22"/>
              </w:rPr>
              <w:t>58</w:t>
            </w:r>
          </w:p>
        </w:tc>
      </w:tr>
      <w:tr w:rsidR="007F5DB3" w14:paraId="5957275B" w14:textId="77777777" w:rsidTr="007F5DB3">
        <w:tc>
          <w:tcPr>
            <w:tcW w:w="5665" w:type="dxa"/>
          </w:tcPr>
          <w:p w14:paraId="0520EFC3" w14:textId="77777777" w:rsidR="007F5DB3" w:rsidRPr="005A01CA" w:rsidRDefault="007F5DB3" w:rsidP="007F5DB3">
            <w:pPr>
              <w:jc w:val="left"/>
              <w:rPr>
                <w:rFonts w:cs="Arial"/>
                <w:szCs w:val="22"/>
              </w:rPr>
            </w:pPr>
            <w:r w:rsidRPr="005A01CA">
              <w:rPr>
                <w:rFonts w:cs="Arial"/>
                <w:szCs w:val="22"/>
              </w:rPr>
              <w:t>Leyland Loop</w:t>
            </w:r>
          </w:p>
        </w:tc>
        <w:tc>
          <w:tcPr>
            <w:tcW w:w="993" w:type="dxa"/>
          </w:tcPr>
          <w:p w14:paraId="5B9AB679" w14:textId="77777777" w:rsidR="007F5DB3" w:rsidRPr="005A01CA" w:rsidRDefault="007F5DB3" w:rsidP="007F5DB3">
            <w:pPr>
              <w:jc w:val="right"/>
              <w:rPr>
                <w:rFonts w:cs="Arial"/>
                <w:szCs w:val="22"/>
              </w:rPr>
            </w:pPr>
            <w:r w:rsidRPr="005A01CA">
              <w:rPr>
                <w:rFonts w:cs="Arial"/>
                <w:szCs w:val="22"/>
              </w:rPr>
              <w:t>60</w:t>
            </w:r>
          </w:p>
        </w:tc>
      </w:tr>
      <w:tr w:rsidR="007F5DB3" w14:paraId="4920D16F" w14:textId="77777777" w:rsidTr="007F5DB3">
        <w:tc>
          <w:tcPr>
            <w:tcW w:w="5665" w:type="dxa"/>
          </w:tcPr>
          <w:p w14:paraId="7F8DC15F" w14:textId="77777777" w:rsidR="007F5DB3" w:rsidRPr="005A01CA" w:rsidRDefault="007F5DB3" w:rsidP="007F5DB3">
            <w:pPr>
              <w:jc w:val="left"/>
              <w:rPr>
                <w:rFonts w:cs="Arial"/>
                <w:szCs w:val="22"/>
              </w:rPr>
            </w:pPr>
            <w:r w:rsidRPr="005A01CA">
              <w:rPr>
                <w:rFonts w:cs="Arial"/>
                <w:szCs w:val="22"/>
              </w:rPr>
              <w:t>Worden Park - Overflow Car Park</w:t>
            </w:r>
          </w:p>
        </w:tc>
        <w:tc>
          <w:tcPr>
            <w:tcW w:w="993" w:type="dxa"/>
          </w:tcPr>
          <w:p w14:paraId="7C404841" w14:textId="77777777" w:rsidR="007F5DB3" w:rsidRPr="005A01CA" w:rsidRDefault="007F5DB3" w:rsidP="007F5DB3">
            <w:pPr>
              <w:jc w:val="right"/>
              <w:rPr>
                <w:rFonts w:cs="Arial"/>
                <w:szCs w:val="22"/>
              </w:rPr>
            </w:pPr>
            <w:r w:rsidRPr="005A01CA">
              <w:rPr>
                <w:rFonts w:cs="Arial"/>
                <w:szCs w:val="22"/>
              </w:rPr>
              <w:t>117</w:t>
            </w:r>
          </w:p>
        </w:tc>
      </w:tr>
      <w:tr w:rsidR="007F5DB3" w14:paraId="1BD1336C" w14:textId="77777777" w:rsidTr="007F5DB3">
        <w:tc>
          <w:tcPr>
            <w:tcW w:w="5665" w:type="dxa"/>
          </w:tcPr>
          <w:p w14:paraId="0B0F77DA" w14:textId="77777777" w:rsidR="007F5DB3" w:rsidRPr="005A01CA" w:rsidRDefault="007F5DB3" w:rsidP="007F5DB3">
            <w:pPr>
              <w:jc w:val="left"/>
              <w:rPr>
                <w:rFonts w:cs="Arial"/>
                <w:szCs w:val="22"/>
              </w:rPr>
            </w:pPr>
            <w:r w:rsidRPr="005A01CA">
              <w:rPr>
                <w:rFonts w:cs="Arial"/>
                <w:szCs w:val="22"/>
              </w:rPr>
              <w:t xml:space="preserve">Worden Hall Refurbishment </w:t>
            </w:r>
          </w:p>
        </w:tc>
        <w:tc>
          <w:tcPr>
            <w:tcW w:w="993" w:type="dxa"/>
          </w:tcPr>
          <w:p w14:paraId="6B75A894" w14:textId="77777777" w:rsidR="007F5DB3" w:rsidRPr="005A01CA" w:rsidRDefault="007F5DB3" w:rsidP="007F5DB3">
            <w:pPr>
              <w:jc w:val="right"/>
              <w:rPr>
                <w:rFonts w:cs="Arial"/>
                <w:szCs w:val="22"/>
              </w:rPr>
            </w:pPr>
            <w:r w:rsidRPr="005A01CA">
              <w:rPr>
                <w:rFonts w:cs="Arial"/>
                <w:szCs w:val="22"/>
              </w:rPr>
              <w:t>122</w:t>
            </w:r>
          </w:p>
        </w:tc>
      </w:tr>
      <w:tr w:rsidR="007F5DB3" w14:paraId="6CF8CC70" w14:textId="77777777" w:rsidTr="007F5DB3">
        <w:tc>
          <w:tcPr>
            <w:tcW w:w="5665" w:type="dxa"/>
          </w:tcPr>
          <w:p w14:paraId="43AE813D" w14:textId="77777777" w:rsidR="007F5DB3" w:rsidRPr="005A01CA" w:rsidRDefault="007F5DB3" w:rsidP="007F5DB3">
            <w:pPr>
              <w:jc w:val="left"/>
              <w:rPr>
                <w:rFonts w:cs="Arial"/>
                <w:szCs w:val="22"/>
              </w:rPr>
            </w:pPr>
            <w:r w:rsidRPr="005A01CA">
              <w:rPr>
                <w:rFonts w:cs="Arial"/>
                <w:szCs w:val="22"/>
              </w:rPr>
              <w:t>Hurst Grange Coach House Phase 2</w:t>
            </w:r>
          </w:p>
        </w:tc>
        <w:tc>
          <w:tcPr>
            <w:tcW w:w="993" w:type="dxa"/>
          </w:tcPr>
          <w:p w14:paraId="18A0D42F" w14:textId="77777777" w:rsidR="007F5DB3" w:rsidRPr="005A01CA" w:rsidRDefault="007F5DB3" w:rsidP="007F5DB3">
            <w:pPr>
              <w:jc w:val="right"/>
              <w:rPr>
                <w:rFonts w:cs="Arial"/>
                <w:szCs w:val="22"/>
              </w:rPr>
            </w:pPr>
            <w:r w:rsidRPr="005A01CA">
              <w:rPr>
                <w:rFonts w:cs="Arial"/>
                <w:szCs w:val="22"/>
              </w:rPr>
              <w:t>189</w:t>
            </w:r>
          </w:p>
        </w:tc>
      </w:tr>
      <w:tr w:rsidR="007F5DB3" w14:paraId="789D4ADC" w14:textId="77777777" w:rsidTr="007F5DB3">
        <w:tc>
          <w:tcPr>
            <w:tcW w:w="5665" w:type="dxa"/>
          </w:tcPr>
          <w:p w14:paraId="1FC7DBD3" w14:textId="77777777" w:rsidR="007F5DB3" w:rsidRPr="005A01CA" w:rsidRDefault="007F5DB3" w:rsidP="007F5DB3">
            <w:pPr>
              <w:jc w:val="left"/>
              <w:rPr>
                <w:rFonts w:cs="Arial"/>
                <w:szCs w:val="22"/>
              </w:rPr>
            </w:pPr>
            <w:r w:rsidRPr="005A01CA">
              <w:rPr>
                <w:rFonts w:cs="Arial"/>
                <w:szCs w:val="22"/>
              </w:rPr>
              <w:t>Open Spaces – Balcarres Green</w:t>
            </w:r>
          </w:p>
        </w:tc>
        <w:tc>
          <w:tcPr>
            <w:tcW w:w="993" w:type="dxa"/>
          </w:tcPr>
          <w:p w14:paraId="5149004C" w14:textId="77777777" w:rsidR="007F5DB3" w:rsidRPr="005A01CA" w:rsidRDefault="007F5DB3" w:rsidP="007F5DB3">
            <w:pPr>
              <w:jc w:val="right"/>
              <w:rPr>
                <w:rFonts w:cs="Arial"/>
                <w:szCs w:val="22"/>
              </w:rPr>
            </w:pPr>
            <w:r w:rsidRPr="005A01CA">
              <w:rPr>
                <w:rFonts w:cs="Arial"/>
                <w:szCs w:val="22"/>
              </w:rPr>
              <w:t>26</w:t>
            </w:r>
          </w:p>
        </w:tc>
      </w:tr>
      <w:tr w:rsidR="007F5DB3" w14:paraId="61693B03" w14:textId="77777777" w:rsidTr="007F5DB3">
        <w:tc>
          <w:tcPr>
            <w:tcW w:w="5665" w:type="dxa"/>
          </w:tcPr>
          <w:p w14:paraId="454DBF4D" w14:textId="77777777" w:rsidR="007F5DB3" w:rsidRPr="005A01CA" w:rsidRDefault="007F5DB3" w:rsidP="007F5DB3">
            <w:pPr>
              <w:jc w:val="left"/>
              <w:rPr>
                <w:rFonts w:cs="Arial"/>
                <w:szCs w:val="22"/>
              </w:rPr>
            </w:pPr>
            <w:r w:rsidRPr="005A01CA">
              <w:rPr>
                <w:rFonts w:cs="Arial"/>
                <w:szCs w:val="22"/>
              </w:rPr>
              <w:t>Playground – Worden Park</w:t>
            </w:r>
          </w:p>
        </w:tc>
        <w:tc>
          <w:tcPr>
            <w:tcW w:w="993" w:type="dxa"/>
          </w:tcPr>
          <w:p w14:paraId="52B0BDAB" w14:textId="77777777" w:rsidR="007F5DB3" w:rsidRPr="005A01CA" w:rsidRDefault="007F5DB3" w:rsidP="007F5DB3">
            <w:pPr>
              <w:jc w:val="right"/>
              <w:rPr>
                <w:rFonts w:cs="Arial"/>
                <w:szCs w:val="22"/>
              </w:rPr>
            </w:pPr>
            <w:r w:rsidRPr="005A01CA">
              <w:rPr>
                <w:rFonts w:cs="Arial"/>
                <w:szCs w:val="22"/>
              </w:rPr>
              <w:t>50</w:t>
            </w:r>
          </w:p>
        </w:tc>
      </w:tr>
      <w:tr w:rsidR="007F5DB3" w14:paraId="5BFDAB7E" w14:textId="77777777" w:rsidTr="007F5DB3">
        <w:tc>
          <w:tcPr>
            <w:tcW w:w="5665" w:type="dxa"/>
          </w:tcPr>
          <w:p w14:paraId="1D09BF87" w14:textId="77777777" w:rsidR="007F5DB3" w:rsidRPr="005A01CA" w:rsidRDefault="007F5DB3" w:rsidP="007F5DB3">
            <w:pPr>
              <w:jc w:val="left"/>
              <w:rPr>
                <w:rFonts w:cs="Arial"/>
                <w:szCs w:val="22"/>
              </w:rPr>
            </w:pPr>
            <w:r w:rsidRPr="005A01CA">
              <w:rPr>
                <w:rFonts w:cs="Arial"/>
                <w:szCs w:val="22"/>
              </w:rPr>
              <w:t xml:space="preserve">Playground – </w:t>
            </w:r>
            <w:proofErr w:type="spellStart"/>
            <w:r w:rsidRPr="005A01CA">
              <w:rPr>
                <w:rFonts w:cs="Arial"/>
                <w:szCs w:val="22"/>
              </w:rPr>
              <w:t>Leadale</w:t>
            </w:r>
            <w:proofErr w:type="spellEnd"/>
            <w:r w:rsidRPr="005A01CA">
              <w:rPr>
                <w:rFonts w:cs="Arial"/>
                <w:szCs w:val="22"/>
              </w:rPr>
              <w:t xml:space="preserve"> Green</w:t>
            </w:r>
          </w:p>
        </w:tc>
        <w:tc>
          <w:tcPr>
            <w:tcW w:w="993" w:type="dxa"/>
          </w:tcPr>
          <w:p w14:paraId="1A0564EE" w14:textId="77777777" w:rsidR="007F5DB3" w:rsidRPr="005A01CA" w:rsidRDefault="007F5DB3" w:rsidP="007F5DB3">
            <w:pPr>
              <w:jc w:val="right"/>
              <w:rPr>
                <w:rFonts w:cs="Arial"/>
                <w:szCs w:val="22"/>
              </w:rPr>
            </w:pPr>
            <w:r w:rsidRPr="005A01CA">
              <w:rPr>
                <w:rFonts w:cs="Arial"/>
                <w:szCs w:val="22"/>
              </w:rPr>
              <w:t>35</w:t>
            </w:r>
          </w:p>
        </w:tc>
      </w:tr>
      <w:tr w:rsidR="007F5DB3" w14:paraId="225243DA" w14:textId="77777777" w:rsidTr="007F5DB3">
        <w:tc>
          <w:tcPr>
            <w:tcW w:w="5665" w:type="dxa"/>
          </w:tcPr>
          <w:p w14:paraId="2DA8E0FC" w14:textId="77777777" w:rsidR="007F5DB3" w:rsidRPr="005A01CA" w:rsidRDefault="007F5DB3" w:rsidP="007F5DB3">
            <w:pPr>
              <w:jc w:val="left"/>
              <w:rPr>
                <w:rFonts w:cs="Arial"/>
                <w:szCs w:val="22"/>
              </w:rPr>
            </w:pPr>
            <w:r w:rsidRPr="005A01CA">
              <w:rPr>
                <w:rFonts w:cs="Arial"/>
                <w:szCs w:val="22"/>
              </w:rPr>
              <w:t>Playground – Seven Stars</w:t>
            </w:r>
          </w:p>
        </w:tc>
        <w:tc>
          <w:tcPr>
            <w:tcW w:w="993" w:type="dxa"/>
          </w:tcPr>
          <w:p w14:paraId="42CBDFB7" w14:textId="77777777" w:rsidR="007F5DB3" w:rsidRPr="005A01CA" w:rsidRDefault="007F5DB3" w:rsidP="007F5DB3">
            <w:pPr>
              <w:jc w:val="right"/>
              <w:rPr>
                <w:rFonts w:cs="Arial"/>
                <w:szCs w:val="22"/>
              </w:rPr>
            </w:pPr>
            <w:r w:rsidRPr="005A01CA">
              <w:rPr>
                <w:rFonts w:cs="Arial"/>
                <w:szCs w:val="22"/>
              </w:rPr>
              <w:t>175</w:t>
            </w:r>
          </w:p>
        </w:tc>
      </w:tr>
      <w:tr w:rsidR="007F5DB3" w14:paraId="20E3DB67" w14:textId="77777777" w:rsidTr="007F5DB3">
        <w:tc>
          <w:tcPr>
            <w:tcW w:w="5665" w:type="dxa"/>
          </w:tcPr>
          <w:p w14:paraId="4901C9E7" w14:textId="77777777" w:rsidR="007F5DB3" w:rsidRPr="005A01CA" w:rsidRDefault="007F5DB3" w:rsidP="007F5DB3">
            <w:pPr>
              <w:jc w:val="left"/>
              <w:rPr>
                <w:rFonts w:cs="Arial"/>
                <w:szCs w:val="22"/>
              </w:rPr>
            </w:pPr>
            <w:r w:rsidRPr="005A01CA">
              <w:rPr>
                <w:rFonts w:cs="Arial"/>
                <w:szCs w:val="22"/>
              </w:rPr>
              <w:t>Playground – Hurst Grange</w:t>
            </w:r>
          </w:p>
        </w:tc>
        <w:tc>
          <w:tcPr>
            <w:tcW w:w="993" w:type="dxa"/>
          </w:tcPr>
          <w:p w14:paraId="64AB763C" w14:textId="77777777" w:rsidR="007F5DB3" w:rsidRPr="005A01CA" w:rsidRDefault="007F5DB3" w:rsidP="007F5DB3">
            <w:pPr>
              <w:jc w:val="right"/>
              <w:rPr>
                <w:rFonts w:cs="Arial"/>
                <w:szCs w:val="22"/>
              </w:rPr>
            </w:pPr>
            <w:r w:rsidRPr="005A01CA">
              <w:rPr>
                <w:rFonts w:cs="Arial"/>
                <w:szCs w:val="22"/>
              </w:rPr>
              <w:t>226</w:t>
            </w:r>
          </w:p>
        </w:tc>
      </w:tr>
      <w:tr w:rsidR="007F5DB3" w14:paraId="381E05FB" w14:textId="77777777" w:rsidTr="007F5DB3">
        <w:tc>
          <w:tcPr>
            <w:tcW w:w="5665" w:type="dxa"/>
          </w:tcPr>
          <w:p w14:paraId="6064BEB4" w14:textId="77777777" w:rsidR="007F5DB3" w:rsidRPr="005A01CA" w:rsidRDefault="007F5DB3" w:rsidP="007F5DB3">
            <w:pPr>
              <w:jc w:val="left"/>
              <w:rPr>
                <w:rFonts w:cs="Arial"/>
                <w:szCs w:val="22"/>
              </w:rPr>
            </w:pPr>
            <w:r w:rsidRPr="005A01CA">
              <w:rPr>
                <w:rFonts w:cs="Arial"/>
                <w:szCs w:val="22"/>
              </w:rPr>
              <w:t>Playground – Bellis Way</w:t>
            </w:r>
          </w:p>
        </w:tc>
        <w:tc>
          <w:tcPr>
            <w:tcW w:w="993" w:type="dxa"/>
          </w:tcPr>
          <w:p w14:paraId="13F4F9C0" w14:textId="77777777" w:rsidR="007F5DB3" w:rsidRPr="005A01CA" w:rsidRDefault="007F5DB3" w:rsidP="007F5DB3">
            <w:pPr>
              <w:jc w:val="right"/>
              <w:rPr>
                <w:rFonts w:cs="Arial"/>
                <w:szCs w:val="22"/>
              </w:rPr>
            </w:pPr>
            <w:r w:rsidRPr="005A01CA">
              <w:rPr>
                <w:rFonts w:cs="Arial"/>
                <w:szCs w:val="22"/>
              </w:rPr>
              <w:t>37</w:t>
            </w:r>
          </w:p>
        </w:tc>
      </w:tr>
      <w:tr w:rsidR="007F5DB3" w14:paraId="782D8328" w14:textId="77777777" w:rsidTr="007F5DB3">
        <w:tc>
          <w:tcPr>
            <w:tcW w:w="5665" w:type="dxa"/>
          </w:tcPr>
          <w:p w14:paraId="72D82FBE" w14:textId="77777777" w:rsidR="007F5DB3" w:rsidRPr="005A01CA" w:rsidRDefault="007F5DB3" w:rsidP="007F5DB3">
            <w:pPr>
              <w:jc w:val="left"/>
              <w:rPr>
                <w:rFonts w:cs="Arial"/>
                <w:szCs w:val="22"/>
              </w:rPr>
            </w:pPr>
            <w:r w:rsidRPr="005A01CA">
              <w:rPr>
                <w:rFonts w:cs="Arial"/>
                <w:szCs w:val="22"/>
              </w:rPr>
              <w:t>Tarn Wood, Penwortham</w:t>
            </w:r>
          </w:p>
        </w:tc>
        <w:tc>
          <w:tcPr>
            <w:tcW w:w="993" w:type="dxa"/>
          </w:tcPr>
          <w:p w14:paraId="6AAC89C0" w14:textId="77777777" w:rsidR="007F5DB3" w:rsidRPr="005A01CA" w:rsidRDefault="007F5DB3" w:rsidP="007F5DB3">
            <w:pPr>
              <w:jc w:val="right"/>
              <w:rPr>
                <w:rFonts w:cs="Arial"/>
                <w:szCs w:val="22"/>
              </w:rPr>
            </w:pPr>
            <w:r w:rsidRPr="005A01CA">
              <w:rPr>
                <w:rFonts w:cs="Arial"/>
                <w:szCs w:val="22"/>
              </w:rPr>
              <w:t>31</w:t>
            </w:r>
          </w:p>
        </w:tc>
      </w:tr>
      <w:tr w:rsidR="007F5DB3" w14:paraId="63C0BD04" w14:textId="77777777" w:rsidTr="007F5DB3">
        <w:tc>
          <w:tcPr>
            <w:tcW w:w="5665" w:type="dxa"/>
          </w:tcPr>
          <w:p w14:paraId="050D91C4" w14:textId="77777777" w:rsidR="007F5DB3" w:rsidRPr="005A01CA" w:rsidRDefault="007F5DB3" w:rsidP="007F5DB3">
            <w:pPr>
              <w:jc w:val="left"/>
              <w:rPr>
                <w:rFonts w:cs="Arial"/>
                <w:szCs w:val="22"/>
              </w:rPr>
            </w:pPr>
            <w:r w:rsidRPr="005A01CA">
              <w:rPr>
                <w:rFonts w:cs="Arial"/>
                <w:szCs w:val="22"/>
              </w:rPr>
              <w:t>A Tree for every Resident</w:t>
            </w:r>
          </w:p>
        </w:tc>
        <w:tc>
          <w:tcPr>
            <w:tcW w:w="993" w:type="dxa"/>
          </w:tcPr>
          <w:p w14:paraId="749DC5F8" w14:textId="77777777" w:rsidR="007F5DB3" w:rsidRPr="005A01CA" w:rsidRDefault="007F5DB3" w:rsidP="007F5DB3">
            <w:pPr>
              <w:jc w:val="right"/>
              <w:rPr>
                <w:rFonts w:cs="Arial"/>
                <w:szCs w:val="22"/>
              </w:rPr>
            </w:pPr>
            <w:r w:rsidRPr="005A01CA">
              <w:rPr>
                <w:rFonts w:cs="Arial"/>
                <w:szCs w:val="22"/>
              </w:rPr>
              <w:t>26</w:t>
            </w:r>
          </w:p>
        </w:tc>
      </w:tr>
      <w:tr w:rsidR="007F5DB3" w14:paraId="73504CAD" w14:textId="77777777" w:rsidTr="007F5DB3">
        <w:tc>
          <w:tcPr>
            <w:tcW w:w="5665" w:type="dxa"/>
          </w:tcPr>
          <w:p w14:paraId="74204174" w14:textId="77777777" w:rsidR="007F5DB3" w:rsidRPr="005A01CA" w:rsidRDefault="007F5DB3" w:rsidP="007F5DB3">
            <w:pPr>
              <w:jc w:val="left"/>
              <w:rPr>
                <w:rFonts w:cs="Arial"/>
                <w:szCs w:val="22"/>
              </w:rPr>
            </w:pPr>
            <w:r w:rsidRPr="005A01CA">
              <w:rPr>
                <w:rFonts w:cs="Arial"/>
                <w:szCs w:val="22"/>
              </w:rPr>
              <w:t>King George V Playing Fields, Higher Walton</w:t>
            </w:r>
          </w:p>
        </w:tc>
        <w:tc>
          <w:tcPr>
            <w:tcW w:w="993" w:type="dxa"/>
          </w:tcPr>
          <w:p w14:paraId="147BFAC6" w14:textId="77777777" w:rsidR="007F5DB3" w:rsidRPr="005A01CA" w:rsidRDefault="007F5DB3" w:rsidP="007F5DB3">
            <w:pPr>
              <w:jc w:val="right"/>
              <w:rPr>
                <w:rFonts w:cs="Arial"/>
                <w:szCs w:val="22"/>
              </w:rPr>
            </w:pPr>
            <w:r w:rsidRPr="005A01CA">
              <w:rPr>
                <w:rFonts w:cs="Arial"/>
                <w:szCs w:val="22"/>
              </w:rPr>
              <w:t>31</w:t>
            </w:r>
          </w:p>
        </w:tc>
      </w:tr>
      <w:tr w:rsidR="007F5DB3" w14:paraId="06973C2F" w14:textId="77777777" w:rsidTr="007F5DB3">
        <w:tc>
          <w:tcPr>
            <w:tcW w:w="5665" w:type="dxa"/>
          </w:tcPr>
          <w:p w14:paraId="6A9A8560" w14:textId="77777777" w:rsidR="007F5DB3" w:rsidRPr="005A01CA" w:rsidRDefault="007F5DB3" w:rsidP="007F5DB3">
            <w:pPr>
              <w:jc w:val="left"/>
              <w:rPr>
                <w:rFonts w:cs="Arial"/>
                <w:szCs w:val="22"/>
              </w:rPr>
            </w:pPr>
            <w:r w:rsidRPr="005A01CA">
              <w:rPr>
                <w:rFonts w:cs="Arial"/>
                <w:szCs w:val="22"/>
              </w:rPr>
              <w:t>Sports Pitch Hub</w:t>
            </w:r>
          </w:p>
        </w:tc>
        <w:tc>
          <w:tcPr>
            <w:tcW w:w="993" w:type="dxa"/>
          </w:tcPr>
          <w:p w14:paraId="44FBAFE2" w14:textId="77777777" w:rsidR="007F5DB3" w:rsidRPr="005A01CA" w:rsidRDefault="007F5DB3" w:rsidP="007F5DB3">
            <w:pPr>
              <w:jc w:val="right"/>
              <w:rPr>
                <w:rFonts w:cs="Arial"/>
                <w:szCs w:val="22"/>
              </w:rPr>
            </w:pPr>
            <w:r w:rsidRPr="005A01CA">
              <w:rPr>
                <w:rFonts w:cs="Arial"/>
                <w:szCs w:val="22"/>
              </w:rPr>
              <w:t>113</w:t>
            </w:r>
          </w:p>
        </w:tc>
      </w:tr>
      <w:tr w:rsidR="007F5DB3" w14:paraId="3097425D" w14:textId="77777777" w:rsidTr="007F5DB3">
        <w:tc>
          <w:tcPr>
            <w:tcW w:w="5665" w:type="dxa"/>
          </w:tcPr>
          <w:p w14:paraId="72EC8AB2" w14:textId="77777777" w:rsidR="007F5DB3" w:rsidRPr="005A01CA" w:rsidRDefault="007F5DB3" w:rsidP="007F5DB3">
            <w:pPr>
              <w:jc w:val="left"/>
              <w:rPr>
                <w:rFonts w:cs="Arial"/>
                <w:szCs w:val="22"/>
              </w:rPr>
            </w:pPr>
            <w:r w:rsidRPr="005A01CA">
              <w:rPr>
                <w:rFonts w:cs="Arial"/>
                <w:szCs w:val="22"/>
              </w:rPr>
              <w:t>Affordable Housing – McKenzie Arms</w:t>
            </w:r>
          </w:p>
        </w:tc>
        <w:tc>
          <w:tcPr>
            <w:tcW w:w="993" w:type="dxa"/>
          </w:tcPr>
          <w:p w14:paraId="7791D4A2" w14:textId="77777777" w:rsidR="007F5DB3" w:rsidRPr="005A01CA" w:rsidRDefault="007F5DB3" w:rsidP="007F5DB3">
            <w:pPr>
              <w:jc w:val="right"/>
              <w:rPr>
                <w:rFonts w:cs="Arial"/>
                <w:szCs w:val="22"/>
              </w:rPr>
            </w:pPr>
            <w:r w:rsidRPr="005A01CA">
              <w:rPr>
                <w:rFonts w:cs="Arial"/>
                <w:szCs w:val="22"/>
              </w:rPr>
              <w:t>58</w:t>
            </w:r>
          </w:p>
        </w:tc>
      </w:tr>
      <w:tr w:rsidR="007F5DB3" w14:paraId="7000B53E" w14:textId="77777777" w:rsidTr="007F5DB3">
        <w:tc>
          <w:tcPr>
            <w:tcW w:w="5665" w:type="dxa"/>
          </w:tcPr>
          <w:p w14:paraId="35D9B8D6" w14:textId="77777777" w:rsidR="007F5DB3" w:rsidRPr="005A01CA" w:rsidRDefault="007F5DB3" w:rsidP="007F5DB3">
            <w:pPr>
              <w:jc w:val="left"/>
              <w:rPr>
                <w:rFonts w:cs="Arial"/>
                <w:szCs w:val="22"/>
              </w:rPr>
            </w:pPr>
            <w:r w:rsidRPr="005A01CA">
              <w:rPr>
                <w:rFonts w:cs="Arial"/>
                <w:szCs w:val="22"/>
              </w:rPr>
              <w:t>Affordable Housing – Pe</w:t>
            </w:r>
            <w:r>
              <w:rPr>
                <w:rFonts w:cs="Arial"/>
                <w:szCs w:val="22"/>
              </w:rPr>
              <w:t>a</w:t>
            </w:r>
            <w:r w:rsidRPr="005A01CA">
              <w:rPr>
                <w:rFonts w:cs="Arial"/>
                <w:szCs w:val="22"/>
              </w:rPr>
              <w:t>rson House</w:t>
            </w:r>
          </w:p>
        </w:tc>
        <w:tc>
          <w:tcPr>
            <w:tcW w:w="993" w:type="dxa"/>
          </w:tcPr>
          <w:p w14:paraId="7C94B56B" w14:textId="77777777" w:rsidR="007F5DB3" w:rsidRPr="005A01CA" w:rsidRDefault="007F5DB3" w:rsidP="007F5DB3">
            <w:pPr>
              <w:jc w:val="right"/>
              <w:rPr>
                <w:rFonts w:cs="Arial"/>
                <w:szCs w:val="22"/>
              </w:rPr>
            </w:pPr>
            <w:r w:rsidRPr="005A01CA">
              <w:rPr>
                <w:rFonts w:cs="Arial"/>
                <w:szCs w:val="22"/>
              </w:rPr>
              <w:t>42</w:t>
            </w:r>
            <w:r>
              <w:rPr>
                <w:rFonts w:cs="Arial"/>
                <w:szCs w:val="22"/>
              </w:rPr>
              <w:t>4</w:t>
            </w:r>
          </w:p>
        </w:tc>
      </w:tr>
      <w:tr w:rsidR="007F5DB3" w14:paraId="6F23375C" w14:textId="77777777" w:rsidTr="007F5DB3">
        <w:tc>
          <w:tcPr>
            <w:tcW w:w="5665" w:type="dxa"/>
          </w:tcPr>
          <w:p w14:paraId="6635F09A" w14:textId="77777777" w:rsidR="007F5DB3" w:rsidRPr="005A01CA" w:rsidRDefault="007F5DB3" w:rsidP="007F5DB3">
            <w:pPr>
              <w:jc w:val="left"/>
              <w:rPr>
                <w:rFonts w:cs="Arial"/>
                <w:szCs w:val="22"/>
              </w:rPr>
            </w:pPr>
            <w:r w:rsidRPr="005A01CA">
              <w:rPr>
                <w:rFonts w:cs="Arial"/>
                <w:szCs w:val="22"/>
              </w:rPr>
              <w:t>Disabled Facilities Grants</w:t>
            </w:r>
          </w:p>
        </w:tc>
        <w:tc>
          <w:tcPr>
            <w:tcW w:w="993" w:type="dxa"/>
          </w:tcPr>
          <w:p w14:paraId="3E5C1F22" w14:textId="77777777" w:rsidR="007F5DB3" w:rsidRPr="005A01CA" w:rsidRDefault="007F5DB3" w:rsidP="007F5DB3">
            <w:pPr>
              <w:jc w:val="right"/>
              <w:rPr>
                <w:rFonts w:cs="Arial"/>
                <w:szCs w:val="22"/>
              </w:rPr>
            </w:pPr>
            <w:r w:rsidRPr="005A01CA">
              <w:rPr>
                <w:rFonts w:cs="Arial"/>
                <w:szCs w:val="22"/>
              </w:rPr>
              <w:t>510</w:t>
            </w:r>
          </w:p>
        </w:tc>
      </w:tr>
      <w:tr w:rsidR="007F5DB3" w14:paraId="0B98424C" w14:textId="77777777" w:rsidTr="007F5DB3">
        <w:tc>
          <w:tcPr>
            <w:tcW w:w="5665" w:type="dxa"/>
          </w:tcPr>
          <w:p w14:paraId="350FC6B9" w14:textId="77777777" w:rsidR="007F5DB3" w:rsidRPr="005A01CA" w:rsidRDefault="007F5DB3" w:rsidP="007F5DB3">
            <w:pPr>
              <w:jc w:val="left"/>
              <w:rPr>
                <w:rFonts w:cs="Arial"/>
                <w:b/>
                <w:color w:val="0070C0"/>
                <w:szCs w:val="22"/>
              </w:rPr>
            </w:pPr>
          </w:p>
          <w:p w14:paraId="39477C40" w14:textId="77777777" w:rsidR="007F5DB3" w:rsidRPr="005A01CA" w:rsidRDefault="007F5DB3" w:rsidP="007F5DB3">
            <w:pPr>
              <w:jc w:val="left"/>
              <w:rPr>
                <w:rFonts w:cs="Arial"/>
                <w:b/>
                <w:color w:val="0070C0"/>
                <w:szCs w:val="22"/>
              </w:rPr>
            </w:pPr>
            <w:r w:rsidRPr="005A01CA">
              <w:rPr>
                <w:rFonts w:cs="Arial"/>
                <w:b/>
                <w:color w:val="0070C0"/>
                <w:szCs w:val="22"/>
              </w:rPr>
              <w:t>A fair economy that works for everyone</w:t>
            </w:r>
          </w:p>
        </w:tc>
        <w:tc>
          <w:tcPr>
            <w:tcW w:w="993" w:type="dxa"/>
          </w:tcPr>
          <w:p w14:paraId="06768350" w14:textId="77777777" w:rsidR="007F5DB3" w:rsidRPr="005A01CA" w:rsidRDefault="007F5DB3" w:rsidP="007F5DB3">
            <w:pPr>
              <w:jc w:val="right"/>
              <w:rPr>
                <w:rFonts w:cs="Arial"/>
                <w:szCs w:val="22"/>
              </w:rPr>
            </w:pPr>
          </w:p>
        </w:tc>
      </w:tr>
      <w:tr w:rsidR="007F5DB3" w14:paraId="0FEA832E" w14:textId="77777777" w:rsidTr="007F5DB3">
        <w:tc>
          <w:tcPr>
            <w:tcW w:w="5665" w:type="dxa"/>
          </w:tcPr>
          <w:p w14:paraId="6B3413DB" w14:textId="77777777" w:rsidR="007F5DB3" w:rsidRPr="005A01CA" w:rsidRDefault="007F5DB3" w:rsidP="007F5DB3">
            <w:pPr>
              <w:jc w:val="left"/>
              <w:rPr>
                <w:rFonts w:cs="Arial"/>
                <w:szCs w:val="22"/>
              </w:rPr>
            </w:pPr>
            <w:r>
              <w:rPr>
                <w:rFonts w:cs="Arial"/>
                <w:szCs w:val="22"/>
              </w:rPr>
              <w:t xml:space="preserve">Acquisition – </w:t>
            </w:r>
            <w:proofErr w:type="spellStart"/>
            <w:r>
              <w:rPr>
                <w:rFonts w:cs="Arial"/>
                <w:szCs w:val="22"/>
              </w:rPr>
              <w:t>Croston</w:t>
            </w:r>
            <w:proofErr w:type="spellEnd"/>
            <w:r>
              <w:rPr>
                <w:rFonts w:cs="Arial"/>
                <w:szCs w:val="22"/>
              </w:rPr>
              <w:t xml:space="preserve"> Rd</w:t>
            </w:r>
          </w:p>
        </w:tc>
        <w:tc>
          <w:tcPr>
            <w:tcW w:w="993" w:type="dxa"/>
          </w:tcPr>
          <w:p w14:paraId="47EAA5E1" w14:textId="77777777" w:rsidR="007F5DB3" w:rsidRPr="005A01CA" w:rsidRDefault="007F5DB3" w:rsidP="007F5DB3">
            <w:pPr>
              <w:jc w:val="right"/>
              <w:rPr>
                <w:rFonts w:cs="Arial"/>
                <w:szCs w:val="22"/>
              </w:rPr>
            </w:pPr>
            <w:r>
              <w:rPr>
                <w:rFonts w:cs="Arial"/>
                <w:szCs w:val="22"/>
              </w:rPr>
              <w:t>30</w:t>
            </w:r>
          </w:p>
        </w:tc>
      </w:tr>
      <w:tr w:rsidR="007F5DB3" w14:paraId="2AD9307B" w14:textId="77777777" w:rsidTr="007F5DB3">
        <w:tc>
          <w:tcPr>
            <w:tcW w:w="5665" w:type="dxa"/>
          </w:tcPr>
          <w:p w14:paraId="32B73867" w14:textId="77777777" w:rsidR="007F5DB3" w:rsidRDefault="007F5DB3" w:rsidP="007F5DB3">
            <w:pPr>
              <w:jc w:val="left"/>
              <w:rPr>
                <w:rFonts w:cs="Arial"/>
                <w:b/>
                <w:color w:val="0070C0"/>
                <w:szCs w:val="22"/>
              </w:rPr>
            </w:pPr>
          </w:p>
          <w:p w14:paraId="39FBA634" w14:textId="77777777" w:rsidR="007F5DB3" w:rsidRPr="005A01CA" w:rsidRDefault="007F5DB3" w:rsidP="007F5DB3">
            <w:pPr>
              <w:jc w:val="left"/>
              <w:rPr>
                <w:rFonts w:cs="Arial"/>
                <w:szCs w:val="22"/>
              </w:rPr>
            </w:pPr>
            <w:r>
              <w:rPr>
                <w:rFonts w:cs="Arial"/>
                <w:b/>
                <w:color w:val="0070C0"/>
                <w:szCs w:val="22"/>
              </w:rPr>
              <w:t>Thriving Communities</w:t>
            </w:r>
          </w:p>
        </w:tc>
        <w:tc>
          <w:tcPr>
            <w:tcW w:w="993" w:type="dxa"/>
          </w:tcPr>
          <w:p w14:paraId="0623EA1E" w14:textId="77777777" w:rsidR="007F5DB3" w:rsidRPr="005A01CA" w:rsidRDefault="007F5DB3" w:rsidP="007F5DB3">
            <w:pPr>
              <w:jc w:val="right"/>
              <w:rPr>
                <w:rFonts w:cs="Arial"/>
                <w:szCs w:val="22"/>
              </w:rPr>
            </w:pPr>
          </w:p>
        </w:tc>
      </w:tr>
      <w:tr w:rsidR="007F5DB3" w14:paraId="5CF5F6EE" w14:textId="77777777" w:rsidTr="007F5DB3">
        <w:tc>
          <w:tcPr>
            <w:tcW w:w="5665" w:type="dxa"/>
          </w:tcPr>
          <w:p w14:paraId="69259F45" w14:textId="77777777" w:rsidR="007F5DB3" w:rsidRPr="005A01CA" w:rsidRDefault="007F5DB3" w:rsidP="007F5DB3">
            <w:pPr>
              <w:jc w:val="left"/>
              <w:rPr>
                <w:rFonts w:cs="Arial"/>
                <w:szCs w:val="22"/>
              </w:rPr>
            </w:pPr>
            <w:proofErr w:type="spellStart"/>
            <w:r>
              <w:rPr>
                <w:rFonts w:cs="Arial"/>
                <w:szCs w:val="22"/>
              </w:rPr>
              <w:t>Hoole</w:t>
            </w:r>
            <w:proofErr w:type="spellEnd"/>
            <w:r>
              <w:rPr>
                <w:rFonts w:cs="Arial"/>
                <w:szCs w:val="22"/>
              </w:rPr>
              <w:t xml:space="preserve"> Village Hall Grant</w:t>
            </w:r>
          </w:p>
        </w:tc>
        <w:tc>
          <w:tcPr>
            <w:tcW w:w="993" w:type="dxa"/>
          </w:tcPr>
          <w:p w14:paraId="635C09EF" w14:textId="77777777" w:rsidR="007F5DB3" w:rsidRPr="005A01CA" w:rsidRDefault="007F5DB3" w:rsidP="007F5DB3">
            <w:pPr>
              <w:jc w:val="right"/>
              <w:rPr>
                <w:rFonts w:cs="Arial"/>
                <w:szCs w:val="22"/>
              </w:rPr>
            </w:pPr>
            <w:r>
              <w:rPr>
                <w:rFonts w:cs="Arial"/>
                <w:szCs w:val="22"/>
              </w:rPr>
              <w:t>50</w:t>
            </w:r>
          </w:p>
        </w:tc>
      </w:tr>
      <w:tr w:rsidR="007F5DB3" w14:paraId="0B401D98" w14:textId="77777777" w:rsidTr="007F5DB3">
        <w:tc>
          <w:tcPr>
            <w:tcW w:w="5665" w:type="dxa"/>
          </w:tcPr>
          <w:p w14:paraId="630EF1E2" w14:textId="77777777" w:rsidR="007F5DB3" w:rsidRDefault="007F5DB3" w:rsidP="007F5DB3">
            <w:pPr>
              <w:jc w:val="left"/>
              <w:rPr>
                <w:rFonts w:cs="Arial"/>
                <w:szCs w:val="22"/>
              </w:rPr>
            </w:pPr>
            <w:r w:rsidRPr="000373D5">
              <w:rPr>
                <w:rFonts w:cs="Arial"/>
                <w:szCs w:val="22"/>
              </w:rPr>
              <w:t>St Mary's, Penwortham -</w:t>
            </w:r>
            <w:r>
              <w:rPr>
                <w:rFonts w:cs="Arial"/>
                <w:szCs w:val="22"/>
              </w:rPr>
              <w:t xml:space="preserve"> </w:t>
            </w:r>
            <w:r w:rsidRPr="000373D5">
              <w:rPr>
                <w:rFonts w:cs="Arial"/>
                <w:szCs w:val="22"/>
              </w:rPr>
              <w:t>Churchyard wall repairs</w:t>
            </w:r>
          </w:p>
        </w:tc>
        <w:tc>
          <w:tcPr>
            <w:tcW w:w="993" w:type="dxa"/>
          </w:tcPr>
          <w:p w14:paraId="4F625ABE" w14:textId="77777777" w:rsidR="007F5DB3" w:rsidRDefault="007F5DB3" w:rsidP="007F5DB3">
            <w:pPr>
              <w:jc w:val="right"/>
              <w:rPr>
                <w:rFonts w:cs="Arial"/>
                <w:szCs w:val="22"/>
              </w:rPr>
            </w:pPr>
            <w:r>
              <w:rPr>
                <w:rFonts w:cs="Arial"/>
                <w:szCs w:val="22"/>
              </w:rPr>
              <w:t>21</w:t>
            </w:r>
          </w:p>
        </w:tc>
      </w:tr>
      <w:tr w:rsidR="007F5DB3" w14:paraId="5F02D1E4" w14:textId="77777777" w:rsidTr="007F5DB3">
        <w:tc>
          <w:tcPr>
            <w:tcW w:w="5665" w:type="dxa"/>
          </w:tcPr>
          <w:p w14:paraId="35BBF948" w14:textId="77777777" w:rsidR="007F5DB3" w:rsidRDefault="007F5DB3" w:rsidP="007F5DB3">
            <w:pPr>
              <w:jc w:val="left"/>
              <w:rPr>
                <w:rFonts w:cs="Arial"/>
                <w:b/>
                <w:color w:val="0070C0"/>
                <w:szCs w:val="22"/>
              </w:rPr>
            </w:pPr>
          </w:p>
          <w:p w14:paraId="07570751" w14:textId="77777777" w:rsidR="007F5DB3" w:rsidRPr="005A01CA" w:rsidRDefault="007F5DB3" w:rsidP="007F5DB3">
            <w:pPr>
              <w:jc w:val="left"/>
              <w:rPr>
                <w:rFonts w:cs="Arial"/>
                <w:szCs w:val="22"/>
              </w:rPr>
            </w:pPr>
            <w:r>
              <w:rPr>
                <w:rFonts w:cs="Arial"/>
                <w:b/>
                <w:color w:val="0070C0"/>
                <w:szCs w:val="22"/>
              </w:rPr>
              <w:t>An Exemplary Council</w:t>
            </w:r>
          </w:p>
        </w:tc>
        <w:tc>
          <w:tcPr>
            <w:tcW w:w="993" w:type="dxa"/>
          </w:tcPr>
          <w:p w14:paraId="30C05ED5" w14:textId="77777777" w:rsidR="007F5DB3" w:rsidRPr="005A01CA" w:rsidRDefault="007F5DB3" w:rsidP="007F5DB3">
            <w:pPr>
              <w:jc w:val="right"/>
              <w:rPr>
                <w:rFonts w:cs="Arial"/>
                <w:szCs w:val="22"/>
              </w:rPr>
            </w:pPr>
          </w:p>
        </w:tc>
      </w:tr>
      <w:tr w:rsidR="007F5DB3" w14:paraId="1D65AF29" w14:textId="77777777" w:rsidTr="007F5DB3">
        <w:tc>
          <w:tcPr>
            <w:tcW w:w="5665" w:type="dxa"/>
          </w:tcPr>
          <w:p w14:paraId="0A3B00BB" w14:textId="77777777" w:rsidR="007F5DB3" w:rsidRPr="005A01CA" w:rsidRDefault="007F5DB3" w:rsidP="007F5DB3">
            <w:pPr>
              <w:jc w:val="left"/>
              <w:rPr>
                <w:rFonts w:cs="Arial"/>
                <w:szCs w:val="22"/>
              </w:rPr>
            </w:pPr>
            <w:r>
              <w:rPr>
                <w:rFonts w:cs="Arial"/>
                <w:szCs w:val="22"/>
              </w:rPr>
              <w:t>Upgrade of Systems</w:t>
            </w:r>
          </w:p>
        </w:tc>
        <w:tc>
          <w:tcPr>
            <w:tcW w:w="993" w:type="dxa"/>
          </w:tcPr>
          <w:p w14:paraId="1497C4CD" w14:textId="77777777" w:rsidR="007F5DB3" w:rsidRPr="005A01CA" w:rsidRDefault="007F5DB3" w:rsidP="007F5DB3">
            <w:pPr>
              <w:jc w:val="right"/>
              <w:rPr>
                <w:rFonts w:cs="Arial"/>
                <w:szCs w:val="22"/>
              </w:rPr>
            </w:pPr>
            <w:r>
              <w:rPr>
                <w:rFonts w:cs="Arial"/>
                <w:szCs w:val="22"/>
              </w:rPr>
              <w:t>118</w:t>
            </w:r>
          </w:p>
        </w:tc>
      </w:tr>
      <w:tr w:rsidR="007F5DB3" w14:paraId="24EBCC83" w14:textId="77777777" w:rsidTr="007F5DB3">
        <w:tc>
          <w:tcPr>
            <w:tcW w:w="5665" w:type="dxa"/>
          </w:tcPr>
          <w:p w14:paraId="60FD84B2" w14:textId="77777777" w:rsidR="007F5DB3" w:rsidRPr="005A01CA" w:rsidRDefault="007F5DB3" w:rsidP="007F5DB3">
            <w:pPr>
              <w:jc w:val="left"/>
              <w:rPr>
                <w:rFonts w:cs="Arial"/>
                <w:szCs w:val="22"/>
              </w:rPr>
            </w:pPr>
            <w:r>
              <w:rPr>
                <w:rFonts w:cs="Arial"/>
                <w:szCs w:val="22"/>
              </w:rPr>
              <w:t>Refresh of Tablets and Phones</w:t>
            </w:r>
          </w:p>
        </w:tc>
        <w:tc>
          <w:tcPr>
            <w:tcW w:w="993" w:type="dxa"/>
          </w:tcPr>
          <w:p w14:paraId="78D88178" w14:textId="77777777" w:rsidR="007F5DB3" w:rsidRPr="005A01CA" w:rsidRDefault="007F5DB3" w:rsidP="007F5DB3">
            <w:pPr>
              <w:jc w:val="right"/>
              <w:rPr>
                <w:rFonts w:cs="Arial"/>
                <w:szCs w:val="22"/>
              </w:rPr>
            </w:pPr>
            <w:r>
              <w:rPr>
                <w:rFonts w:cs="Arial"/>
                <w:szCs w:val="22"/>
              </w:rPr>
              <w:t>61</w:t>
            </w:r>
          </w:p>
        </w:tc>
      </w:tr>
      <w:tr w:rsidR="007F5DB3" w14:paraId="61AEE038" w14:textId="77777777" w:rsidTr="007F5DB3">
        <w:tc>
          <w:tcPr>
            <w:tcW w:w="5665" w:type="dxa"/>
          </w:tcPr>
          <w:p w14:paraId="05117112" w14:textId="77777777" w:rsidR="007F5DB3" w:rsidRDefault="007F5DB3" w:rsidP="007F5DB3">
            <w:pPr>
              <w:jc w:val="left"/>
              <w:rPr>
                <w:rFonts w:cs="Arial"/>
                <w:szCs w:val="22"/>
              </w:rPr>
            </w:pPr>
            <w:r>
              <w:rPr>
                <w:rFonts w:cs="Arial"/>
                <w:szCs w:val="22"/>
              </w:rPr>
              <w:t>Civic Centres Solar Panels</w:t>
            </w:r>
          </w:p>
        </w:tc>
        <w:tc>
          <w:tcPr>
            <w:tcW w:w="993" w:type="dxa"/>
          </w:tcPr>
          <w:p w14:paraId="092B6ADA" w14:textId="77777777" w:rsidR="007F5DB3" w:rsidRDefault="007F5DB3" w:rsidP="007F5DB3">
            <w:pPr>
              <w:jc w:val="right"/>
              <w:rPr>
                <w:rFonts w:cs="Arial"/>
                <w:szCs w:val="22"/>
              </w:rPr>
            </w:pPr>
            <w:r>
              <w:rPr>
                <w:rFonts w:cs="Arial"/>
                <w:szCs w:val="22"/>
              </w:rPr>
              <w:t>31</w:t>
            </w:r>
          </w:p>
        </w:tc>
      </w:tr>
      <w:tr w:rsidR="007F5DB3" w14:paraId="08181DBF" w14:textId="77777777" w:rsidTr="007F5DB3">
        <w:tc>
          <w:tcPr>
            <w:tcW w:w="5665" w:type="dxa"/>
          </w:tcPr>
          <w:p w14:paraId="0CDCB8F0" w14:textId="77777777" w:rsidR="007F5DB3" w:rsidRPr="005A01CA" w:rsidRDefault="007F5DB3" w:rsidP="007F5DB3">
            <w:pPr>
              <w:jc w:val="left"/>
              <w:rPr>
                <w:rFonts w:cs="Arial"/>
                <w:szCs w:val="22"/>
              </w:rPr>
            </w:pPr>
            <w:r>
              <w:rPr>
                <w:rFonts w:cs="Arial"/>
                <w:szCs w:val="22"/>
              </w:rPr>
              <w:t>Polling Booths</w:t>
            </w:r>
          </w:p>
        </w:tc>
        <w:tc>
          <w:tcPr>
            <w:tcW w:w="993" w:type="dxa"/>
          </w:tcPr>
          <w:p w14:paraId="0AAF7495" w14:textId="77777777" w:rsidR="007F5DB3" w:rsidRPr="005A01CA" w:rsidRDefault="007F5DB3" w:rsidP="007F5DB3">
            <w:pPr>
              <w:jc w:val="right"/>
              <w:rPr>
                <w:rFonts w:cs="Arial"/>
                <w:szCs w:val="22"/>
              </w:rPr>
            </w:pPr>
            <w:r>
              <w:rPr>
                <w:rFonts w:cs="Arial"/>
                <w:szCs w:val="22"/>
              </w:rPr>
              <w:t>22</w:t>
            </w:r>
          </w:p>
        </w:tc>
      </w:tr>
      <w:tr w:rsidR="007F5DB3" w14:paraId="3352381E" w14:textId="77777777" w:rsidTr="007F5DB3">
        <w:tc>
          <w:tcPr>
            <w:tcW w:w="5665" w:type="dxa"/>
          </w:tcPr>
          <w:p w14:paraId="2039E2E8" w14:textId="77777777" w:rsidR="007F5DB3" w:rsidRPr="005A01CA" w:rsidRDefault="007F5DB3" w:rsidP="007F5DB3">
            <w:pPr>
              <w:jc w:val="left"/>
              <w:rPr>
                <w:rFonts w:cs="Arial"/>
                <w:szCs w:val="22"/>
              </w:rPr>
            </w:pPr>
            <w:r>
              <w:rPr>
                <w:rFonts w:cs="Arial"/>
                <w:szCs w:val="22"/>
              </w:rPr>
              <w:t>Vehicle Replacement Programme</w:t>
            </w:r>
          </w:p>
        </w:tc>
        <w:tc>
          <w:tcPr>
            <w:tcW w:w="993" w:type="dxa"/>
          </w:tcPr>
          <w:p w14:paraId="67C2B2CC" w14:textId="77777777" w:rsidR="007F5DB3" w:rsidRPr="005A01CA" w:rsidRDefault="007F5DB3" w:rsidP="007F5DB3">
            <w:pPr>
              <w:jc w:val="right"/>
              <w:rPr>
                <w:rFonts w:cs="Arial"/>
                <w:szCs w:val="22"/>
              </w:rPr>
            </w:pPr>
            <w:r>
              <w:rPr>
                <w:rFonts w:cs="Arial"/>
                <w:szCs w:val="22"/>
              </w:rPr>
              <w:t>1,368</w:t>
            </w:r>
          </w:p>
        </w:tc>
      </w:tr>
    </w:tbl>
    <w:p w14:paraId="743FA1F9" w14:textId="77777777" w:rsidR="007F5DB3" w:rsidRDefault="007F5DB3" w:rsidP="007F5DB3">
      <w:pPr>
        <w:jc w:val="left"/>
        <w:rPr>
          <w:b/>
          <w:bCs/>
        </w:rPr>
      </w:pPr>
      <w:r>
        <w:rPr>
          <w:b/>
          <w:bCs/>
        </w:rPr>
        <w:br w:type="page"/>
      </w:r>
    </w:p>
    <w:p w14:paraId="4835CDCF" w14:textId="77777777" w:rsidR="007F5DB3" w:rsidRPr="00AC4D7B" w:rsidRDefault="007F5DB3" w:rsidP="007F5DB3">
      <w:pPr>
        <w:rPr>
          <w:b/>
          <w:bCs/>
        </w:rPr>
      </w:pPr>
      <w:r w:rsidRPr="00AC4D7B">
        <w:rPr>
          <w:b/>
          <w:bCs/>
        </w:rPr>
        <w:t>The Corporate Risk Register</w:t>
      </w:r>
    </w:p>
    <w:p w14:paraId="53255DE2" w14:textId="77777777" w:rsidR="007F5DB3" w:rsidRPr="00AC4D7B" w:rsidRDefault="007F5DB3" w:rsidP="007F5DB3">
      <w:pPr>
        <w:rPr>
          <w:rFonts w:cs="Arial"/>
          <w:color w:val="FF0000"/>
        </w:rPr>
      </w:pPr>
    </w:p>
    <w:p w14:paraId="5B8F7F37" w14:textId="77777777" w:rsidR="007F5DB3" w:rsidRDefault="007F5DB3" w:rsidP="007F5DB3">
      <w:r>
        <w:t xml:space="preserve">Strategic Risk Register Risk management is a cornerstone of good corporate governance and the Council has established a system of risk management which involves the creation of risk registers at a strategic level, service level and individual project levels. Compiling the Strategic Risk Register requires a collective effort involving Senior Leadership Team (SLT) to identify the key strategic risk issues facing the Council. </w:t>
      </w:r>
    </w:p>
    <w:p w14:paraId="2B105233" w14:textId="77777777" w:rsidR="007F5DB3" w:rsidRDefault="007F5DB3" w:rsidP="007F5DB3"/>
    <w:p w14:paraId="2C2E339D" w14:textId="77777777" w:rsidR="007F5DB3" w:rsidRDefault="007F5DB3" w:rsidP="007F5DB3">
      <w:r>
        <w:t xml:space="preserve">The Strategic Risk Register is stored and managed within the Council’s risk management system GRACE. SLT are responsible for identifying, owning monitoring and mitigating strategic risk including ensuring that any actions against each risk are completed. </w:t>
      </w:r>
    </w:p>
    <w:p w14:paraId="037ED3A6" w14:textId="77777777" w:rsidR="007F5DB3" w:rsidRDefault="007F5DB3" w:rsidP="007F5DB3"/>
    <w:p w14:paraId="338A30F7" w14:textId="77777777" w:rsidR="007F5DB3" w:rsidRDefault="007F5DB3" w:rsidP="007F5DB3">
      <w:r>
        <w:t>The GRACE system also contains separate risk registers for individual projects and service level risk registers owned and controlled by individual services managers and project managers. All strategic risks are now contained and embedded within the GRACE system have been reviewed to inform this latest position. Directors and service leads continue to own individual risks with actions being owned by the most relevant Senior Officer within the organisation. All risks are stored within the GRACE system and are scored on a 4x4 risk matrix as outlined below:</w:t>
      </w:r>
    </w:p>
    <w:p w14:paraId="57854D45" w14:textId="77777777" w:rsidR="007F5DB3" w:rsidRDefault="007F5DB3" w:rsidP="007F5DB3"/>
    <w:p w14:paraId="2FF22C3B" w14:textId="77777777" w:rsidR="007F5DB3" w:rsidRDefault="007F5DB3" w:rsidP="007F5DB3">
      <w:pPr>
        <w:rPr>
          <w:rFonts w:cs="Arial"/>
        </w:rPr>
      </w:pPr>
      <w:r>
        <w:rPr>
          <w:noProof/>
        </w:rPr>
        <w:drawing>
          <wp:inline distT="0" distB="0" distL="0" distR="0" wp14:anchorId="77D17098" wp14:editId="38D973D3">
            <wp:extent cx="6120130" cy="46418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130" cy="4641850"/>
                    </a:xfrm>
                    <a:prstGeom prst="rect">
                      <a:avLst/>
                    </a:prstGeom>
                  </pic:spPr>
                </pic:pic>
              </a:graphicData>
            </a:graphic>
          </wp:inline>
        </w:drawing>
      </w:r>
    </w:p>
    <w:p w14:paraId="789796F1" w14:textId="77777777" w:rsidR="007F5DB3" w:rsidRDefault="007F5DB3" w:rsidP="007F5DB3">
      <w:pPr>
        <w:jc w:val="left"/>
        <w:rPr>
          <w:rFonts w:eastAsiaTheme="minorHAnsi" w:cs="Arial"/>
          <w:szCs w:val="22"/>
          <w:lang w:eastAsia="en-US"/>
        </w:rPr>
      </w:pPr>
      <w:r>
        <w:rPr>
          <w:rFonts w:cs="Arial"/>
        </w:rPr>
        <w:t xml:space="preserve">The latest Corporate Risk Register was reported to Governance Committee on 19 January 2021, the full report can be found </w:t>
      </w:r>
      <w:hyperlink r:id="rId46" w:history="1">
        <w:r w:rsidRPr="00F278C4">
          <w:rPr>
            <w:rStyle w:val="Hyperlink"/>
            <w:rFonts w:cs="Arial"/>
          </w:rPr>
          <w:t>here</w:t>
        </w:r>
      </w:hyperlink>
      <w:r>
        <w:rPr>
          <w:rFonts w:cs="Arial"/>
        </w:rPr>
        <w:t xml:space="preserve">. </w:t>
      </w:r>
      <w:r w:rsidRPr="00A773AA">
        <w:rPr>
          <w:rFonts w:eastAsiaTheme="minorHAnsi" w:cs="Arial"/>
          <w:szCs w:val="22"/>
          <w:lang w:eastAsia="en-US"/>
        </w:rPr>
        <w:t>A summary of the risks (ordered highest to lowest risk) for 2021 can be found</w:t>
      </w:r>
      <w:r>
        <w:rPr>
          <w:rFonts w:eastAsiaTheme="minorHAnsi" w:cs="Arial"/>
          <w:szCs w:val="22"/>
          <w:lang w:eastAsia="en-US"/>
        </w:rPr>
        <w:t xml:space="preserve"> </w:t>
      </w:r>
      <w:r w:rsidRPr="00A773AA">
        <w:rPr>
          <w:rFonts w:eastAsiaTheme="minorHAnsi" w:cs="Arial"/>
          <w:szCs w:val="22"/>
          <w:lang w:eastAsia="en-US"/>
        </w:rPr>
        <w:t>below.</w:t>
      </w:r>
      <w:r w:rsidRPr="00A773AA">
        <w:rPr>
          <w:rFonts w:eastAsiaTheme="minorHAnsi" w:cs="Arial"/>
          <w:szCs w:val="22"/>
          <w:lang w:eastAsia="en-US"/>
        </w:rPr>
        <w:cr/>
      </w:r>
      <w:r>
        <w:rPr>
          <w:rFonts w:eastAsiaTheme="minorHAnsi" w:cs="Arial"/>
          <w:szCs w:val="22"/>
          <w:lang w:eastAsia="en-US"/>
        </w:rPr>
        <w:br w:type="page"/>
      </w:r>
    </w:p>
    <w:p w14:paraId="6A868EA3" w14:textId="77777777" w:rsidR="007F5DB3" w:rsidRDefault="007F5DB3" w:rsidP="007F5DB3">
      <w:pPr>
        <w:rPr>
          <w:rFonts w:eastAsiaTheme="minorHAnsi" w:cs="Arial"/>
          <w:b/>
          <w:bCs/>
          <w:szCs w:val="22"/>
          <w:lang w:eastAsia="en-US"/>
        </w:rPr>
      </w:pPr>
      <w:r>
        <w:rPr>
          <w:noProof/>
        </w:rPr>
        <w:drawing>
          <wp:inline distT="0" distB="0" distL="0" distR="0" wp14:anchorId="093D4231" wp14:editId="0E2111CB">
            <wp:extent cx="6096000" cy="6210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096000" cy="6210300"/>
                    </a:xfrm>
                    <a:prstGeom prst="rect">
                      <a:avLst/>
                    </a:prstGeom>
                  </pic:spPr>
                </pic:pic>
              </a:graphicData>
            </a:graphic>
          </wp:inline>
        </w:drawing>
      </w:r>
    </w:p>
    <w:p w14:paraId="471B036B" w14:textId="77777777" w:rsidR="007F5DB3" w:rsidRDefault="007F5DB3" w:rsidP="007F5DB3">
      <w:pPr>
        <w:jc w:val="left"/>
        <w:rPr>
          <w:rFonts w:eastAsiaTheme="minorHAnsi" w:cs="Arial"/>
          <w:b/>
          <w:bCs/>
          <w:szCs w:val="22"/>
          <w:lang w:eastAsia="en-US"/>
        </w:rPr>
      </w:pPr>
      <w:r>
        <w:rPr>
          <w:rFonts w:eastAsiaTheme="minorHAnsi" w:cs="Arial"/>
          <w:b/>
          <w:bCs/>
          <w:szCs w:val="22"/>
          <w:lang w:eastAsia="en-US"/>
        </w:rPr>
        <w:br w:type="page"/>
      </w:r>
    </w:p>
    <w:p w14:paraId="725EF18A" w14:textId="77777777" w:rsidR="007F5DB3" w:rsidRDefault="007F5DB3" w:rsidP="007F5DB3">
      <w:pPr>
        <w:rPr>
          <w:rFonts w:eastAsiaTheme="minorHAnsi" w:cs="Arial"/>
          <w:b/>
          <w:bCs/>
          <w:szCs w:val="22"/>
          <w:lang w:eastAsia="en-US"/>
        </w:rPr>
      </w:pPr>
      <w:r>
        <w:rPr>
          <w:noProof/>
        </w:rPr>
        <w:drawing>
          <wp:inline distT="0" distB="0" distL="0" distR="0" wp14:anchorId="25B450DF" wp14:editId="118F305D">
            <wp:extent cx="5724525" cy="86582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24525" cy="8658225"/>
                    </a:xfrm>
                    <a:prstGeom prst="rect">
                      <a:avLst/>
                    </a:prstGeom>
                  </pic:spPr>
                </pic:pic>
              </a:graphicData>
            </a:graphic>
          </wp:inline>
        </w:drawing>
      </w:r>
      <w:r>
        <w:rPr>
          <w:rFonts w:eastAsiaTheme="minorHAnsi" w:cs="Arial"/>
          <w:b/>
          <w:bCs/>
          <w:szCs w:val="22"/>
          <w:lang w:eastAsia="en-US"/>
        </w:rPr>
        <w:br w:type="page"/>
      </w:r>
    </w:p>
    <w:p w14:paraId="3F653AE3" w14:textId="77777777" w:rsidR="007F5DB3" w:rsidRDefault="007F5DB3" w:rsidP="007F5DB3">
      <w:pPr>
        <w:rPr>
          <w:rFonts w:eastAsiaTheme="minorHAnsi" w:cs="Arial"/>
          <w:szCs w:val="22"/>
          <w:lang w:eastAsia="en-US"/>
        </w:rPr>
      </w:pPr>
      <w:r w:rsidRPr="00F072FD">
        <w:rPr>
          <w:rFonts w:eastAsiaTheme="minorHAnsi" w:cs="Arial"/>
          <w:szCs w:val="22"/>
          <w:lang w:eastAsia="en-US"/>
        </w:rPr>
        <w:t xml:space="preserve">One of the highest rated risks to the </w:t>
      </w:r>
      <w:r>
        <w:rPr>
          <w:rFonts w:eastAsiaTheme="minorHAnsi" w:cs="Arial"/>
          <w:szCs w:val="22"/>
          <w:lang w:eastAsia="en-US"/>
        </w:rPr>
        <w:t>C</w:t>
      </w:r>
      <w:r w:rsidRPr="00F072FD">
        <w:rPr>
          <w:rFonts w:eastAsiaTheme="minorHAnsi" w:cs="Arial"/>
          <w:szCs w:val="22"/>
          <w:lang w:eastAsia="en-US"/>
        </w:rPr>
        <w:t xml:space="preserve">ouncil for 2021 is R01 ‘the ability of the </w:t>
      </w:r>
      <w:r>
        <w:rPr>
          <w:rFonts w:eastAsiaTheme="minorHAnsi" w:cs="Arial"/>
          <w:szCs w:val="22"/>
          <w:lang w:eastAsia="en-US"/>
        </w:rPr>
        <w:t>C</w:t>
      </w:r>
      <w:r w:rsidRPr="00F072FD">
        <w:rPr>
          <w:rFonts w:eastAsiaTheme="minorHAnsi" w:cs="Arial"/>
          <w:szCs w:val="22"/>
          <w:lang w:eastAsia="en-US"/>
        </w:rPr>
        <w:t>ouncil to</w:t>
      </w:r>
      <w:r>
        <w:rPr>
          <w:rFonts w:eastAsiaTheme="minorHAnsi" w:cs="Arial"/>
          <w:szCs w:val="22"/>
          <w:lang w:eastAsia="en-US"/>
        </w:rPr>
        <w:t xml:space="preserve"> </w:t>
      </w:r>
      <w:r w:rsidRPr="00F072FD">
        <w:rPr>
          <w:rFonts w:eastAsiaTheme="minorHAnsi" w:cs="Arial"/>
          <w:szCs w:val="22"/>
          <w:lang w:eastAsia="en-US"/>
        </w:rPr>
        <w:t>continue its service delivery being either halted or scaled back as a result of major incidents</w:t>
      </w:r>
      <w:r>
        <w:rPr>
          <w:rFonts w:eastAsiaTheme="minorHAnsi" w:cs="Arial"/>
          <w:szCs w:val="22"/>
          <w:lang w:eastAsia="en-US"/>
        </w:rPr>
        <w:t xml:space="preserve"> </w:t>
      </w:r>
      <w:r w:rsidRPr="00F072FD">
        <w:rPr>
          <w:rFonts w:eastAsiaTheme="minorHAnsi" w:cs="Arial"/>
          <w:szCs w:val="22"/>
          <w:lang w:eastAsia="en-US"/>
        </w:rPr>
        <w:t>or emergencies such as cyber-attacks, pandemics’. This risk is rated highly due to the</w:t>
      </w:r>
      <w:r>
        <w:rPr>
          <w:rFonts w:eastAsiaTheme="minorHAnsi" w:cs="Arial"/>
          <w:szCs w:val="22"/>
          <w:lang w:eastAsia="en-US"/>
        </w:rPr>
        <w:t xml:space="preserve"> </w:t>
      </w:r>
      <w:r w:rsidRPr="00F072FD">
        <w:rPr>
          <w:rFonts w:eastAsiaTheme="minorHAnsi" w:cs="Arial"/>
          <w:szCs w:val="22"/>
          <w:lang w:eastAsia="en-US"/>
        </w:rPr>
        <w:t>likelihood and impact of disruption to business continuity due to the ongoing COVID-19</w:t>
      </w:r>
      <w:r>
        <w:rPr>
          <w:rFonts w:eastAsiaTheme="minorHAnsi" w:cs="Arial"/>
          <w:szCs w:val="22"/>
          <w:lang w:eastAsia="en-US"/>
        </w:rPr>
        <w:t xml:space="preserve"> </w:t>
      </w:r>
      <w:r w:rsidRPr="00F072FD">
        <w:rPr>
          <w:rFonts w:eastAsiaTheme="minorHAnsi" w:cs="Arial"/>
          <w:szCs w:val="22"/>
          <w:lang w:eastAsia="en-US"/>
        </w:rPr>
        <w:t xml:space="preserve">pandemic. However, the controls we have in place to mitigate this risk as a </w:t>
      </w:r>
      <w:r>
        <w:rPr>
          <w:rFonts w:eastAsiaTheme="minorHAnsi" w:cs="Arial"/>
          <w:szCs w:val="22"/>
          <w:lang w:eastAsia="en-US"/>
        </w:rPr>
        <w:t>C</w:t>
      </w:r>
      <w:r w:rsidRPr="00F072FD">
        <w:rPr>
          <w:rFonts w:eastAsiaTheme="minorHAnsi" w:cs="Arial"/>
          <w:szCs w:val="22"/>
          <w:lang w:eastAsia="en-US"/>
        </w:rPr>
        <w:t>ouncil are</w:t>
      </w:r>
      <w:r>
        <w:rPr>
          <w:rFonts w:eastAsiaTheme="minorHAnsi" w:cs="Arial"/>
          <w:szCs w:val="22"/>
          <w:lang w:eastAsia="en-US"/>
        </w:rPr>
        <w:t xml:space="preserve"> </w:t>
      </w:r>
      <w:r w:rsidRPr="00F072FD">
        <w:rPr>
          <w:rFonts w:eastAsiaTheme="minorHAnsi" w:cs="Arial"/>
          <w:szCs w:val="22"/>
          <w:lang w:eastAsia="en-US"/>
        </w:rPr>
        <w:t>strong and therefore the residual and target scores reduce significantly to medium.</w:t>
      </w:r>
    </w:p>
    <w:p w14:paraId="2990E4C4" w14:textId="77777777" w:rsidR="007F5DB3" w:rsidRPr="00F072FD" w:rsidRDefault="007F5DB3" w:rsidP="007F5DB3">
      <w:pPr>
        <w:jc w:val="left"/>
        <w:rPr>
          <w:rFonts w:eastAsiaTheme="minorHAnsi" w:cs="Arial"/>
          <w:szCs w:val="22"/>
          <w:lang w:eastAsia="en-US"/>
        </w:rPr>
      </w:pPr>
    </w:p>
    <w:p w14:paraId="36A505ED" w14:textId="77777777" w:rsidR="007F5DB3" w:rsidRDefault="007F5DB3" w:rsidP="007F5DB3">
      <w:pPr>
        <w:jc w:val="left"/>
        <w:rPr>
          <w:rFonts w:eastAsiaTheme="minorHAnsi" w:cs="Arial"/>
          <w:szCs w:val="22"/>
          <w:lang w:eastAsia="en-US"/>
        </w:rPr>
      </w:pPr>
      <w:r w:rsidRPr="00F072FD">
        <w:rPr>
          <w:rFonts w:eastAsiaTheme="minorHAnsi" w:cs="Arial"/>
          <w:szCs w:val="22"/>
          <w:lang w:eastAsia="en-US"/>
        </w:rPr>
        <w:t>The maintenance and success of key strategic partnerships are key to the Council meeting</w:t>
      </w:r>
      <w:r>
        <w:rPr>
          <w:rFonts w:eastAsiaTheme="minorHAnsi" w:cs="Arial"/>
          <w:szCs w:val="22"/>
          <w:lang w:eastAsia="en-US"/>
        </w:rPr>
        <w:t xml:space="preserve"> </w:t>
      </w:r>
      <w:r w:rsidRPr="00F072FD">
        <w:rPr>
          <w:rFonts w:eastAsiaTheme="minorHAnsi" w:cs="Arial"/>
          <w:szCs w:val="22"/>
          <w:lang w:eastAsia="en-US"/>
        </w:rPr>
        <w:t>its key corporate priorities and aims. Risk R08 relates to the success of these partnerships</w:t>
      </w:r>
      <w:r>
        <w:rPr>
          <w:rFonts w:eastAsiaTheme="minorHAnsi" w:cs="Arial"/>
          <w:szCs w:val="22"/>
          <w:lang w:eastAsia="en-US"/>
        </w:rPr>
        <w:t xml:space="preserve"> </w:t>
      </w:r>
      <w:r w:rsidRPr="00F072FD">
        <w:rPr>
          <w:rFonts w:eastAsiaTheme="minorHAnsi" w:cs="Arial"/>
          <w:szCs w:val="22"/>
          <w:lang w:eastAsia="en-US"/>
        </w:rPr>
        <w:t>and has been rated highly for 2021 given the Council’s reliance on them and specific issues</w:t>
      </w:r>
      <w:r>
        <w:rPr>
          <w:rFonts w:eastAsiaTheme="minorHAnsi" w:cs="Arial"/>
          <w:szCs w:val="22"/>
          <w:lang w:eastAsia="en-US"/>
        </w:rPr>
        <w:t xml:space="preserve"> </w:t>
      </w:r>
      <w:r w:rsidRPr="00F072FD">
        <w:rPr>
          <w:rFonts w:eastAsiaTheme="minorHAnsi" w:cs="Arial"/>
          <w:szCs w:val="22"/>
          <w:lang w:eastAsia="en-US"/>
        </w:rPr>
        <w:t>relating to the City Deal. There remain strong partnerships in place with governance</w:t>
      </w:r>
      <w:r>
        <w:rPr>
          <w:rFonts w:eastAsiaTheme="minorHAnsi" w:cs="Arial"/>
          <w:szCs w:val="22"/>
          <w:lang w:eastAsia="en-US"/>
        </w:rPr>
        <w:t xml:space="preserve"> </w:t>
      </w:r>
      <w:r w:rsidRPr="00F072FD">
        <w:rPr>
          <w:rFonts w:eastAsiaTheme="minorHAnsi" w:cs="Arial"/>
          <w:szCs w:val="22"/>
          <w:lang w:eastAsia="en-US"/>
        </w:rPr>
        <w:t xml:space="preserve">arrangements to manage relationships through mechanisms such as the South </w:t>
      </w:r>
      <w:proofErr w:type="spellStart"/>
      <w:r w:rsidRPr="00F072FD">
        <w:rPr>
          <w:rFonts w:eastAsiaTheme="minorHAnsi" w:cs="Arial"/>
          <w:szCs w:val="22"/>
          <w:lang w:eastAsia="en-US"/>
        </w:rPr>
        <w:t>Ribble</w:t>
      </w:r>
      <w:proofErr w:type="spellEnd"/>
      <w:r>
        <w:rPr>
          <w:rFonts w:eastAsiaTheme="minorHAnsi" w:cs="Arial"/>
          <w:szCs w:val="22"/>
          <w:lang w:eastAsia="en-US"/>
        </w:rPr>
        <w:t xml:space="preserve"> </w:t>
      </w:r>
      <w:r w:rsidRPr="00F072FD">
        <w:rPr>
          <w:rFonts w:eastAsiaTheme="minorHAnsi" w:cs="Arial"/>
          <w:szCs w:val="22"/>
          <w:lang w:eastAsia="en-US"/>
        </w:rPr>
        <w:t>Partnership.</w:t>
      </w:r>
    </w:p>
    <w:p w14:paraId="73E11CF3" w14:textId="77777777" w:rsidR="007F5DB3" w:rsidRPr="00F072FD" w:rsidRDefault="007F5DB3" w:rsidP="007F5DB3">
      <w:pPr>
        <w:jc w:val="left"/>
        <w:rPr>
          <w:rFonts w:eastAsiaTheme="minorHAnsi" w:cs="Arial"/>
          <w:szCs w:val="22"/>
          <w:lang w:eastAsia="en-US"/>
        </w:rPr>
      </w:pPr>
    </w:p>
    <w:p w14:paraId="1E209DE6" w14:textId="77777777" w:rsidR="007F5DB3" w:rsidRDefault="007F5DB3" w:rsidP="007F5DB3">
      <w:pPr>
        <w:rPr>
          <w:rFonts w:eastAsiaTheme="minorHAnsi" w:cs="Arial"/>
          <w:szCs w:val="22"/>
          <w:lang w:eastAsia="en-US"/>
        </w:rPr>
      </w:pPr>
      <w:r w:rsidRPr="00F072FD">
        <w:rPr>
          <w:rFonts w:eastAsiaTheme="minorHAnsi" w:cs="Arial"/>
          <w:szCs w:val="22"/>
          <w:lang w:eastAsia="en-US"/>
        </w:rPr>
        <w:t>As would be expected, COVID- 19 has had a significant impact on the consideration and</w:t>
      </w:r>
      <w:r>
        <w:rPr>
          <w:rFonts w:eastAsiaTheme="minorHAnsi" w:cs="Arial"/>
          <w:szCs w:val="22"/>
          <w:lang w:eastAsia="en-US"/>
        </w:rPr>
        <w:t xml:space="preserve"> </w:t>
      </w:r>
      <w:r w:rsidRPr="00F072FD">
        <w:rPr>
          <w:rFonts w:eastAsiaTheme="minorHAnsi" w:cs="Arial"/>
          <w:szCs w:val="22"/>
          <w:lang w:eastAsia="en-US"/>
        </w:rPr>
        <w:t>scoring of some of the highest rated risks for 2021. Its impact (and potential unknown futu</w:t>
      </w:r>
      <w:r>
        <w:rPr>
          <w:rFonts w:eastAsiaTheme="minorHAnsi" w:cs="Arial"/>
          <w:szCs w:val="22"/>
          <w:lang w:eastAsia="en-US"/>
        </w:rPr>
        <w:t>r</w:t>
      </w:r>
      <w:r w:rsidRPr="00F072FD">
        <w:rPr>
          <w:rFonts w:eastAsiaTheme="minorHAnsi" w:cs="Arial"/>
          <w:szCs w:val="22"/>
          <w:lang w:eastAsia="en-US"/>
        </w:rPr>
        <w:t>e</w:t>
      </w:r>
      <w:r>
        <w:rPr>
          <w:rFonts w:eastAsiaTheme="minorHAnsi" w:cs="Arial"/>
          <w:szCs w:val="22"/>
          <w:lang w:eastAsia="en-US"/>
        </w:rPr>
        <w:t xml:space="preserve"> </w:t>
      </w:r>
      <w:r w:rsidRPr="00F072FD">
        <w:rPr>
          <w:rFonts w:eastAsiaTheme="minorHAnsi" w:cs="Arial"/>
          <w:szCs w:val="22"/>
          <w:lang w:eastAsia="en-US"/>
        </w:rPr>
        <w:t xml:space="preserve">impact) can be seen influencing several of the highest risks facing the </w:t>
      </w:r>
      <w:r>
        <w:rPr>
          <w:rFonts w:eastAsiaTheme="minorHAnsi" w:cs="Arial"/>
          <w:szCs w:val="22"/>
          <w:lang w:eastAsia="en-US"/>
        </w:rPr>
        <w:t>C</w:t>
      </w:r>
      <w:r w:rsidRPr="00F072FD">
        <w:rPr>
          <w:rFonts w:eastAsiaTheme="minorHAnsi" w:cs="Arial"/>
          <w:szCs w:val="22"/>
          <w:lang w:eastAsia="en-US"/>
        </w:rPr>
        <w:t>ouncil. This</w:t>
      </w:r>
      <w:r>
        <w:rPr>
          <w:rFonts w:eastAsiaTheme="minorHAnsi" w:cs="Arial"/>
          <w:szCs w:val="22"/>
          <w:lang w:eastAsia="en-US"/>
        </w:rPr>
        <w:t xml:space="preserve"> </w:t>
      </w:r>
      <w:r w:rsidRPr="00F072FD">
        <w:rPr>
          <w:rFonts w:eastAsiaTheme="minorHAnsi" w:cs="Arial"/>
          <w:szCs w:val="22"/>
          <w:lang w:eastAsia="en-US"/>
        </w:rPr>
        <w:t>includes R03 ‘reduction in current funding streams including government grant and key</w:t>
      </w:r>
      <w:r>
        <w:rPr>
          <w:rFonts w:eastAsiaTheme="minorHAnsi" w:cs="Arial"/>
          <w:szCs w:val="22"/>
          <w:lang w:eastAsia="en-US"/>
        </w:rPr>
        <w:t xml:space="preserve"> </w:t>
      </w:r>
      <w:r w:rsidRPr="00F072FD">
        <w:rPr>
          <w:rFonts w:eastAsiaTheme="minorHAnsi" w:cs="Arial"/>
          <w:szCs w:val="22"/>
          <w:lang w:eastAsia="en-US"/>
        </w:rPr>
        <w:t>public sector and third-party partners. This risk has been rated highly due to the unknown</w:t>
      </w:r>
      <w:r>
        <w:rPr>
          <w:rFonts w:eastAsiaTheme="minorHAnsi" w:cs="Arial"/>
          <w:szCs w:val="22"/>
          <w:lang w:eastAsia="en-US"/>
        </w:rPr>
        <w:t xml:space="preserve"> </w:t>
      </w:r>
      <w:r w:rsidRPr="00F072FD">
        <w:rPr>
          <w:rFonts w:eastAsiaTheme="minorHAnsi" w:cs="Arial"/>
          <w:szCs w:val="22"/>
          <w:lang w:eastAsia="en-US"/>
        </w:rPr>
        <w:t xml:space="preserve">impact of COVID-19 on future funding/income streams and potential impact on </w:t>
      </w:r>
      <w:r>
        <w:rPr>
          <w:rFonts w:eastAsiaTheme="minorHAnsi" w:cs="Arial"/>
          <w:szCs w:val="22"/>
          <w:lang w:eastAsia="en-US"/>
        </w:rPr>
        <w:t>C</w:t>
      </w:r>
      <w:r w:rsidRPr="00F072FD">
        <w:rPr>
          <w:rFonts w:eastAsiaTheme="minorHAnsi" w:cs="Arial"/>
          <w:szCs w:val="22"/>
          <w:lang w:eastAsia="en-US"/>
        </w:rPr>
        <w:t>ouncil</w:t>
      </w:r>
      <w:r>
        <w:rPr>
          <w:rFonts w:eastAsiaTheme="minorHAnsi" w:cs="Arial"/>
          <w:szCs w:val="22"/>
          <w:lang w:eastAsia="en-US"/>
        </w:rPr>
        <w:t xml:space="preserve"> </w:t>
      </w:r>
      <w:r w:rsidRPr="00F072FD">
        <w:rPr>
          <w:rFonts w:eastAsiaTheme="minorHAnsi" w:cs="Arial"/>
          <w:szCs w:val="22"/>
          <w:lang w:eastAsia="en-US"/>
        </w:rPr>
        <w:t>income generation. It can also be seen against risk R09 ‘agile services’ due to the</w:t>
      </w:r>
      <w:r>
        <w:rPr>
          <w:rFonts w:eastAsiaTheme="minorHAnsi" w:cs="Arial"/>
          <w:szCs w:val="22"/>
          <w:lang w:eastAsia="en-US"/>
        </w:rPr>
        <w:t xml:space="preserve"> </w:t>
      </w:r>
      <w:r w:rsidRPr="00F072FD">
        <w:rPr>
          <w:rFonts w:eastAsiaTheme="minorHAnsi" w:cs="Arial"/>
          <w:szCs w:val="22"/>
          <w:lang w:eastAsia="en-US"/>
        </w:rPr>
        <w:t>likelihood of changing customer needs and environments during and post the pandemic.</w:t>
      </w:r>
      <w:r>
        <w:rPr>
          <w:rFonts w:eastAsiaTheme="minorHAnsi" w:cs="Arial"/>
          <w:szCs w:val="22"/>
          <w:lang w:eastAsia="en-US"/>
        </w:rPr>
        <w:t xml:space="preserve"> </w:t>
      </w:r>
      <w:r w:rsidRPr="00F072FD">
        <w:rPr>
          <w:rFonts w:eastAsiaTheme="minorHAnsi" w:cs="Arial"/>
          <w:szCs w:val="22"/>
          <w:lang w:eastAsia="en-US"/>
        </w:rPr>
        <w:t>Strong actions are in place against this risk including effective business planning for</w:t>
      </w:r>
      <w:r>
        <w:rPr>
          <w:rFonts w:eastAsiaTheme="minorHAnsi" w:cs="Arial"/>
          <w:szCs w:val="22"/>
          <w:lang w:eastAsia="en-US"/>
        </w:rPr>
        <w:t xml:space="preserve"> </w:t>
      </w:r>
      <w:r w:rsidRPr="00F072FD">
        <w:rPr>
          <w:rFonts w:eastAsiaTheme="minorHAnsi" w:cs="Arial"/>
          <w:szCs w:val="22"/>
          <w:lang w:eastAsia="en-US"/>
        </w:rPr>
        <w:t>2021/22 and undertaking a survey to understand the changing needs of residents and</w:t>
      </w:r>
      <w:r>
        <w:rPr>
          <w:rFonts w:eastAsiaTheme="minorHAnsi" w:cs="Arial"/>
          <w:szCs w:val="22"/>
          <w:lang w:eastAsia="en-US"/>
        </w:rPr>
        <w:t xml:space="preserve"> </w:t>
      </w:r>
      <w:r w:rsidRPr="00F072FD">
        <w:rPr>
          <w:rFonts w:eastAsiaTheme="minorHAnsi" w:cs="Arial"/>
          <w:szCs w:val="22"/>
          <w:lang w:eastAsia="en-US"/>
        </w:rPr>
        <w:t>therefore the target risk is low.</w:t>
      </w:r>
    </w:p>
    <w:p w14:paraId="645651B3" w14:textId="77777777" w:rsidR="007F5DB3" w:rsidRPr="00F072FD" w:rsidRDefault="007F5DB3" w:rsidP="007F5DB3">
      <w:pPr>
        <w:rPr>
          <w:rFonts w:eastAsiaTheme="minorHAnsi" w:cs="Arial"/>
          <w:szCs w:val="22"/>
          <w:lang w:eastAsia="en-US"/>
        </w:rPr>
      </w:pPr>
    </w:p>
    <w:p w14:paraId="5E89355D" w14:textId="77777777" w:rsidR="007F5DB3" w:rsidRDefault="007F5DB3" w:rsidP="007F5DB3">
      <w:pPr>
        <w:rPr>
          <w:rFonts w:eastAsiaTheme="minorHAnsi" w:cs="Arial"/>
          <w:szCs w:val="22"/>
          <w:lang w:eastAsia="en-US"/>
        </w:rPr>
      </w:pPr>
      <w:r w:rsidRPr="00F072FD">
        <w:rPr>
          <w:rFonts w:eastAsiaTheme="minorHAnsi" w:cs="Arial"/>
          <w:szCs w:val="22"/>
          <w:lang w:eastAsia="en-US"/>
        </w:rPr>
        <w:t>Two of the highest rated risks facing the Council are financial. These risks involve the</w:t>
      </w:r>
      <w:r>
        <w:rPr>
          <w:rFonts w:eastAsiaTheme="minorHAnsi" w:cs="Arial"/>
          <w:szCs w:val="22"/>
          <w:lang w:eastAsia="en-US"/>
        </w:rPr>
        <w:t xml:space="preserve"> </w:t>
      </w:r>
      <w:r w:rsidRPr="00F072FD">
        <w:rPr>
          <w:rFonts w:eastAsiaTheme="minorHAnsi" w:cs="Arial"/>
          <w:szCs w:val="22"/>
          <w:lang w:eastAsia="en-US"/>
        </w:rPr>
        <w:t>management of capital funding and the capital programme (R04) and financial sustainability</w:t>
      </w:r>
      <w:r>
        <w:rPr>
          <w:rFonts w:eastAsiaTheme="minorHAnsi" w:cs="Arial"/>
          <w:szCs w:val="22"/>
          <w:lang w:eastAsia="en-US"/>
        </w:rPr>
        <w:t xml:space="preserve"> </w:t>
      </w:r>
      <w:r w:rsidRPr="00F072FD">
        <w:rPr>
          <w:rFonts w:eastAsiaTheme="minorHAnsi" w:cs="Arial"/>
          <w:szCs w:val="22"/>
          <w:lang w:eastAsia="en-US"/>
        </w:rPr>
        <w:t>(R03). With regards to financial sustainability, this risk has been rated highly due to</w:t>
      </w:r>
      <w:r>
        <w:rPr>
          <w:rFonts w:eastAsiaTheme="minorHAnsi" w:cs="Arial"/>
          <w:szCs w:val="22"/>
          <w:lang w:eastAsia="en-US"/>
        </w:rPr>
        <w:t xml:space="preserve"> </w:t>
      </w:r>
      <w:r w:rsidRPr="00F072FD">
        <w:rPr>
          <w:rFonts w:eastAsiaTheme="minorHAnsi" w:cs="Arial"/>
          <w:szCs w:val="22"/>
          <w:lang w:eastAsia="en-US"/>
        </w:rPr>
        <w:t>probability of reduction in current funding streams including Central Government grants,</w:t>
      </w:r>
      <w:r>
        <w:rPr>
          <w:rFonts w:eastAsiaTheme="minorHAnsi" w:cs="Arial"/>
          <w:szCs w:val="22"/>
          <w:lang w:eastAsia="en-US"/>
        </w:rPr>
        <w:t xml:space="preserve"> </w:t>
      </w:r>
      <w:r w:rsidRPr="00F072FD">
        <w:rPr>
          <w:rFonts w:eastAsiaTheme="minorHAnsi" w:cs="Arial"/>
          <w:szCs w:val="22"/>
          <w:lang w:eastAsia="en-US"/>
        </w:rPr>
        <w:t>key public sector and third party partners following as a result of the COVID – 19 pandemic</w:t>
      </w:r>
      <w:r>
        <w:rPr>
          <w:rFonts w:eastAsiaTheme="minorHAnsi" w:cs="Arial"/>
          <w:szCs w:val="22"/>
          <w:lang w:eastAsia="en-US"/>
        </w:rPr>
        <w:t xml:space="preserve"> </w:t>
      </w:r>
      <w:r w:rsidRPr="00F072FD">
        <w:rPr>
          <w:rFonts w:eastAsiaTheme="minorHAnsi" w:cs="Arial"/>
          <w:szCs w:val="22"/>
          <w:lang w:eastAsia="en-US"/>
        </w:rPr>
        <w:t>in an environment where cuts where already ongoing. Risk RO4 involves the management</w:t>
      </w:r>
      <w:r>
        <w:rPr>
          <w:rFonts w:eastAsiaTheme="minorHAnsi" w:cs="Arial"/>
          <w:szCs w:val="22"/>
          <w:lang w:eastAsia="en-US"/>
        </w:rPr>
        <w:t xml:space="preserve"> </w:t>
      </w:r>
      <w:r w:rsidRPr="00F072FD">
        <w:rPr>
          <w:rFonts w:eastAsiaTheme="minorHAnsi" w:cs="Arial"/>
          <w:szCs w:val="22"/>
          <w:lang w:eastAsia="en-US"/>
        </w:rPr>
        <w:t>of capital funding to deliver large scale improvements within the Corporate Plan. The</w:t>
      </w:r>
      <w:r>
        <w:rPr>
          <w:rFonts w:eastAsiaTheme="minorHAnsi" w:cs="Arial"/>
          <w:szCs w:val="22"/>
          <w:lang w:eastAsia="en-US"/>
        </w:rPr>
        <w:t xml:space="preserve"> </w:t>
      </w:r>
      <w:r w:rsidRPr="00F072FD">
        <w:rPr>
          <w:rFonts w:eastAsiaTheme="minorHAnsi" w:cs="Arial"/>
          <w:szCs w:val="22"/>
          <w:lang w:eastAsia="en-US"/>
        </w:rPr>
        <w:t xml:space="preserve">Corporate Plan is a significant document which determines the direction of the </w:t>
      </w:r>
      <w:r>
        <w:rPr>
          <w:rFonts w:eastAsiaTheme="minorHAnsi" w:cs="Arial"/>
          <w:szCs w:val="22"/>
          <w:lang w:eastAsia="en-US"/>
        </w:rPr>
        <w:t>C</w:t>
      </w:r>
      <w:r w:rsidRPr="00F072FD">
        <w:rPr>
          <w:rFonts w:eastAsiaTheme="minorHAnsi" w:cs="Arial"/>
          <w:szCs w:val="22"/>
          <w:lang w:eastAsia="en-US"/>
        </w:rPr>
        <w:t>ouncil and</w:t>
      </w:r>
      <w:r>
        <w:rPr>
          <w:rFonts w:eastAsiaTheme="minorHAnsi" w:cs="Arial"/>
          <w:szCs w:val="22"/>
          <w:lang w:eastAsia="en-US"/>
        </w:rPr>
        <w:t xml:space="preserve"> </w:t>
      </w:r>
      <w:r w:rsidRPr="00F072FD">
        <w:rPr>
          <w:rFonts w:eastAsiaTheme="minorHAnsi" w:cs="Arial"/>
          <w:szCs w:val="22"/>
          <w:lang w:eastAsia="en-US"/>
        </w:rPr>
        <w:t>key projects to be delivered over the next three years and therefore the impact of any poor</w:t>
      </w:r>
      <w:r>
        <w:rPr>
          <w:rFonts w:eastAsiaTheme="minorHAnsi" w:cs="Arial"/>
          <w:szCs w:val="22"/>
          <w:lang w:eastAsia="en-US"/>
        </w:rPr>
        <w:t xml:space="preserve"> </w:t>
      </w:r>
      <w:r w:rsidRPr="00F072FD">
        <w:rPr>
          <w:rFonts w:eastAsiaTheme="minorHAnsi" w:cs="Arial"/>
          <w:szCs w:val="22"/>
          <w:lang w:eastAsia="en-US"/>
        </w:rPr>
        <w:t>management of capital funding to deliver the plan would be high. Although both rated highly</w:t>
      </w:r>
      <w:r>
        <w:rPr>
          <w:rFonts w:eastAsiaTheme="minorHAnsi" w:cs="Arial"/>
          <w:szCs w:val="22"/>
          <w:lang w:eastAsia="en-US"/>
        </w:rPr>
        <w:t xml:space="preserve"> </w:t>
      </w:r>
      <w:r w:rsidRPr="00F072FD">
        <w:rPr>
          <w:rFonts w:eastAsiaTheme="minorHAnsi" w:cs="Arial"/>
          <w:szCs w:val="22"/>
          <w:lang w:eastAsia="en-US"/>
        </w:rPr>
        <w:t>– strong, well established controls and monitoring are in place to manage both risks and</w:t>
      </w:r>
      <w:r>
        <w:rPr>
          <w:rFonts w:eastAsiaTheme="minorHAnsi" w:cs="Arial"/>
          <w:szCs w:val="22"/>
          <w:lang w:eastAsia="en-US"/>
        </w:rPr>
        <w:t xml:space="preserve"> </w:t>
      </w:r>
      <w:r w:rsidRPr="00F072FD">
        <w:rPr>
          <w:rFonts w:eastAsiaTheme="minorHAnsi" w:cs="Arial"/>
          <w:szCs w:val="22"/>
          <w:lang w:eastAsia="en-US"/>
        </w:rPr>
        <w:t>therefore the residual and target risks are lower, at medium.</w:t>
      </w:r>
    </w:p>
    <w:p w14:paraId="50D11BDB" w14:textId="77777777" w:rsidR="007F5DB3" w:rsidRDefault="007F5DB3" w:rsidP="007F5DB3">
      <w:pPr>
        <w:jc w:val="left"/>
        <w:rPr>
          <w:rFonts w:eastAsiaTheme="minorHAnsi" w:cs="Arial"/>
          <w:szCs w:val="22"/>
          <w:lang w:eastAsia="en-US"/>
        </w:rPr>
      </w:pPr>
    </w:p>
    <w:p w14:paraId="0126900E" w14:textId="77777777" w:rsidR="007F5DB3" w:rsidRDefault="007F5DB3" w:rsidP="007F5DB3">
      <w:pPr>
        <w:rPr>
          <w:rFonts w:eastAsiaTheme="minorHAnsi" w:cs="Arial"/>
          <w:szCs w:val="22"/>
          <w:lang w:eastAsia="en-US"/>
        </w:rPr>
      </w:pPr>
      <w:r w:rsidRPr="00F072FD">
        <w:rPr>
          <w:rFonts w:eastAsiaTheme="minorHAnsi" w:cs="Arial"/>
          <w:szCs w:val="22"/>
          <w:lang w:eastAsia="en-US"/>
        </w:rPr>
        <w:t>Risk R05 and RO7 relate to external policy and legislation and the potential failure of the</w:t>
      </w:r>
      <w:r>
        <w:rPr>
          <w:rFonts w:eastAsiaTheme="minorHAnsi" w:cs="Arial"/>
          <w:szCs w:val="22"/>
          <w:lang w:eastAsia="en-US"/>
        </w:rPr>
        <w:t xml:space="preserve"> </w:t>
      </w:r>
      <w:r w:rsidRPr="00F072FD">
        <w:rPr>
          <w:rFonts w:eastAsiaTheme="minorHAnsi" w:cs="Arial"/>
          <w:szCs w:val="22"/>
          <w:lang w:eastAsia="en-US"/>
        </w:rPr>
        <w:t>Council in complying with/ responding effectively to them. Risk R05 specifically relates to</w:t>
      </w:r>
      <w:r>
        <w:rPr>
          <w:rFonts w:eastAsiaTheme="minorHAnsi" w:cs="Arial"/>
          <w:szCs w:val="22"/>
          <w:lang w:eastAsia="en-US"/>
        </w:rPr>
        <w:t xml:space="preserve"> </w:t>
      </w:r>
      <w:r w:rsidRPr="00F072FD">
        <w:rPr>
          <w:rFonts w:eastAsiaTheme="minorHAnsi" w:cs="Arial"/>
          <w:szCs w:val="22"/>
          <w:lang w:eastAsia="en-US"/>
        </w:rPr>
        <w:t>policy change such as Brexit and GDPR and the risk should the council fail to comply with</w:t>
      </w:r>
      <w:r>
        <w:rPr>
          <w:rFonts w:eastAsiaTheme="minorHAnsi" w:cs="Arial"/>
          <w:szCs w:val="22"/>
          <w:lang w:eastAsia="en-US"/>
        </w:rPr>
        <w:t xml:space="preserve"> </w:t>
      </w:r>
      <w:r w:rsidRPr="00F072FD">
        <w:rPr>
          <w:rFonts w:eastAsiaTheme="minorHAnsi" w:cs="Arial"/>
          <w:szCs w:val="22"/>
          <w:lang w:eastAsia="en-US"/>
        </w:rPr>
        <w:t>existing regulations (in the case of GDPR) or any new regulations arising (Brexit). There is</w:t>
      </w:r>
      <w:r>
        <w:rPr>
          <w:rFonts w:eastAsiaTheme="minorHAnsi" w:cs="Arial"/>
          <w:szCs w:val="22"/>
          <w:lang w:eastAsia="en-US"/>
        </w:rPr>
        <w:t xml:space="preserve"> </w:t>
      </w:r>
      <w:r w:rsidRPr="00F072FD">
        <w:rPr>
          <w:rFonts w:eastAsiaTheme="minorHAnsi" w:cs="Arial"/>
          <w:szCs w:val="22"/>
          <w:lang w:eastAsia="en-US"/>
        </w:rPr>
        <w:t>also a separate Brexit risk at R16 which is rated at a medium level due to the need fo</w:t>
      </w:r>
      <w:r>
        <w:rPr>
          <w:rFonts w:eastAsiaTheme="minorHAnsi" w:cs="Arial"/>
          <w:szCs w:val="22"/>
          <w:lang w:eastAsia="en-US"/>
        </w:rPr>
        <w:t>r</w:t>
      </w:r>
      <w:r w:rsidRPr="00F072FD">
        <w:t xml:space="preserve"> </w:t>
      </w:r>
      <w:r w:rsidRPr="00F072FD">
        <w:rPr>
          <w:rFonts w:eastAsiaTheme="minorHAnsi" w:cs="Arial"/>
          <w:szCs w:val="22"/>
          <w:lang w:eastAsia="en-US"/>
        </w:rPr>
        <w:t>awareness of potential changes in council policies and procedure following Brexit.</w:t>
      </w:r>
    </w:p>
    <w:p w14:paraId="3F71275A" w14:textId="77777777" w:rsidR="007F5DB3" w:rsidRDefault="007F5DB3" w:rsidP="007F5DB3">
      <w:pPr>
        <w:jc w:val="left"/>
        <w:rPr>
          <w:rFonts w:eastAsiaTheme="minorHAnsi" w:cs="Arial"/>
          <w:szCs w:val="22"/>
          <w:lang w:eastAsia="en-US"/>
        </w:rPr>
      </w:pPr>
    </w:p>
    <w:p w14:paraId="72FF7F5C" w14:textId="77777777" w:rsidR="007F5DB3" w:rsidRPr="00F072FD" w:rsidRDefault="007F5DB3" w:rsidP="007F5DB3">
      <w:pPr>
        <w:rPr>
          <w:rFonts w:eastAsiaTheme="minorHAnsi" w:cs="Arial"/>
          <w:szCs w:val="22"/>
          <w:lang w:eastAsia="en-US"/>
        </w:rPr>
      </w:pPr>
      <w:r w:rsidRPr="00F072FD">
        <w:rPr>
          <w:rFonts w:eastAsiaTheme="minorHAnsi" w:cs="Arial"/>
          <w:szCs w:val="22"/>
          <w:lang w:eastAsia="en-US"/>
        </w:rPr>
        <w:t>Risk R07 is more data based and related to policy/ legislation surrounding GDPR and data</w:t>
      </w:r>
      <w:r>
        <w:rPr>
          <w:rFonts w:eastAsiaTheme="minorHAnsi" w:cs="Arial"/>
          <w:szCs w:val="22"/>
          <w:lang w:eastAsia="en-US"/>
        </w:rPr>
        <w:t xml:space="preserve"> </w:t>
      </w:r>
      <w:r w:rsidRPr="00F072FD">
        <w:rPr>
          <w:rFonts w:eastAsiaTheme="minorHAnsi" w:cs="Arial"/>
          <w:szCs w:val="22"/>
          <w:lang w:eastAsia="en-US"/>
        </w:rPr>
        <w:t>protection and the Council’s compliance with it. Work is continuing around GDPR</w:t>
      </w:r>
      <w:r>
        <w:rPr>
          <w:rFonts w:eastAsiaTheme="minorHAnsi" w:cs="Arial"/>
          <w:szCs w:val="22"/>
          <w:lang w:eastAsia="en-US"/>
        </w:rPr>
        <w:t xml:space="preserve"> </w:t>
      </w:r>
      <w:r w:rsidRPr="00F072FD">
        <w:rPr>
          <w:rFonts w:eastAsiaTheme="minorHAnsi" w:cs="Arial"/>
          <w:szCs w:val="22"/>
          <w:lang w:eastAsia="en-US"/>
        </w:rPr>
        <w:t>compliance however comprehensive actions are in place following the Council’s GDPR</w:t>
      </w:r>
      <w:r>
        <w:rPr>
          <w:rFonts w:eastAsiaTheme="minorHAnsi" w:cs="Arial"/>
          <w:szCs w:val="22"/>
          <w:lang w:eastAsia="en-US"/>
        </w:rPr>
        <w:t xml:space="preserve"> </w:t>
      </w:r>
      <w:r w:rsidRPr="00F072FD">
        <w:rPr>
          <w:rFonts w:eastAsiaTheme="minorHAnsi" w:cs="Arial"/>
          <w:szCs w:val="22"/>
          <w:lang w:eastAsia="en-US"/>
        </w:rPr>
        <w:t xml:space="preserve">audit and therefore the target level of risk is low at 4, reflecting the level of risk the </w:t>
      </w:r>
      <w:r>
        <w:rPr>
          <w:rFonts w:eastAsiaTheme="minorHAnsi" w:cs="Arial"/>
          <w:szCs w:val="22"/>
          <w:lang w:eastAsia="en-US"/>
        </w:rPr>
        <w:t>C</w:t>
      </w:r>
      <w:r w:rsidRPr="00F072FD">
        <w:rPr>
          <w:rFonts w:eastAsiaTheme="minorHAnsi" w:cs="Arial"/>
          <w:szCs w:val="22"/>
          <w:lang w:eastAsia="en-US"/>
        </w:rPr>
        <w:t>ouncil is</w:t>
      </w:r>
      <w:r>
        <w:rPr>
          <w:rFonts w:eastAsiaTheme="minorHAnsi" w:cs="Arial"/>
          <w:szCs w:val="22"/>
          <w:lang w:eastAsia="en-US"/>
        </w:rPr>
        <w:t xml:space="preserve"> </w:t>
      </w:r>
      <w:r w:rsidRPr="00F072FD">
        <w:rPr>
          <w:rFonts w:eastAsiaTheme="minorHAnsi" w:cs="Arial"/>
          <w:szCs w:val="22"/>
          <w:lang w:eastAsia="en-US"/>
        </w:rPr>
        <w:t>willing to accept following the completion of all actions and controls.</w:t>
      </w:r>
    </w:p>
    <w:p w14:paraId="4EC5E5A8" w14:textId="77777777" w:rsidR="007F5DB3" w:rsidRDefault="007F5DB3" w:rsidP="007F5DB3">
      <w:pPr>
        <w:jc w:val="left"/>
        <w:rPr>
          <w:rFonts w:eastAsiaTheme="minorHAnsi" w:cs="Arial"/>
          <w:szCs w:val="22"/>
          <w:lang w:eastAsia="en-US"/>
        </w:rPr>
      </w:pPr>
    </w:p>
    <w:p w14:paraId="190833FA" w14:textId="77777777" w:rsidR="007F5DB3" w:rsidRDefault="007F5DB3" w:rsidP="007F5DB3">
      <w:pPr>
        <w:rPr>
          <w:rFonts w:eastAsiaTheme="minorHAnsi" w:cs="Arial"/>
          <w:szCs w:val="22"/>
          <w:lang w:eastAsia="en-US"/>
        </w:rPr>
      </w:pPr>
      <w:r w:rsidRPr="00F072FD">
        <w:rPr>
          <w:rFonts w:eastAsiaTheme="minorHAnsi" w:cs="Arial"/>
          <w:szCs w:val="22"/>
          <w:lang w:eastAsia="en-US"/>
        </w:rPr>
        <w:t>Eight risks (53%) are rated at a medium level for 2021. These risks are around internal</w:t>
      </w:r>
      <w:r>
        <w:rPr>
          <w:rFonts w:eastAsiaTheme="minorHAnsi" w:cs="Arial"/>
          <w:szCs w:val="22"/>
          <w:lang w:eastAsia="en-US"/>
        </w:rPr>
        <w:t xml:space="preserve"> </w:t>
      </w:r>
      <w:r w:rsidRPr="00F072FD">
        <w:rPr>
          <w:rFonts w:eastAsiaTheme="minorHAnsi" w:cs="Arial"/>
          <w:szCs w:val="22"/>
          <w:lang w:eastAsia="en-US"/>
        </w:rPr>
        <w:t>governance, political relationships, shared services, staff satisfaction and the Council’s</w:t>
      </w:r>
      <w:r>
        <w:rPr>
          <w:rFonts w:eastAsiaTheme="minorHAnsi" w:cs="Arial"/>
          <w:szCs w:val="22"/>
          <w:lang w:eastAsia="en-US"/>
        </w:rPr>
        <w:t xml:space="preserve"> </w:t>
      </w:r>
      <w:r w:rsidRPr="00F072FD">
        <w:rPr>
          <w:rFonts w:eastAsiaTheme="minorHAnsi" w:cs="Arial"/>
          <w:szCs w:val="22"/>
          <w:lang w:eastAsia="en-US"/>
        </w:rPr>
        <w:t>reputation. The medium rating of these risks reflects the work that has been undertaken</w:t>
      </w:r>
      <w:r>
        <w:rPr>
          <w:rFonts w:eastAsiaTheme="minorHAnsi" w:cs="Arial"/>
          <w:szCs w:val="22"/>
          <w:lang w:eastAsia="en-US"/>
        </w:rPr>
        <w:t xml:space="preserve"> </w:t>
      </w:r>
      <w:r w:rsidRPr="00F072FD">
        <w:rPr>
          <w:rFonts w:eastAsiaTheme="minorHAnsi" w:cs="Arial"/>
          <w:szCs w:val="22"/>
          <w:lang w:eastAsia="en-US"/>
        </w:rPr>
        <w:t>over the last 18 months as part of improvements to the Council’s governance processes</w:t>
      </w:r>
      <w:r>
        <w:rPr>
          <w:rFonts w:eastAsiaTheme="minorHAnsi" w:cs="Arial"/>
          <w:szCs w:val="22"/>
          <w:lang w:eastAsia="en-US"/>
        </w:rPr>
        <w:t xml:space="preserve"> </w:t>
      </w:r>
      <w:r w:rsidRPr="00F072FD">
        <w:rPr>
          <w:rFonts w:eastAsiaTheme="minorHAnsi" w:cs="Arial"/>
          <w:szCs w:val="22"/>
          <w:lang w:eastAsia="en-US"/>
        </w:rPr>
        <w:t>and internal structures, as well as the successful completion of phase one of shared</w:t>
      </w:r>
      <w:r>
        <w:rPr>
          <w:rFonts w:eastAsiaTheme="minorHAnsi" w:cs="Arial"/>
          <w:szCs w:val="22"/>
          <w:lang w:eastAsia="en-US"/>
        </w:rPr>
        <w:t xml:space="preserve"> </w:t>
      </w:r>
      <w:r w:rsidRPr="00F072FD">
        <w:rPr>
          <w:rFonts w:eastAsiaTheme="minorHAnsi" w:cs="Arial"/>
          <w:szCs w:val="22"/>
          <w:lang w:eastAsia="en-US"/>
        </w:rPr>
        <w:t>services and agreement to progress to phase two. Staff have continued to be supported,</w:t>
      </w:r>
      <w:r>
        <w:rPr>
          <w:rFonts w:eastAsiaTheme="minorHAnsi" w:cs="Arial"/>
          <w:szCs w:val="22"/>
          <w:lang w:eastAsia="en-US"/>
        </w:rPr>
        <w:t xml:space="preserve"> </w:t>
      </w:r>
      <w:r w:rsidRPr="00F072FD">
        <w:rPr>
          <w:rFonts w:eastAsiaTheme="minorHAnsi" w:cs="Arial"/>
          <w:szCs w:val="22"/>
          <w:lang w:eastAsia="en-US"/>
        </w:rPr>
        <w:t>through the difficult circumstances of the COVID – 19 pandemic and the last staff</w:t>
      </w:r>
      <w:r>
        <w:rPr>
          <w:rFonts w:eastAsiaTheme="minorHAnsi" w:cs="Arial"/>
          <w:szCs w:val="22"/>
          <w:lang w:eastAsia="en-US"/>
        </w:rPr>
        <w:t xml:space="preserve"> </w:t>
      </w:r>
      <w:r w:rsidRPr="00F072FD">
        <w:rPr>
          <w:rFonts w:eastAsiaTheme="minorHAnsi" w:cs="Arial"/>
          <w:szCs w:val="22"/>
          <w:lang w:eastAsia="en-US"/>
        </w:rPr>
        <w:t>satisfaction survey (pre-COVID) showed satisfaction was 78%.</w:t>
      </w:r>
    </w:p>
    <w:p w14:paraId="6ABEBE68" w14:textId="77777777" w:rsidR="007F5DB3" w:rsidRPr="00F072FD" w:rsidRDefault="007F5DB3" w:rsidP="007F5DB3">
      <w:pPr>
        <w:jc w:val="left"/>
        <w:rPr>
          <w:rFonts w:eastAsiaTheme="minorHAnsi" w:cs="Arial"/>
          <w:szCs w:val="22"/>
          <w:lang w:eastAsia="en-US"/>
        </w:rPr>
      </w:pPr>
    </w:p>
    <w:p w14:paraId="329B8BA6" w14:textId="77777777" w:rsidR="007F5DB3" w:rsidRDefault="007F5DB3" w:rsidP="007F5DB3">
      <w:pPr>
        <w:rPr>
          <w:rFonts w:eastAsiaTheme="minorHAnsi" w:cs="Arial"/>
          <w:szCs w:val="22"/>
          <w:lang w:eastAsia="en-US"/>
        </w:rPr>
      </w:pPr>
      <w:r w:rsidRPr="00F072FD">
        <w:rPr>
          <w:rFonts w:eastAsiaTheme="minorHAnsi" w:cs="Arial"/>
          <w:szCs w:val="22"/>
          <w:lang w:eastAsia="en-US"/>
        </w:rPr>
        <w:t xml:space="preserve">The significance of these risks and their potential impact on the </w:t>
      </w:r>
      <w:r>
        <w:rPr>
          <w:rFonts w:eastAsiaTheme="minorHAnsi" w:cs="Arial"/>
          <w:szCs w:val="22"/>
          <w:lang w:eastAsia="en-US"/>
        </w:rPr>
        <w:t>C</w:t>
      </w:r>
      <w:r w:rsidRPr="00F072FD">
        <w:rPr>
          <w:rFonts w:eastAsiaTheme="minorHAnsi" w:cs="Arial"/>
          <w:szCs w:val="22"/>
          <w:lang w:eastAsia="en-US"/>
        </w:rPr>
        <w:t>ouncil remains however,</w:t>
      </w:r>
      <w:r>
        <w:rPr>
          <w:rFonts w:eastAsiaTheme="minorHAnsi" w:cs="Arial"/>
          <w:szCs w:val="22"/>
          <w:lang w:eastAsia="en-US"/>
        </w:rPr>
        <w:t xml:space="preserve"> </w:t>
      </w:r>
      <w:r w:rsidRPr="00F072FD">
        <w:rPr>
          <w:rFonts w:eastAsiaTheme="minorHAnsi" w:cs="Arial"/>
          <w:szCs w:val="22"/>
          <w:lang w:eastAsia="en-US"/>
        </w:rPr>
        <w:t>and therefore they are rated at a medium level for 2021 along with existing controls already</w:t>
      </w:r>
      <w:r>
        <w:rPr>
          <w:rFonts w:eastAsiaTheme="minorHAnsi" w:cs="Arial"/>
          <w:szCs w:val="22"/>
          <w:lang w:eastAsia="en-US"/>
        </w:rPr>
        <w:t xml:space="preserve"> </w:t>
      </w:r>
      <w:r w:rsidRPr="00F072FD">
        <w:rPr>
          <w:rFonts w:eastAsiaTheme="minorHAnsi" w:cs="Arial"/>
          <w:szCs w:val="22"/>
          <w:lang w:eastAsia="en-US"/>
        </w:rPr>
        <w:t>in place and any further actions to be undertaken to mitigate these risks.</w:t>
      </w:r>
    </w:p>
    <w:p w14:paraId="1449406A" w14:textId="77777777" w:rsidR="007F5DB3" w:rsidRPr="00F072FD" w:rsidRDefault="007F5DB3" w:rsidP="007F5DB3">
      <w:pPr>
        <w:jc w:val="left"/>
        <w:rPr>
          <w:rFonts w:eastAsiaTheme="minorHAnsi" w:cs="Arial"/>
          <w:szCs w:val="22"/>
          <w:lang w:eastAsia="en-US"/>
        </w:rPr>
      </w:pPr>
    </w:p>
    <w:p w14:paraId="5938E591" w14:textId="77777777" w:rsidR="007F5DB3" w:rsidRDefault="007F5DB3" w:rsidP="007F5DB3">
      <w:pPr>
        <w:rPr>
          <w:rFonts w:eastAsiaTheme="minorHAnsi" w:cs="Arial"/>
          <w:szCs w:val="22"/>
          <w:lang w:eastAsia="en-US"/>
        </w:rPr>
      </w:pPr>
      <w:r w:rsidRPr="00F072FD">
        <w:rPr>
          <w:rFonts w:eastAsiaTheme="minorHAnsi" w:cs="Arial"/>
          <w:szCs w:val="22"/>
          <w:lang w:eastAsia="en-US"/>
        </w:rPr>
        <w:t>Risk R02 ‘corporate governance failure’ is rated as a medium this year. The risk is around</w:t>
      </w:r>
      <w:r>
        <w:rPr>
          <w:rFonts w:eastAsiaTheme="minorHAnsi" w:cs="Arial"/>
          <w:szCs w:val="22"/>
          <w:lang w:eastAsia="en-US"/>
        </w:rPr>
        <w:t xml:space="preserve"> </w:t>
      </w:r>
      <w:r w:rsidRPr="00F072FD">
        <w:rPr>
          <w:rFonts w:eastAsiaTheme="minorHAnsi" w:cs="Arial"/>
          <w:szCs w:val="22"/>
          <w:lang w:eastAsia="en-US"/>
        </w:rPr>
        <w:t>failure to implement and maintain the corporate governance framework action plan leading</w:t>
      </w:r>
      <w:r>
        <w:rPr>
          <w:rFonts w:eastAsiaTheme="minorHAnsi" w:cs="Arial"/>
          <w:szCs w:val="22"/>
          <w:lang w:eastAsia="en-US"/>
        </w:rPr>
        <w:t xml:space="preserve"> </w:t>
      </w:r>
      <w:r w:rsidRPr="00F072FD">
        <w:rPr>
          <w:rFonts w:eastAsiaTheme="minorHAnsi" w:cs="Arial"/>
          <w:szCs w:val="22"/>
          <w:lang w:eastAsia="en-US"/>
        </w:rPr>
        <w:t>to continued fundamental weaknesses in internal controls. The risk has been classed as</w:t>
      </w:r>
      <w:r>
        <w:rPr>
          <w:rFonts w:eastAsiaTheme="minorHAnsi" w:cs="Arial"/>
          <w:szCs w:val="22"/>
          <w:lang w:eastAsia="en-US"/>
        </w:rPr>
        <w:t xml:space="preserve"> </w:t>
      </w:r>
      <w:r w:rsidRPr="00F072FD">
        <w:rPr>
          <w:rFonts w:eastAsiaTheme="minorHAnsi" w:cs="Arial"/>
          <w:szCs w:val="22"/>
          <w:lang w:eastAsia="en-US"/>
        </w:rPr>
        <w:t>medium due to significant learning following previous governance failures and the strong</w:t>
      </w:r>
      <w:r>
        <w:rPr>
          <w:rFonts w:eastAsiaTheme="minorHAnsi" w:cs="Arial"/>
          <w:szCs w:val="22"/>
          <w:lang w:eastAsia="en-US"/>
        </w:rPr>
        <w:t xml:space="preserve"> </w:t>
      </w:r>
      <w:r w:rsidRPr="00F072FD">
        <w:rPr>
          <w:rFonts w:eastAsiaTheme="minorHAnsi" w:cs="Arial"/>
          <w:szCs w:val="22"/>
          <w:lang w:eastAsia="en-US"/>
        </w:rPr>
        <w:t>actions and controls that have therefore been put in place and are being delivered through</w:t>
      </w:r>
      <w:r>
        <w:rPr>
          <w:rFonts w:eastAsiaTheme="minorHAnsi" w:cs="Arial"/>
          <w:szCs w:val="22"/>
          <w:lang w:eastAsia="en-US"/>
        </w:rPr>
        <w:t xml:space="preserve"> </w:t>
      </w:r>
      <w:r w:rsidRPr="00F072FD">
        <w:rPr>
          <w:rFonts w:eastAsiaTheme="minorHAnsi" w:cs="Arial"/>
          <w:szCs w:val="22"/>
          <w:lang w:eastAsia="en-US"/>
        </w:rPr>
        <w:t>the Annual Governance Statement action plan. Several actions to be delivered will</w:t>
      </w:r>
      <w:r>
        <w:rPr>
          <w:rFonts w:eastAsiaTheme="minorHAnsi" w:cs="Arial"/>
          <w:szCs w:val="22"/>
          <w:lang w:eastAsia="en-US"/>
        </w:rPr>
        <w:t xml:space="preserve"> </w:t>
      </w:r>
      <w:r w:rsidRPr="00F072FD">
        <w:rPr>
          <w:rFonts w:eastAsiaTheme="minorHAnsi" w:cs="Arial"/>
          <w:szCs w:val="22"/>
          <w:lang w:eastAsia="en-US"/>
        </w:rPr>
        <w:t>contribute towards effective corporate governance, meaning the target risk is low and rated</w:t>
      </w:r>
      <w:r>
        <w:rPr>
          <w:rFonts w:eastAsiaTheme="minorHAnsi" w:cs="Arial"/>
          <w:szCs w:val="22"/>
          <w:lang w:eastAsia="en-US"/>
        </w:rPr>
        <w:t xml:space="preserve"> </w:t>
      </w:r>
      <w:r w:rsidRPr="00F072FD">
        <w:rPr>
          <w:rFonts w:eastAsiaTheme="minorHAnsi" w:cs="Arial"/>
          <w:szCs w:val="22"/>
          <w:lang w:eastAsia="en-US"/>
        </w:rPr>
        <w:t>4 (green).</w:t>
      </w:r>
    </w:p>
    <w:p w14:paraId="76CBDB51" w14:textId="77777777" w:rsidR="007F5DB3" w:rsidRPr="00F072FD" w:rsidRDefault="007F5DB3" w:rsidP="007F5DB3">
      <w:pPr>
        <w:jc w:val="left"/>
        <w:rPr>
          <w:rFonts w:eastAsiaTheme="minorHAnsi" w:cs="Arial"/>
          <w:szCs w:val="22"/>
          <w:lang w:eastAsia="en-US"/>
        </w:rPr>
      </w:pPr>
    </w:p>
    <w:p w14:paraId="05A9A4FF" w14:textId="77777777" w:rsidR="007F5DB3" w:rsidRDefault="007F5DB3" w:rsidP="007F5DB3">
      <w:pPr>
        <w:rPr>
          <w:rFonts w:eastAsiaTheme="minorHAnsi" w:cs="Arial"/>
          <w:szCs w:val="22"/>
          <w:lang w:eastAsia="en-US"/>
        </w:rPr>
      </w:pPr>
      <w:r w:rsidRPr="00F072FD">
        <w:rPr>
          <w:rFonts w:eastAsiaTheme="minorHAnsi" w:cs="Arial"/>
          <w:szCs w:val="22"/>
          <w:lang w:eastAsia="en-US"/>
        </w:rPr>
        <w:t xml:space="preserve">Risk R15 is related to the establishment of South </w:t>
      </w:r>
      <w:proofErr w:type="spellStart"/>
      <w:r w:rsidRPr="00F072FD">
        <w:rPr>
          <w:rFonts w:eastAsiaTheme="minorHAnsi" w:cs="Arial"/>
          <w:szCs w:val="22"/>
          <w:lang w:eastAsia="en-US"/>
        </w:rPr>
        <w:t>Ribble</w:t>
      </w:r>
      <w:proofErr w:type="spellEnd"/>
      <w:r w:rsidRPr="00F072FD">
        <w:rPr>
          <w:rFonts w:eastAsiaTheme="minorHAnsi" w:cs="Arial"/>
          <w:szCs w:val="22"/>
          <w:lang w:eastAsia="en-US"/>
        </w:rPr>
        <w:t xml:space="preserve"> Together Hub and the</w:t>
      </w:r>
      <w:r>
        <w:rPr>
          <w:rFonts w:eastAsiaTheme="minorHAnsi" w:cs="Arial"/>
          <w:szCs w:val="22"/>
          <w:lang w:eastAsia="en-US"/>
        </w:rPr>
        <w:t xml:space="preserve"> </w:t>
      </w:r>
      <w:r w:rsidRPr="00F072FD">
        <w:rPr>
          <w:rFonts w:eastAsiaTheme="minorHAnsi" w:cs="Arial"/>
          <w:szCs w:val="22"/>
          <w:lang w:eastAsia="en-US"/>
        </w:rPr>
        <w:t>development of a triage and referral service being delivered with support from Citizens</w:t>
      </w:r>
      <w:r>
        <w:rPr>
          <w:rFonts w:eastAsiaTheme="minorHAnsi" w:cs="Arial"/>
          <w:szCs w:val="22"/>
          <w:lang w:eastAsia="en-US"/>
        </w:rPr>
        <w:t xml:space="preserve"> </w:t>
      </w:r>
      <w:r w:rsidRPr="00F072FD">
        <w:rPr>
          <w:rFonts w:eastAsiaTheme="minorHAnsi" w:cs="Arial"/>
          <w:szCs w:val="22"/>
          <w:lang w:eastAsia="en-US"/>
        </w:rPr>
        <w:t>advice. The risk directly relates to potential for data breaches and implications of</w:t>
      </w:r>
      <w:r>
        <w:rPr>
          <w:rFonts w:eastAsiaTheme="minorHAnsi" w:cs="Arial"/>
          <w:szCs w:val="22"/>
          <w:lang w:eastAsia="en-US"/>
        </w:rPr>
        <w:t xml:space="preserve"> </w:t>
      </w:r>
      <w:r w:rsidRPr="00F072FD">
        <w:rPr>
          <w:rFonts w:eastAsiaTheme="minorHAnsi" w:cs="Arial"/>
          <w:szCs w:val="22"/>
          <w:lang w:eastAsia="en-US"/>
        </w:rPr>
        <w:t>enforcement by the Information Commissioner. Several mitigating actions and controls are</w:t>
      </w:r>
      <w:r>
        <w:rPr>
          <w:rFonts w:eastAsiaTheme="minorHAnsi" w:cs="Arial"/>
          <w:szCs w:val="22"/>
          <w:lang w:eastAsia="en-US"/>
        </w:rPr>
        <w:t xml:space="preserve"> </w:t>
      </w:r>
      <w:r w:rsidRPr="00F072FD">
        <w:rPr>
          <w:rFonts w:eastAsiaTheme="minorHAnsi" w:cs="Arial"/>
          <w:szCs w:val="22"/>
          <w:lang w:eastAsia="en-US"/>
        </w:rPr>
        <w:t xml:space="preserve">in place that have moved the risk from high to low. Progress will be continually </w:t>
      </w:r>
      <w:proofErr w:type="gramStart"/>
      <w:r w:rsidRPr="00F072FD">
        <w:rPr>
          <w:rFonts w:eastAsiaTheme="minorHAnsi" w:cs="Arial"/>
          <w:szCs w:val="22"/>
          <w:lang w:eastAsia="en-US"/>
        </w:rPr>
        <w:t>monitored</w:t>
      </w:r>
      <w:proofErr w:type="gramEnd"/>
      <w:r>
        <w:rPr>
          <w:rFonts w:eastAsiaTheme="minorHAnsi" w:cs="Arial"/>
          <w:szCs w:val="22"/>
          <w:lang w:eastAsia="en-US"/>
        </w:rPr>
        <w:t xml:space="preserve"> </w:t>
      </w:r>
      <w:r w:rsidRPr="00F072FD">
        <w:rPr>
          <w:rFonts w:eastAsiaTheme="minorHAnsi" w:cs="Arial"/>
          <w:szCs w:val="22"/>
          <w:lang w:eastAsia="en-US"/>
        </w:rPr>
        <w:t>and regular management meetings of the service is overseen through the Community</w:t>
      </w:r>
      <w:r>
        <w:rPr>
          <w:rFonts w:eastAsiaTheme="minorHAnsi" w:cs="Arial"/>
          <w:szCs w:val="22"/>
          <w:lang w:eastAsia="en-US"/>
        </w:rPr>
        <w:t xml:space="preserve"> </w:t>
      </w:r>
      <w:r w:rsidRPr="00F072FD">
        <w:rPr>
          <w:rFonts w:eastAsiaTheme="minorHAnsi" w:cs="Arial"/>
          <w:szCs w:val="22"/>
          <w:lang w:eastAsia="en-US"/>
        </w:rPr>
        <w:t xml:space="preserve">Development Team Manager. </w:t>
      </w:r>
    </w:p>
    <w:p w14:paraId="582B73C5" w14:textId="77777777" w:rsidR="007F5DB3" w:rsidRDefault="007F5DB3" w:rsidP="007F5DB3">
      <w:pPr>
        <w:rPr>
          <w:rFonts w:eastAsiaTheme="minorHAnsi" w:cs="Arial"/>
          <w:szCs w:val="22"/>
          <w:lang w:eastAsia="en-US"/>
        </w:rPr>
      </w:pPr>
    </w:p>
    <w:p w14:paraId="1605420F" w14:textId="77777777" w:rsidR="007F5DB3" w:rsidRPr="00F072FD" w:rsidRDefault="007F5DB3" w:rsidP="007F5DB3">
      <w:pPr>
        <w:rPr>
          <w:rFonts w:eastAsiaTheme="minorHAnsi" w:cs="Arial"/>
          <w:szCs w:val="22"/>
          <w:lang w:eastAsia="en-US"/>
        </w:rPr>
      </w:pPr>
      <w:r>
        <w:rPr>
          <w:rFonts w:eastAsiaTheme="minorHAnsi" w:cs="Arial"/>
          <w:b/>
          <w:bCs/>
          <w:szCs w:val="22"/>
          <w:lang w:eastAsia="en-US"/>
        </w:rPr>
        <w:br w:type="page"/>
      </w:r>
    </w:p>
    <w:p w14:paraId="62C3E5BB" w14:textId="77777777" w:rsidR="007F5DB3" w:rsidRPr="00AC4D7B" w:rsidRDefault="007F5DB3" w:rsidP="007F5DB3">
      <w:pPr>
        <w:rPr>
          <w:rFonts w:eastAsiaTheme="minorHAnsi" w:cs="Arial"/>
          <w:b/>
          <w:bCs/>
          <w:szCs w:val="22"/>
          <w:lang w:eastAsia="en-US"/>
        </w:rPr>
      </w:pPr>
      <w:r w:rsidRPr="00AC4D7B">
        <w:rPr>
          <w:rFonts w:eastAsiaTheme="minorHAnsi" w:cs="Arial"/>
          <w:b/>
          <w:bCs/>
          <w:szCs w:val="22"/>
          <w:lang w:eastAsia="en-US"/>
        </w:rPr>
        <w:t>Coronavirus Pandemic</w:t>
      </w:r>
    </w:p>
    <w:p w14:paraId="10511E30" w14:textId="77777777" w:rsidR="007F5DB3" w:rsidRDefault="007F5DB3" w:rsidP="007F5DB3">
      <w:pPr>
        <w:rPr>
          <w:rFonts w:eastAsiaTheme="minorHAnsi" w:cs="Arial"/>
          <w:szCs w:val="22"/>
          <w:lang w:eastAsia="en-US"/>
        </w:rPr>
      </w:pPr>
      <w:r w:rsidRPr="00AC4D7B">
        <w:rPr>
          <w:rFonts w:eastAsiaTheme="minorHAnsi" w:cs="Arial"/>
          <w:szCs w:val="22"/>
          <w:lang w:eastAsia="en-US"/>
        </w:rPr>
        <w:t>In March 2020, the whole of the UK was affected by the pandemic and central government issued various instruction</w:t>
      </w:r>
      <w:r>
        <w:rPr>
          <w:rFonts w:eastAsiaTheme="minorHAnsi" w:cs="Arial"/>
          <w:szCs w:val="22"/>
          <w:lang w:eastAsia="en-US"/>
        </w:rPr>
        <w:t>s</w:t>
      </w:r>
      <w:r w:rsidRPr="00AC4D7B">
        <w:rPr>
          <w:rFonts w:eastAsiaTheme="minorHAnsi" w:cs="Arial"/>
          <w:szCs w:val="22"/>
          <w:lang w:eastAsia="en-US"/>
        </w:rPr>
        <w:t xml:space="preserve"> and guidance to combat this. Like all Councils, South </w:t>
      </w:r>
      <w:proofErr w:type="spellStart"/>
      <w:r w:rsidRPr="00AC4D7B">
        <w:rPr>
          <w:rFonts w:eastAsiaTheme="minorHAnsi" w:cs="Arial"/>
          <w:szCs w:val="22"/>
          <w:lang w:eastAsia="en-US"/>
        </w:rPr>
        <w:t>Ribble</w:t>
      </w:r>
      <w:proofErr w:type="spellEnd"/>
      <w:r w:rsidRPr="00AC4D7B">
        <w:rPr>
          <w:rFonts w:eastAsiaTheme="minorHAnsi" w:cs="Arial"/>
          <w:szCs w:val="22"/>
          <w:lang w:eastAsia="en-US"/>
        </w:rPr>
        <w:t xml:space="preserve"> </w:t>
      </w:r>
      <w:proofErr w:type="gramStart"/>
      <w:r w:rsidRPr="00AC4D7B">
        <w:rPr>
          <w:rFonts w:eastAsiaTheme="minorHAnsi" w:cs="Arial"/>
          <w:szCs w:val="22"/>
          <w:lang w:eastAsia="en-US"/>
        </w:rPr>
        <w:t>took action</w:t>
      </w:r>
      <w:proofErr w:type="gramEnd"/>
      <w:r w:rsidRPr="00AC4D7B">
        <w:rPr>
          <w:rFonts w:eastAsiaTheme="minorHAnsi" w:cs="Arial"/>
          <w:szCs w:val="22"/>
          <w:lang w:eastAsia="en-US"/>
        </w:rPr>
        <w:t xml:space="preserve"> to protect itself</w:t>
      </w:r>
      <w:r>
        <w:rPr>
          <w:rFonts w:eastAsiaTheme="minorHAnsi" w:cs="Arial"/>
          <w:szCs w:val="22"/>
          <w:lang w:eastAsia="en-US"/>
        </w:rPr>
        <w:t>, its</w:t>
      </w:r>
      <w:r w:rsidRPr="00AC4D7B">
        <w:rPr>
          <w:rFonts w:eastAsiaTheme="minorHAnsi" w:cs="Arial"/>
          <w:szCs w:val="22"/>
          <w:lang w:eastAsia="en-US"/>
        </w:rPr>
        <w:t xml:space="preserve"> staff and the community. </w:t>
      </w:r>
    </w:p>
    <w:p w14:paraId="12FFD675" w14:textId="77777777" w:rsidR="007F5DB3" w:rsidRPr="00AC4D7B" w:rsidRDefault="007F5DB3" w:rsidP="007F5DB3">
      <w:pPr>
        <w:rPr>
          <w:rFonts w:eastAsiaTheme="minorHAnsi" w:cs="Arial"/>
          <w:szCs w:val="22"/>
          <w:lang w:eastAsia="en-US"/>
        </w:rPr>
      </w:pPr>
    </w:p>
    <w:p w14:paraId="7BD2F0C3" w14:textId="77777777" w:rsidR="007F5DB3" w:rsidRPr="00AC4D7B" w:rsidRDefault="007F5DB3" w:rsidP="007F5DB3">
      <w:pPr>
        <w:rPr>
          <w:rFonts w:eastAsiaTheme="minorHAnsi" w:cs="Arial"/>
          <w:szCs w:val="22"/>
          <w:lang w:eastAsia="en-US"/>
        </w:rPr>
      </w:pPr>
      <w:r>
        <w:rPr>
          <w:rFonts w:eastAsiaTheme="minorHAnsi" w:cs="Arial"/>
          <w:szCs w:val="22"/>
          <w:lang w:eastAsia="en-US"/>
        </w:rPr>
        <w:t xml:space="preserve">The impact of the restrictions </w:t>
      </w:r>
      <w:proofErr w:type="gramStart"/>
      <w:r>
        <w:rPr>
          <w:rFonts w:eastAsiaTheme="minorHAnsi" w:cs="Arial"/>
          <w:szCs w:val="22"/>
          <w:lang w:eastAsia="en-US"/>
        </w:rPr>
        <w:t>were</w:t>
      </w:r>
      <w:proofErr w:type="gramEnd"/>
      <w:r>
        <w:rPr>
          <w:rFonts w:eastAsiaTheme="minorHAnsi" w:cs="Arial"/>
          <w:szCs w:val="22"/>
          <w:lang w:eastAsia="en-US"/>
        </w:rPr>
        <w:t xml:space="preserve"> felt </w:t>
      </w:r>
      <w:r w:rsidRPr="00AC4D7B">
        <w:rPr>
          <w:rFonts w:eastAsiaTheme="minorHAnsi" w:cs="Arial"/>
          <w:szCs w:val="22"/>
          <w:lang w:eastAsia="en-US"/>
        </w:rPr>
        <w:t>throughout 2020/21</w:t>
      </w:r>
      <w:r>
        <w:rPr>
          <w:rFonts w:eastAsiaTheme="minorHAnsi" w:cs="Arial"/>
          <w:szCs w:val="22"/>
          <w:lang w:eastAsia="en-US"/>
        </w:rPr>
        <w:t>. The financial implications have been reported quarterly to members as a separate section in the revenue and capital budget monitoring papers. To date the funding from Government has met the increased costs and loss of income that the Council has experienced during the pandemic. However, future announcements of specific funding have not been made and therefore the medium-term impact on the Council’s financial position will need to be monitored closely.</w:t>
      </w:r>
    </w:p>
    <w:p w14:paraId="666B53C3" w14:textId="77777777" w:rsidR="007F5DB3" w:rsidRPr="00AC4D7B" w:rsidRDefault="007F5DB3" w:rsidP="007F5DB3">
      <w:pPr>
        <w:rPr>
          <w:rFonts w:eastAsiaTheme="minorHAnsi" w:cs="Arial"/>
          <w:szCs w:val="22"/>
          <w:lang w:eastAsia="en-US"/>
        </w:rPr>
      </w:pPr>
    </w:p>
    <w:p w14:paraId="3E794179" w14:textId="77777777" w:rsidR="007F5DB3" w:rsidRPr="00AC4D7B" w:rsidRDefault="007F5DB3" w:rsidP="007F5DB3">
      <w:pPr>
        <w:rPr>
          <w:rFonts w:eastAsiaTheme="minorHAnsi" w:cs="Arial"/>
          <w:szCs w:val="22"/>
          <w:lang w:eastAsia="en-US"/>
        </w:rPr>
      </w:pPr>
      <w:r w:rsidRPr="00AC4D7B">
        <w:rPr>
          <w:rFonts w:eastAsiaTheme="minorHAnsi" w:cs="Arial"/>
          <w:szCs w:val="22"/>
          <w:lang w:eastAsia="en-US"/>
        </w:rPr>
        <w:t>The following paragraphs provide a high-level overview of the effects of the situation on this statement of accounts.</w:t>
      </w:r>
    </w:p>
    <w:p w14:paraId="4CD18C6F" w14:textId="77777777" w:rsidR="007F5DB3" w:rsidRPr="00AC4D7B" w:rsidRDefault="007F5DB3" w:rsidP="007F5DB3">
      <w:pPr>
        <w:rPr>
          <w:rFonts w:eastAsiaTheme="minorHAnsi" w:cs="Arial"/>
          <w:szCs w:val="22"/>
          <w:lang w:eastAsia="en-US"/>
        </w:rPr>
      </w:pPr>
    </w:p>
    <w:p w14:paraId="1E05511F" w14:textId="77777777" w:rsidR="007F5DB3" w:rsidRPr="009D6640" w:rsidRDefault="007F5DB3" w:rsidP="007F5DB3">
      <w:pPr>
        <w:rPr>
          <w:rFonts w:eastAsiaTheme="minorHAnsi" w:cs="Arial"/>
          <w:szCs w:val="22"/>
          <w:u w:val="single"/>
          <w:lang w:eastAsia="en-US"/>
        </w:rPr>
      </w:pPr>
      <w:r w:rsidRPr="009D6640">
        <w:rPr>
          <w:rFonts w:eastAsiaTheme="minorHAnsi" w:cs="Arial"/>
          <w:szCs w:val="22"/>
          <w:u w:val="single"/>
          <w:lang w:eastAsia="en-US"/>
        </w:rPr>
        <w:t>Provision of Services</w:t>
      </w:r>
    </w:p>
    <w:p w14:paraId="4D05E116" w14:textId="77777777" w:rsidR="007F5DB3" w:rsidRDefault="007F5DB3" w:rsidP="007F5DB3">
      <w:pPr>
        <w:rPr>
          <w:rFonts w:eastAsiaTheme="minorHAnsi" w:cs="Arial"/>
          <w:szCs w:val="22"/>
          <w:lang w:eastAsia="en-US"/>
        </w:rPr>
      </w:pPr>
      <w:r>
        <w:rPr>
          <w:rFonts w:eastAsiaTheme="minorHAnsi" w:cs="Arial"/>
          <w:szCs w:val="22"/>
          <w:lang w:eastAsia="en-US"/>
        </w:rPr>
        <w:t xml:space="preserve">As a result of </w:t>
      </w:r>
      <w:r w:rsidRPr="00AC4D7B">
        <w:rPr>
          <w:rFonts w:eastAsiaTheme="minorHAnsi" w:cs="Arial"/>
          <w:szCs w:val="22"/>
          <w:lang w:eastAsia="en-US"/>
        </w:rPr>
        <w:t xml:space="preserve">the business continuity plans </w:t>
      </w:r>
      <w:r>
        <w:rPr>
          <w:rFonts w:eastAsiaTheme="minorHAnsi" w:cs="Arial"/>
          <w:szCs w:val="22"/>
          <w:lang w:eastAsia="en-US"/>
        </w:rPr>
        <w:t xml:space="preserve">in place across </w:t>
      </w:r>
      <w:r w:rsidRPr="00AC4D7B">
        <w:rPr>
          <w:rFonts w:eastAsiaTheme="minorHAnsi" w:cs="Arial"/>
          <w:szCs w:val="22"/>
          <w:lang w:eastAsia="en-US"/>
        </w:rPr>
        <w:t>the Council, front line service provision was largely unaffected by the lockdown instruction.  Leisure facilities and some community facilities were temporarily closed</w:t>
      </w:r>
      <w:r>
        <w:rPr>
          <w:rFonts w:eastAsiaTheme="minorHAnsi" w:cs="Arial"/>
          <w:szCs w:val="22"/>
          <w:lang w:eastAsia="en-US"/>
        </w:rPr>
        <w:t>,</w:t>
      </w:r>
      <w:r w:rsidRPr="00AC4D7B">
        <w:rPr>
          <w:rFonts w:eastAsiaTheme="minorHAnsi" w:cs="Arial"/>
          <w:szCs w:val="22"/>
          <w:lang w:eastAsia="en-US"/>
        </w:rPr>
        <w:t xml:space="preserve"> and arrangements implemented for re-opening when allowed.</w:t>
      </w:r>
      <w:r>
        <w:rPr>
          <w:rFonts w:eastAsiaTheme="minorHAnsi" w:cs="Arial"/>
          <w:szCs w:val="22"/>
          <w:lang w:eastAsia="en-US"/>
        </w:rPr>
        <w:t xml:space="preserve"> From April 2021, leisure services have been brought in-house</w:t>
      </w:r>
      <w:r w:rsidRPr="00AC4D7B">
        <w:rPr>
          <w:rFonts w:eastAsiaTheme="minorHAnsi" w:cs="Arial"/>
          <w:szCs w:val="22"/>
          <w:lang w:eastAsia="en-US"/>
        </w:rPr>
        <w:t xml:space="preserve"> </w:t>
      </w:r>
      <w:r>
        <w:rPr>
          <w:rFonts w:eastAsiaTheme="minorHAnsi" w:cs="Arial"/>
          <w:szCs w:val="22"/>
          <w:lang w:eastAsia="en-US"/>
        </w:rPr>
        <w:t xml:space="preserve">with the ambition during 2021/22 for the Council to transfer the management of these services into a wholly owned leisure company. </w:t>
      </w:r>
    </w:p>
    <w:p w14:paraId="7598E620" w14:textId="77777777" w:rsidR="007F5DB3" w:rsidRDefault="007F5DB3" w:rsidP="007F5DB3">
      <w:pPr>
        <w:rPr>
          <w:rFonts w:eastAsiaTheme="minorHAnsi" w:cs="Arial"/>
          <w:szCs w:val="22"/>
          <w:lang w:eastAsia="en-US"/>
        </w:rPr>
      </w:pPr>
    </w:p>
    <w:p w14:paraId="05C1515D" w14:textId="77777777" w:rsidR="007F5DB3" w:rsidRPr="00AC4D7B" w:rsidRDefault="007F5DB3" w:rsidP="007F5DB3">
      <w:pPr>
        <w:rPr>
          <w:rFonts w:eastAsiaTheme="minorHAnsi" w:cs="Arial"/>
          <w:szCs w:val="22"/>
          <w:lang w:eastAsia="en-US"/>
        </w:rPr>
      </w:pPr>
      <w:r w:rsidRPr="00AC4D7B">
        <w:rPr>
          <w:rFonts w:eastAsiaTheme="minorHAnsi" w:cs="Arial"/>
          <w:szCs w:val="22"/>
          <w:lang w:eastAsia="en-US"/>
        </w:rPr>
        <w:t>All other services were maintained as a result of business continuity arrangements and</w:t>
      </w:r>
      <w:r>
        <w:rPr>
          <w:rFonts w:eastAsiaTheme="minorHAnsi" w:cs="Arial"/>
          <w:szCs w:val="22"/>
          <w:lang w:eastAsia="en-US"/>
        </w:rPr>
        <w:t>,</w:t>
      </w:r>
      <w:r w:rsidRPr="00AC4D7B">
        <w:rPr>
          <w:rFonts w:eastAsiaTheme="minorHAnsi" w:cs="Arial"/>
          <w:szCs w:val="22"/>
          <w:lang w:eastAsia="en-US"/>
        </w:rPr>
        <w:t xml:space="preserve"> where possible</w:t>
      </w:r>
      <w:r>
        <w:rPr>
          <w:rFonts w:eastAsiaTheme="minorHAnsi" w:cs="Arial"/>
          <w:szCs w:val="22"/>
          <w:lang w:eastAsia="en-US"/>
        </w:rPr>
        <w:t>,</w:t>
      </w:r>
      <w:r w:rsidRPr="00AC4D7B">
        <w:rPr>
          <w:rFonts w:eastAsiaTheme="minorHAnsi" w:cs="Arial"/>
          <w:szCs w:val="22"/>
          <w:lang w:eastAsia="en-US"/>
        </w:rPr>
        <w:t xml:space="preserve"> staff </w:t>
      </w:r>
      <w:proofErr w:type="spellStart"/>
      <w:r w:rsidRPr="00AC4D7B">
        <w:rPr>
          <w:rFonts w:eastAsiaTheme="minorHAnsi" w:cs="Arial"/>
          <w:szCs w:val="22"/>
          <w:lang w:eastAsia="en-US"/>
        </w:rPr>
        <w:t>redeployme</w:t>
      </w:r>
      <w:r>
        <w:rPr>
          <w:rFonts w:eastAsiaTheme="minorHAnsi" w:cs="Arial"/>
          <w:szCs w:val="22"/>
          <w:lang w:eastAsia="en-US"/>
        </w:rPr>
        <w:t>d</w:t>
      </w:r>
      <w:proofErr w:type="spellEnd"/>
      <w:r w:rsidRPr="00AC4D7B">
        <w:rPr>
          <w:rFonts w:eastAsiaTheme="minorHAnsi" w:cs="Arial"/>
          <w:szCs w:val="22"/>
          <w:lang w:eastAsia="en-US"/>
        </w:rPr>
        <w:t xml:space="preserve"> to high priority areas. Although </w:t>
      </w:r>
      <w:r>
        <w:rPr>
          <w:rFonts w:eastAsiaTheme="minorHAnsi" w:cs="Arial"/>
          <w:szCs w:val="22"/>
          <w:lang w:eastAsia="en-US"/>
        </w:rPr>
        <w:t xml:space="preserve">the </w:t>
      </w:r>
      <w:r w:rsidRPr="00AC4D7B">
        <w:rPr>
          <w:rFonts w:eastAsiaTheme="minorHAnsi" w:cs="Arial"/>
          <w:szCs w:val="22"/>
          <w:lang w:eastAsia="en-US"/>
        </w:rPr>
        <w:t xml:space="preserve">reception areas </w:t>
      </w:r>
      <w:r>
        <w:rPr>
          <w:rFonts w:eastAsiaTheme="minorHAnsi" w:cs="Arial"/>
          <w:szCs w:val="22"/>
          <w:lang w:eastAsia="en-US"/>
        </w:rPr>
        <w:t xml:space="preserve">in the Council’s buildings </w:t>
      </w:r>
      <w:r w:rsidRPr="00AC4D7B">
        <w:rPr>
          <w:rFonts w:eastAsiaTheme="minorHAnsi" w:cs="Arial"/>
          <w:szCs w:val="22"/>
          <w:lang w:eastAsia="en-US"/>
        </w:rPr>
        <w:t xml:space="preserve">were closed, public services were maintained by digital service provision and use of other communication means. </w:t>
      </w:r>
      <w:r w:rsidRPr="00AC4D7B">
        <w:rPr>
          <w:rFonts w:cs="Arial"/>
        </w:rPr>
        <w:t xml:space="preserve">The Council has fully implemented government </w:t>
      </w:r>
      <w:r>
        <w:rPr>
          <w:rFonts w:cs="Arial"/>
        </w:rPr>
        <w:t xml:space="preserve">funded </w:t>
      </w:r>
      <w:r w:rsidRPr="00AC4D7B">
        <w:rPr>
          <w:rFonts w:cs="Arial"/>
        </w:rPr>
        <w:t xml:space="preserve">schemes including </w:t>
      </w:r>
      <w:r>
        <w:rPr>
          <w:rFonts w:cs="Arial"/>
        </w:rPr>
        <w:t xml:space="preserve">provision of </w:t>
      </w:r>
      <w:r w:rsidRPr="00AC4D7B">
        <w:rPr>
          <w:rFonts w:cs="Arial"/>
        </w:rPr>
        <w:t xml:space="preserve">business rates relief, providing council tax hardship support and providing grants to support business, </w:t>
      </w:r>
      <w:r>
        <w:rPr>
          <w:rFonts w:cs="Arial"/>
        </w:rPr>
        <w:t xml:space="preserve">thereby </w:t>
      </w:r>
      <w:r w:rsidRPr="00AC4D7B">
        <w:rPr>
          <w:rFonts w:cs="Arial"/>
        </w:rPr>
        <w:t xml:space="preserve">protecting the economic stability of its area.  </w:t>
      </w:r>
      <w:r w:rsidRPr="00AC4D7B">
        <w:rPr>
          <w:rFonts w:eastAsiaTheme="minorHAnsi" w:cs="Arial"/>
          <w:szCs w:val="22"/>
          <w:lang w:eastAsia="en-US"/>
        </w:rPr>
        <w:t xml:space="preserve">  </w:t>
      </w:r>
    </w:p>
    <w:p w14:paraId="645B1A73" w14:textId="77777777" w:rsidR="007F5DB3" w:rsidRPr="00AC4D7B" w:rsidRDefault="007F5DB3" w:rsidP="007F5DB3">
      <w:pPr>
        <w:rPr>
          <w:rFonts w:eastAsiaTheme="minorHAnsi" w:cs="Arial"/>
          <w:szCs w:val="22"/>
          <w:lang w:eastAsia="en-US"/>
        </w:rPr>
      </w:pPr>
    </w:p>
    <w:p w14:paraId="16129A6D" w14:textId="77777777" w:rsidR="007F5DB3" w:rsidRPr="009D6640" w:rsidRDefault="007F5DB3" w:rsidP="007F5DB3">
      <w:pPr>
        <w:rPr>
          <w:rFonts w:eastAsiaTheme="minorHAnsi" w:cs="Arial"/>
          <w:szCs w:val="22"/>
          <w:u w:val="single"/>
          <w:lang w:eastAsia="en-US"/>
        </w:rPr>
      </w:pPr>
      <w:r w:rsidRPr="009D6640">
        <w:rPr>
          <w:rFonts w:eastAsiaTheme="minorHAnsi" w:cs="Arial"/>
          <w:szCs w:val="22"/>
          <w:u w:val="single"/>
          <w:lang w:eastAsia="en-US"/>
        </w:rPr>
        <w:t>Workforce</w:t>
      </w:r>
    </w:p>
    <w:p w14:paraId="62BB099C" w14:textId="77777777" w:rsidR="007F5DB3" w:rsidRPr="00AC4D7B" w:rsidRDefault="007F5DB3" w:rsidP="007F5DB3">
      <w:pPr>
        <w:rPr>
          <w:rFonts w:eastAsiaTheme="minorHAnsi" w:cs="Arial"/>
          <w:szCs w:val="22"/>
          <w:lang w:eastAsia="en-US"/>
        </w:rPr>
      </w:pPr>
      <w:r w:rsidRPr="00AC4D7B">
        <w:rPr>
          <w:rFonts w:eastAsiaTheme="minorHAnsi" w:cs="Arial"/>
          <w:szCs w:val="22"/>
          <w:lang w:eastAsia="en-US"/>
        </w:rPr>
        <w:t xml:space="preserve">In line with government instruction, the Council </w:t>
      </w:r>
      <w:r>
        <w:rPr>
          <w:rFonts w:eastAsiaTheme="minorHAnsi" w:cs="Arial"/>
          <w:szCs w:val="22"/>
          <w:lang w:eastAsia="en-US"/>
        </w:rPr>
        <w:t xml:space="preserve">has issued a </w:t>
      </w:r>
      <w:r w:rsidRPr="00AC4D7B">
        <w:rPr>
          <w:rFonts w:eastAsiaTheme="minorHAnsi" w:cs="Arial"/>
          <w:szCs w:val="22"/>
          <w:lang w:eastAsia="en-US"/>
        </w:rPr>
        <w:t>‘</w:t>
      </w:r>
      <w:r>
        <w:rPr>
          <w:rFonts w:eastAsiaTheme="minorHAnsi" w:cs="Arial"/>
          <w:szCs w:val="22"/>
          <w:lang w:eastAsia="en-US"/>
        </w:rPr>
        <w:t>work from home wherever possible’</w:t>
      </w:r>
      <w:r w:rsidRPr="00AC4D7B">
        <w:rPr>
          <w:rFonts w:eastAsiaTheme="minorHAnsi" w:cs="Arial"/>
          <w:szCs w:val="22"/>
          <w:lang w:eastAsia="en-US"/>
        </w:rPr>
        <w:t xml:space="preserve"> instruction to its staff from </w:t>
      </w:r>
      <w:r>
        <w:rPr>
          <w:rFonts w:eastAsiaTheme="minorHAnsi" w:cs="Arial"/>
          <w:szCs w:val="22"/>
          <w:lang w:eastAsia="en-US"/>
        </w:rPr>
        <w:t>throughout 2020/21</w:t>
      </w:r>
      <w:r w:rsidRPr="00AC4D7B">
        <w:rPr>
          <w:rFonts w:eastAsiaTheme="minorHAnsi" w:cs="Arial"/>
          <w:szCs w:val="22"/>
          <w:lang w:eastAsia="en-US"/>
        </w:rPr>
        <w:t>. All staff are still strongly encouraged to work from home where it is practical to do so and are only permitted to attend offices where unavoidable. This directive has maintained service provision at a satisfactory level and has greatly reduced the risk that Council staff become infected. As staff were protected, the Council was able to deploy its staff</w:t>
      </w:r>
      <w:r>
        <w:rPr>
          <w:rFonts w:eastAsiaTheme="minorHAnsi" w:cs="Arial"/>
          <w:szCs w:val="22"/>
          <w:lang w:eastAsia="en-US"/>
        </w:rPr>
        <w:t>,</w:t>
      </w:r>
      <w:r w:rsidRPr="00AC4D7B">
        <w:rPr>
          <w:rFonts w:eastAsiaTheme="minorHAnsi" w:cs="Arial"/>
          <w:szCs w:val="22"/>
          <w:lang w:eastAsia="en-US"/>
        </w:rPr>
        <w:t xml:space="preserve"> where suitably trained</w:t>
      </w:r>
      <w:r>
        <w:rPr>
          <w:rFonts w:eastAsiaTheme="minorHAnsi" w:cs="Arial"/>
          <w:szCs w:val="22"/>
          <w:lang w:eastAsia="en-US"/>
        </w:rPr>
        <w:t>,</w:t>
      </w:r>
      <w:r w:rsidRPr="00AC4D7B">
        <w:rPr>
          <w:rFonts w:eastAsiaTheme="minorHAnsi" w:cs="Arial"/>
          <w:szCs w:val="22"/>
          <w:lang w:eastAsia="en-US"/>
        </w:rPr>
        <w:t xml:space="preserve"> to other areas. </w:t>
      </w:r>
    </w:p>
    <w:p w14:paraId="3C6C807C" w14:textId="77777777" w:rsidR="007F5DB3" w:rsidRPr="00AC4D7B" w:rsidRDefault="007F5DB3" w:rsidP="007F5DB3">
      <w:pPr>
        <w:rPr>
          <w:rFonts w:eastAsiaTheme="minorHAnsi" w:cs="Arial"/>
          <w:b/>
          <w:bCs/>
          <w:szCs w:val="22"/>
          <w:lang w:eastAsia="en-US"/>
        </w:rPr>
      </w:pPr>
    </w:p>
    <w:p w14:paraId="2989F495" w14:textId="77777777" w:rsidR="007F5DB3" w:rsidRPr="009D6640" w:rsidRDefault="007F5DB3" w:rsidP="007F5DB3">
      <w:pPr>
        <w:rPr>
          <w:rFonts w:eastAsiaTheme="minorHAnsi" w:cs="Arial"/>
          <w:szCs w:val="22"/>
          <w:u w:val="single"/>
          <w:lang w:eastAsia="en-US"/>
        </w:rPr>
      </w:pPr>
      <w:r w:rsidRPr="009D6640">
        <w:rPr>
          <w:rFonts w:eastAsiaTheme="minorHAnsi" w:cs="Arial"/>
          <w:szCs w:val="22"/>
          <w:u w:val="single"/>
          <w:lang w:eastAsia="en-US"/>
        </w:rPr>
        <w:t>Supply Chains</w:t>
      </w:r>
    </w:p>
    <w:p w14:paraId="2C78C24F" w14:textId="77777777" w:rsidR="007F5DB3" w:rsidRPr="00AC4D7B" w:rsidRDefault="007F5DB3" w:rsidP="007F5DB3">
      <w:pPr>
        <w:rPr>
          <w:rFonts w:eastAsiaTheme="minorHAnsi" w:cs="Arial"/>
          <w:szCs w:val="22"/>
          <w:lang w:eastAsia="en-US"/>
        </w:rPr>
      </w:pPr>
      <w:r w:rsidRPr="00AC4D7B">
        <w:rPr>
          <w:rFonts w:eastAsiaTheme="minorHAnsi" w:cs="Arial"/>
          <w:szCs w:val="22"/>
          <w:lang w:eastAsia="en-US"/>
        </w:rPr>
        <w:t>The Council is aware of its responsibility for the economic wellbeing of its area and has taken all practical steps to protect supply chains. A policy was already in place for prompt payment of supplier invoices and all staff have been requested to p</w:t>
      </w:r>
      <w:r>
        <w:rPr>
          <w:rFonts w:eastAsiaTheme="minorHAnsi" w:cs="Arial"/>
          <w:szCs w:val="22"/>
          <w:lang w:eastAsia="en-US"/>
        </w:rPr>
        <w:t>rocess</w:t>
      </w:r>
      <w:r w:rsidRPr="00AC4D7B">
        <w:rPr>
          <w:rFonts w:eastAsiaTheme="minorHAnsi" w:cs="Arial"/>
          <w:szCs w:val="22"/>
          <w:lang w:eastAsia="en-US"/>
        </w:rPr>
        <w:t xml:space="preserve"> undisputed invoices </w:t>
      </w:r>
      <w:r>
        <w:rPr>
          <w:rFonts w:eastAsiaTheme="minorHAnsi" w:cs="Arial"/>
          <w:szCs w:val="22"/>
          <w:lang w:eastAsia="en-US"/>
        </w:rPr>
        <w:t>as quickly as possible.</w:t>
      </w:r>
      <w:r w:rsidRPr="00AC4D7B">
        <w:rPr>
          <w:rFonts w:eastAsiaTheme="minorHAnsi" w:cs="Arial"/>
          <w:szCs w:val="22"/>
          <w:lang w:eastAsia="en-US"/>
        </w:rPr>
        <w:t xml:space="preserve"> Where possible, arrangements have been made with suppliers offering financial support and assist</w:t>
      </w:r>
      <w:r>
        <w:rPr>
          <w:rFonts w:eastAsiaTheme="minorHAnsi" w:cs="Arial"/>
          <w:szCs w:val="22"/>
          <w:lang w:eastAsia="en-US"/>
        </w:rPr>
        <w:t xml:space="preserve">ance provided through the administration of </w:t>
      </w:r>
      <w:r w:rsidRPr="00AC4D7B">
        <w:rPr>
          <w:rFonts w:eastAsiaTheme="minorHAnsi" w:cs="Arial"/>
          <w:szCs w:val="22"/>
          <w:lang w:eastAsia="en-US"/>
        </w:rPr>
        <w:t xml:space="preserve">the government </w:t>
      </w:r>
      <w:r>
        <w:rPr>
          <w:rFonts w:eastAsiaTheme="minorHAnsi" w:cs="Arial"/>
          <w:szCs w:val="22"/>
          <w:lang w:eastAsia="en-US"/>
        </w:rPr>
        <w:t xml:space="preserve">business </w:t>
      </w:r>
      <w:r w:rsidRPr="00AC4D7B">
        <w:rPr>
          <w:rFonts w:eastAsiaTheme="minorHAnsi" w:cs="Arial"/>
          <w:szCs w:val="22"/>
          <w:lang w:eastAsia="en-US"/>
        </w:rPr>
        <w:t>grant support for business</w:t>
      </w:r>
      <w:r>
        <w:rPr>
          <w:rFonts w:eastAsiaTheme="minorHAnsi" w:cs="Arial"/>
          <w:szCs w:val="22"/>
          <w:lang w:eastAsia="en-US"/>
        </w:rPr>
        <w:t>es.</w:t>
      </w:r>
    </w:p>
    <w:p w14:paraId="2FC323CC" w14:textId="77777777" w:rsidR="007F5DB3" w:rsidRPr="00AC4D7B" w:rsidRDefault="007F5DB3" w:rsidP="007F5DB3">
      <w:pPr>
        <w:rPr>
          <w:rFonts w:eastAsiaTheme="minorHAnsi" w:cs="Arial"/>
          <w:szCs w:val="22"/>
          <w:lang w:eastAsia="en-US"/>
        </w:rPr>
      </w:pPr>
    </w:p>
    <w:p w14:paraId="6C410D71" w14:textId="77777777" w:rsidR="007F5DB3" w:rsidRPr="009D6640" w:rsidRDefault="007F5DB3" w:rsidP="007F5DB3">
      <w:pPr>
        <w:rPr>
          <w:rFonts w:eastAsiaTheme="minorHAnsi" w:cs="Arial"/>
          <w:szCs w:val="22"/>
          <w:u w:val="single"/>
          <w:lang w:eastAsia="en-US"/>
        </w:rPr>
      </w:pPr>
      <w:r w:rsidRPr="009D6640">
        <w:rPr>
          <w:rFonts w:eastAsiaTheme="minorHAnsi" w:cs="Arial"/>
          <w:szCs w:val="22"/>
          <w:u w:val="single"/>
          <w:lang w:eastAsia="en-US"/>
        </w:rPr>
        <w:t>Reserves, Financial Performance and Financial Position</w:t>
      </w:r>
    </w:p>
    <w:p w14:paraId="16AD9B12" w14:textId="77777777" w:rsidR="007F5DB3" w:rsidRDefault="007F5DB3" w:rsidP="007F5DB3">
      <w:pPr>
        <w:rPr>
          <w:rFonts w:eastAsiaTheme="minorHAnsi" w:cs="Arial"/>
          <w:szCs w:val="22"/>
          <w:lang w:eastAsia="en-US"/>
        </w:rPr>
      </w:pPr>
      <w:r w:rsidRPr="008900CA">
        <w:rPr>
          <w:rFonts w:eastAsiaTheme="minorHAnsi" w:cs="Arial"/>
          <w:szCs w:val="22"/>
          <w:lang w:eastAsia="en-US"/>
        </w:rPr>
        <w:t>Total reserves for the Council were £27.149m by the end of 2020/21 of which £4.141m is held in a general reserve. The remaining reserves are earmarked for specific programmes of work or costs that are known to the Council. Monitoring of reserves will continue to ensure they remain appropriate and reflect the level of risk that exists around unplanned/unforeseen expenditure or loss of income. It should be noted that although reserves have increased by £6.336m since 2019/20, £5.244m was due to the receipt of business rates relief support that will be applied in 2021/22. In addition, the Council has set aside £1.329m of Covid-19 specific reserves to enable the Council to respond to the pandemic in 2021/22 onwards.</w:t>
      </w:r>
    </w:p>
    <w:p w14:paraId="1D22AE20" w14:textId="77777777" w:rsidR="007F5DB3" w:rsidRDefault="007F5DB3" w:rsidP="007F5DB3">
      <w:pPr>
        <w:rPr>
          <w:rFonts w:eastAsiaTheme="minorHAnsi" w:cs="Arial"/>
          <w:szCs w:val="22"/>
          <w:lang w:eastAsia="en-US"/>
        </w:rPr>
      </w:pPr>
    </w:p>
    <w:p w14:paraId="567EB806" w14:textId="77777777" w:rsidR="007F5DB3" w:rsidRPr="00CB1ACD" w:rsidRDefault="007F5DB3" w:rsidP="007F5DB3">
      <w:pPr>
        <w:rPr>
          <w:rFonts w:eastAsiaTheme="minorHAnsi" w:cs="Arial"/>
          <w:szCs w:val="22"/>
          <w:lang w:eastAsia="en-US"/>
        </w:rPr>
      </w:pPr>
      <w:bookmarkStart w:id="6" w:name="_Hlk76729237"/>
      <w:r>
        <w:rPr>
          <w:rFonts w:eastAsiaTheme="minorHAnsi" w:cs="Arial"/>
          <w:szCs w:val="22"/>
          <w:lang w:eastAsia="en-US"/>
        </w:rPr>
        <w:t>In respect of Commercial property values, the valuation report outlined that the impact of Covid-19 is difficult to quantify at this stage and that the true impact of Covid-19 will not be known until liquidity returns to the market later in 2021, as expected. There were no significant downward valuations in the Council’s investment property portfolio.</w:t>
      </w:r>
    </w:p>
    <w:bookmarkEnd w:id="6"/>
    <w:p w14:paraId="56669313" w14:textId="77777777" w:rsidR="007F5DB3" w:rsidRPr="00AC4D7B" w:rsidRDefault="007F5DB3" w:rsidP="007F5DB3">
      <w:pPr>
        <w:rPr>
          <w:rFonts w:eastAsiaTheme="minorHAnsi" w:cs="Arial"/>
          <w:szCs w:val="22"/>
          <w:lang w:eastAsia="en-US"/>
        </w:rPr>
      </w:pPr>
    </w:p>
    <w:p w14:paraId="38251206" w14:textId="77777777" w:rsidR="007F5DB3" w:rsidRPr="00AC4D7B" w:rsidRDefault="007F5DB3" w:rsidP="007F5DB3">
      <w:pPr>
        <w:rPr>
          <w:rFonts w:eastAsiaTheme="minorHAnsi" w:cs="Arial"/>
          <w:szCs w:val="22"/>
          <w:lang w:eastAsia="en-US"/>
        </w:rPr>
      </w:pPr>
      <w:r w:rsidRPr="00AC4D7B">
        <w:rPr>
          <w:rFonts w:eastAsiaTheme="minorHAnsi" w:cs="Arial"/>
          <w:szCs w:val="22"/>
          <w:lang w:eastAsia="en-US"/>
        </w:rPr>
        <w:t xml:space="preserve">The Council will also review its planned efficiencies and savings included in its MTFS to ensure these can be delivered within the anticipated timeframe. These will be assessed as part of the refresh of the </w:t>
      </w:r>
      <w:r>
        <w:rPr>
          <w:rFonts w:eastAsiaTheme="minorHAnsi" w:cs="Arial"/>
          <w:szCs w:val="22"/>
          <w:lang w:eastAsia="en-US"/>
        </w:rPr>
        <w:t>2022/23 to 2024/25</w:t>
      </w:r>
      <w:r w:rsidRPr="00AC4D7B">
        <w:rPr>
          <w:rFonts w:eastAsiaTheme="minorHAnsi" w:cs="Arial"/>
          <w:szCs w:val="22"/>
          <w:lang w:eastAsia="en-US"/>
        </w:rPr>
        <w:t xml:space="preserve"> Corporate Strategy and </w:t>
      </w:r>
      <w:r>
        <w:rPr>
          <w:rFonts w:eastAsiaTheme="minorHAnsi" w:cs="Arial"/>
          <w:szCs w:val="22"/>
          <w:lang w:eastAsia="en-US"/>
        </w:rPr>
        <w:t xml:space="preserve">the subsequent </w:t>
      </w:r>
      <w:r w:rsidRPr="00AC4D7B">
        <w:rPr>
          <w:rFonts w:eastAsiaTheme="minorHAnsi" w:cs="Arial"/>
          <w:szCs w:val="22"/>
          <w:lang w:eastAsia="en-US"/>
        </w:rPr>
        <w:t>preparation</w:t>
      </w:r>
      <w:r>
        <w:rPr>
          <w:rFonts w:eastAsiaTheme="minorHAnsi" w:cs="Arial"/>
          <w:szCs w:val="22"/>
          <w:lang w:eastAsia="en-US"/>
        </w:rPr>
        <w:t xml:space="preserve"> of the MTFS</w:t>
      </w:r>
      <w:r w:rsidRPr="00AC4D7B">
        <w:rPr>
          <w:rFonts w:eastAsiaTheme="minorHAnsi" w:cs="Arial"/>
          <w:szCs w:val="22"/>
          <w:lang w:eastAsia="en-US"/>
        </w:rPr>
        <w:t>.</w:t>
      </w:r>
    </w:p>
    <w:p w14:paraId="01314D05" w14:textId="77777777" w:rsidR="007F5DB3" w:rsidRPr="00AC4D7B" w:rsidRDefault="007F5DB3" w:rsidP="007F5DB3">
      <w:pPr>
        <w:rPr>
          <w:rFonts w:eastAsiaTheme="minorHAnsi" w:cs="Arial"/>
          <w:szCs w:val="22"/>
          <w:lang w:eastAsia="en-US"/>
        </w:rPr>
      </w:pPr>
    </w:p>
    <w:p w14:paraId="5B646E50" w14:textId="77777777" w:rsidR="007F5DB3" w:rsidRPr="009D6640" w:rsidRDefault="007F5DB3" w:rsidP="007F5DB3">
      <w:pPr>
        <w:rPr>
          <w:rFonts w:eastAsiaTheme="minorHAnsi" w:cs="Arial"/>
          <w:szCs w:val="22"/>
          <w:u w:val="single"/>
          <w:lang w:eastAsia="en-US"/>
        </w:rPr>
      </w:pPr>
      <w:r w:rsidRPr="009D6640">
        <w:rPr>
          <w:rFonts w:eastAsiaTheme="minorHAnsi" w:cs="Arial"/>
          <w:szCs w:val="22"/>
          <w:u w:val="single"/>
          <w:lang w:eastAsia="en-US"/>
        </w:rPr>
        <w:t>Cash Flow Management</w:t>
      </w:r>
    </w:p>
    <w:p w14:paraId="36E8E76E" w14:textId="77777777" w:rsidR="007F5DB3" w:rsidRPr="00AC4D7B" w:rsidRDefault="007F5DB3" w:rsidP="007F5DB3">
      <w:pPr>
        <w:rPr>
          <w:rFonts w:eastAsiaTheme="minorHAnsi" w:cs="Arial"/>
          <w:szCs w:val="22"/>
          <w:lang w:eastAsia="en-US"/>
        </w:rPr>
      </w:pPr>
      <w:r w:rsidRPr="00AC4D7B">
        <w:rPr>
          <w:rFonts w:eastAsiaTheme="minorHAnsi" w:cs="Arial"/>
          <w:szCs w:val="22"/>
          <w:lang w:eastAsia="en-US"/>
        </w:rPr>
        <w:t xml:space="preserve">The Council closely manages its cash flows ensuring management costs are kept to a minimum while gaining the maximum return on surplus balances. The loss of income from rentals and fees and charges </w:t>
      </w:r>
      <w:r>
        <w:rPr>
          <w:rFonts w:eastAsiaTheme="minorHAnsi" w:cs="Arial"/>
          <w:szCs w:val="22"/>
          <w:lang w:eastAsia="en-US"/>
        </w:rPr>
        <w:t>has been</w:t>
      </w:r>
      <w:r w:rsidRPr="00AC4D7B">
        <w:rPr>
          <w:rFonts w:eastAsiaTheme="minorHAnsi" w:cs="Arial"/>
          <w:szCs w:val="22"/>
          <w:lang w:eastAsia="en-US"/>
        </w:rPr>
        <w:t xml:space="preserve"> temporarily offset by the cash payments received from government </w:t>
      </w:r>
      <w:r>
        <w:rPr>
          <w:rFonts w:eastAsiaTheme="minorHAnsi" w:cs="Arial"/>
          <w:szCs w:val="22"/>
          <w:lang w:eastAsia="en-US"/>
        </w:rPr>
        <w:t xml:space="preserve">in Covid-19 related </w:t>
      </w:r>
      <w:r w:rsidRPr="00AC4D7B">
        <w:rPr>
          <w:rFonts w:eastAsiaTheme="minorHAnsi" w:cs="Arial"/>
          <w:szCs w:val="22"/>
          <w:lang w:eastAsia="en-US"/>
        </w:rPr>
        <w:t xml:space="preserve">grants. </w:t>
      </w:r>
      <w:r>
        <w:rPr>
          <w:rFonts w:eastAsiaTheme="minorHAnsi" w:cs="Arial"/>
          <w:szCs w:val="22"/>
          <w:lang w:eastAsia="en-US"/>
        </w:rPr>
        <w:t>There have been no cash flow issues during 2020/21 and c</w:t>
      </w:r>
      <w:r w:rsidRPr="00AC4D7B">
        <w:rPr>
          <w:rFonts w:eastAsiaTheme="minorHAnsi" w:cs="Arial"/>
          <w:szCs w:val="22"/>
          <w:lang w:eastAsia="en-US"/>
        </w:rPr>
        <w:t xml:space="preserve">ash balances will be managed in accordance with the approved treasury strategy. </w:t>
      </w:r>
    </w:p>
    <w:p w14:paraId="20032946" w14:textId="77777777" w:rsidR="007F5DB3" w:rsidRPr="00AC4D7B" w:rsidRDefault="007F5DB3" w:rsidP="007F5DB3">
      <w:pPr>
        <w:rPr>
          <w:rFonts w:eastAsiaTheme="minorHAnsi" w:cs="Arial"/>
          <w:szCs w:val="22"/>
          <w:lang w:eastAsia="en-US"/>
        </w:rPr>
      </w:pPr>
    </w:p>
    <w:p w14:paraId="345332C1" w14:textId="77777777" w:rsidR="007F5DB3" w:rsidRPr="009D6640" w:rsidRDefault="007F5DB3" w:rsidP="007F5DB3">
      <w:pPr>
        <w:rPr>
          <w:rFonts w:eastAsiaTheme="minorHAnsi" w:cs="Arial"/>
          <w:szCs w:val="22"/>
          <w:u w:val="single"/>
          <w:lang w:eastAsia="en-US"/>
        </w:rPr>
      </w:pPr>
      <w:r w:rsidRPr="009D6640">
        <w:rPr>
          <w:rFonts w:eastAsiaTheme="minorHAnsi" w:cs="Arial"/>
          <w:szCs w:val="22"/>
          <w:u w:val="single"/>
          <w:lang w:eastAsia="en-US"/>
        </w:rPr>
        <w:t>Plans for Recovery</w:t>
      </w:r>
    </w:p>
    <w:p w14:paraId="76CEE529" w14:textId="77777777" w:rsidR="007F5DB3" w:rsidRDefault="007F5DB3" w:rsidP="007F5DB3">
      <w:pPr>
        <w:rPr>
          <w:rFonts w:eastAsiaTheme="minorHAnsi" w:cs="Arial"/>
          <w:szCs w:val="22"/>
          <w:lang w:eastAsia="en-US"/>
        </w:rPr>
      </w:pPr>
      <w:r w:rsidRPr="00AC4D7B">
        <w:rPr>
          <w:rFonts w:eastAsiaTheme="minorHAnsi" w:cs="Arial"/>
          <w:szCs w:val="22"/>
          <w:lang w:eastAsia="en-US"/>
        </w:rPr>
        <w:t xml:space="preserve">The Covid-19 crisis will continue to have a significant operational and financial impact on the </w:t>
      </w:r>
      <w:r>
        <w:rPr>
          <w:rFonts w:eastAsiaTheme="minorHAnsi" w:cs="Arial"/>
          <w:szCs w:val="22"/>
          <w:lang w:eastAsia="en-US"/>
        </w:rPr>
        <w:t>C</w:t>
      </w:r>
      <w:r w:rsidRPr="00AC4D7B">
        <w:rPr>
          <w:rFonts w:eastAsiaTheme="minorHAnsi" w:cs="Arial"/>
          <w:szCs w:val="22"/>
          <w:lang w:eastAsia="en-US"/>
        </w:rPr>
        <w:t>ouncil, its partners and the communities it serves. It</w:t>
      </w:r>
      <w:r>
        <w:rPr>
          <w:rFonts w:eastAsiaTheme="minorHAnsi" w:cs="Arial"/>
          <w:szCs w:val="22"/>
          <w:lang w:eastAsia="en-US"/>
        </w:rPr>
        <w:t xml:space="preserve"> </w:t>
      </w:r>
      <w:proofErr w:type="spellStart"/>
      <w:r>
        <w:rPr>
          <w:rFonts w:eastAsiaTheme="minorHAnsi" w:cs="Arial"/>
          <w:szCs w:val="22"/>
          <w:lang w:eastAsia="en-US"/>
        </w:rPr>
        <w:t>is</w:t>
      </w:r>
      <w:r w:rsidRPr="00AC4D7B">
        <w:rPr>
          <w:rFonts w:eastAsiaTheme="minorHAnsi" w:cs="Arial"/>
          <w:szCs w:val="22"/>
          <w:lang w:eastAsia="en-US"/>
        </w:rPr>
        <w:t>now</w:t>
      </w:r>
      <w:proofErr w:type="spellEnd"/>
      <w:r w:rsidRPr="00AC4D7B">
        <w:rPr>
          <w:rFonts w:eastAsiaTheme="minorHAnsi" w:cs="Arial"/>
          <w:szCs w:val="22"/>
          <w:lang w:eastAsia="en-US"/>
        </w:rPr>
        <w:t xml:space="preserve"> important that the </w:t>
      </w:r>
      <w:r>
        <w:rPr>
          <w:rFonts w:eastAsiaTheme="minorHAnsi" w:cs="Arial"/>
          <w:szCs w:val="22"/>
          <w:lang w:eastAsia="en-US"/>
        </w:rPr>
        <w:t>C</w:t>
      </w:r>
      <w:r w:rsidRPr="00AC4D7B">
        <w:rPr>
          <w:rFonts w:eastAsiaTheme="minorHAnsi" w:cs="Arial"/>
          <w:szCs w:val="22"/>
          <w:lang w:eastAsia="en-US"/>
        </w:rPr>
        <w:t xml:space="preserve">ouncil has a clear plan for how it will recover its services and return to </w:t>
      </w:r>
      <w:r>
        <w:rPr>
          <w:rFonts w:eastAsiaTheme="minorHAnsi" w:cs="Arial"/>
          <w:szCs w:val="22"/>
          <w:lang w:eastAsia="en-US"/>
        </w:rPr>
        <w:t>‘</w:t>
      </w:r>
      <w:r w:rsidRPr="00AC4D7B">
        <w:rPr>
          <w:rFonts w:eastAsiaTheme="minorHAnsi" w:cs="Arial"/>
          <w:szCs w:val="22"/>
          <w:lang w:eastAsia="en-US"/>
        </w:rPr>
        <w:t>business as usual</w:t>
      </w:r>
      <w:r>
        <w:rPr>
          <w:rFonts w:eastAsiaTheme="minorHAnsi" w:cs="Arial"/>
          <w:szCs w:val="22"/>
          <w:lang w:eastAsia="en-US"/>
        </w:rPr>
        <w:t>’</w:t>
      </w:r>
      <w:r w:rsidRPr="00AC4D7B">
        <w:rPr>
          <w:rFonts w:eastAsiaTheme="minorHAnsi" w:cs="Arial"/>
          <w:szCs w:val="22"/>
          <w:lang w:eastAsia="en-US"/>
        </w:rPr>
        <w:t xml:space="preserve"> as quickly as possible. A key focus will be on getting core services back up and running efficiently.  However, there are some aspects of the response effort that will need to remain in place for an extended </w:t>
      </w:r>
      <w:proofErr w:type="gramStart"/>
      <w:r w:rsidRPr="00AC4D7B">
        <w:rPr>
          <w:rFonts w:eastAsiaTheme="minorHAnsi" w:cs="Arial"/>
          <w:szCs w:val="22"/>
          <w:lang w:eastAsia="en-US"/>
        </w:rPr>
        <w:t>period of time</w:t>
      </w:r>
      <w:proofErr w:type="gramEnd"/>
      <w:r w:rsidRPr="00AC4D7B">
        <w:rPr>
          <w:rFonts w:eastAsiaTheme="minorHAnsi" w:cs="Arial"/>
          <w:szCs w:val="22"/>
          <w:lang w:eastAsia="en-US"/>
        </w:rPr>
        <w:t xml:space="preserve">, such as the </w:t>
      </w:r>
      <w:r>
        <w:rPr>
          <w:rFonts w:eastAsiaTheme="minorHAnsi" w:cs="Arial"/>
          <w:szCs w:val="22"/>
          <w:lang w:eastAsia="en-US"/>
        </w:rPr>
        <w:t>C</w:t>
      </w:r>
      <w:r w:rsidRPr="00AC4D7B">
        <w:rPr>
          <w:rFonts w:eastAsiaTheme="minorHAnsi" w:cs="Arial"/>
          <w:szCs w:val="22"/>
          <w:lang w:eastAsia="en-US"/>
        </w:rPr>
        <w:t xml:space="preserve">ommunity </w:t>
      </w:r>
      <w:r>
        <w:rPr>
          <w:rFonts w:eastAsiaTheme="minorHAnsi" w:cs="Arial"/>
          <w:szCs w:val="22"/>
          <w:lang w:eastAsia="en-US"/>
        </w:rPr>
        <w:t>H</w:t>
      </w:r>
      <w:r w:rsidRPr="00AC4D7B">
        <w:rPr>
          <w:rFonts w:eastAsiaTheme="minorHAnsi" w:cs="Arial"/>
          <w:szCs w:val="22"/>
          <w:lang w:eastAsia="en-US"/>
        </w:rPr>
        <w:t xml:space="preserve">ub and enhanced support for local businesses.  </w:t>
      </w:r>
    </w:p>
    <w:p w14:paraId="7A3A47EF" w14:textId="77777777" w:rsidR="007F5DB3" w:rsidRPr="00AC4D7B" w:rsidRDefault="007F5DB3" w:rsidP="007F5DB3">
      <w:pPr>
        <w:rPr>
          <w:rFonts w:eastAsiaTheme="minorHAnsi" w:cs="Arial"/>
          <w:szCs w:val="22"/>
          <w:lang w:eastAsia="en-US"/>
        </w:rPr>
      </w:pPr>
    </w:p>
    <w:p w14:paraId="28E68759" w14:textId="77777777" w:rsidR="007F5DB3" w:rsidRDefault="007F5DB3" w:rsidP="007F5DB3">
      <w:pPr>
        <w:rPr>
          <w:rFonts w:eastAsiaTheme="minorHAnsi"/>
          <w:lang w:eastAsia="en-US"/>
        </w:rPr>
      </w:pPr>
      <w:r w:rsidRPr="00AC4D7B">
        <w:rPr>
          <w:rFonts w:eastAsiaTheme="minorHAnsi"/>
          <w:lang w:eastAsia="en-US"/>
        </w:rPr>
        <w:t xml:space="preserve">Our plans will need to assess and align the resources required to get the </w:t>
      </w:r>
      <w:r>
        <w:rPr>
          <w:rFonts w:eastAsiaTheme="minorHAnsi"/>
          <w:lang w:eastAsia="en-US"/>
        </w:rPr>
        <w:t>C</w:t>
      </w:r>
      <w:r w:rsidRPr="00AC4D7B">
        <w:rPr>
          <w:rFonts w:eastAsiaTheme="minorHAnsi"/>
          <w:lang w:eastAsia="en-US"/>
        </w:rPr>
        <w:t>ouncil back on track, while taking account of new responsibilities and priorities as a result of the impact of Covid-19 on residents and communities.  In response to this</w:t>
      </w:r>
      <w:r>
        <w:rPr>
          <w:rFonts w:eastAsiaTheme="minorHAnsi"/>
          <w:lang w:eastAsia="en-US"/>
        </w:rPr>
        <w:t>,</w:t>
      </w:r>
      <w:r w:rsidRPr="00AC4D7B">
        <w:rPr>
          <w:rFonts w:eastAsiaTheme="minorHAnsi"/>
          <w:lang w:eastAsia="en-US"/>
        </w:rPr>
        <w:t xml:space="preserve"> the Corporate Plan will be reviewed so that activities and programs are aligned to supporting communities and businesses through the period of recovery, as well as ensuring activities are appropriate to be delivered in an environment of social restrictions and distancing. </w:t>
      </w:r>
      <w:r>
        <w:rPr>
          <w:rFonts w:eastAsiaTheme="minorHAnsi"/>
          <w:lang w:eastAsia="en-US"/>
        </w:rPr>
        <w:t>Already the Council has set aside reserves to help manage this process including:</w:t>
      </w:r>
    </w:p>
    <w:p w14:paraId="2EE32DFC" w14:textId="77777777" w:rsidR="007F5DB3" w:rsidRDefault="007F5DB3" w:rsidP="007F5DB3">
      <w:pPr>
        <w:pStyle w:val="ListParagraph"/>
        <w:numPr>
          <w:ilvl w:val="0"/>
          <w:numId w:val="56"/>
        </w:numPr>
        <w:rPr>
          <w:rFonts w:eastAsiaTheme="minorHAnsi"/>
          <w:lang w:eastAsia="en-US"/>
        </w:rPr>
      </w:pPr>
      <w:r>
        <w:rPr>
          <w:rFonts w:eastAsiaTheme="minorHAnsi"/>
          <w:lang w:eastAsia="en-US"/>
        </w:rPr>
        <w:t>£150k - to promote community wealth building</w:t>
      </w:r>
    </w:p>
    <w:p w14:paraId="5C67EF6B" w14:textId="77777777" w:rsidR="007F5DB3" w:rsidRDefault="007F5DB3" w:rsidP="007F5DB3">
      <w:pPr>
        <w:pStyle w:val="ListParagraph"/>
        <w:numPr>
          <w:ilvl w:val="0"/>
          <w:numId w:val="56"/>
        </w:numPr>
        <w:rPr>
          <w:rFonts w:eastAsiaTheme="minorHAnsi"/>
          <w:lang w:eastAsia="en-US"/>
        </w:rPr>
      </w:pPr>
      <w:r>
        <w:rPr>
          <w:rFonts w:eastAsiaTheme="minorHAnsi"/>
          <w:lang w:eastAsia="en-US"/>
        </w:rPr>
        <w:t>£150k - to provide support for local businesses</w:t>
      </w:r>
    </w:p>
    <w:p w14:paraId="1A58B1AB" w14:textId="77777777" w:rsidR="007F5DB3" w:rsidRPr="00633F3E" w:rsidRDefault="007F5DB3" w:rsidP="007F5DB3">
      <w:pPr>
        <w:pStyle w:val="ListParagraph"/>
        <w:numPr>
          <w:ilvl w:val="0"/>
          <w:numId w:val="56"/>
        </w:numPr>
        <w:rPr>
          <w:rFonts w:eastAsiaTheme="minorHAnsi"/>
          <w:lang w:eastAsia="en-US"/>
        </w:rPr>
      </w:pPr>
      <w:r>
        <w:rPr>
          <w:rFonts w:eastAsiaTheme="minorHAnsi"/>
          <w:lang w:eastAsia="en-US"/>
        </w:rPr>
        <w:t>£50k   - to provide support for the m</w:t>
      </w:r>
      <w:r w:rsidRPr="00633F3E">
        <w:rPr>
          <w:rFonts w:eastAsiaTheme="minorHAnsi"/>
          <w:lang w:eastAsia="en-US"/>
        </w:rPr>
        <w:t xml:space="preserve">ental </w:t>
      </w:r>
      <w:r>
        <w:rPr>
          <w:rFonts w:eastAsiaTheme="minorHAnsi"/>
          <w:lang w:eastAsia="en-US"/>
        </w:rPr>
        <w:t>h</w:t>
      </w:r>
      <w:r w:rsidRPr="00633F3E">
        <w:rPr>
          <w:rFonts w:eastAsiaTheme="minorHAnsi"/>
          <w:lang w:eastAsia="en-US"/>
        </w:rPr>
        <w:t xml:space="preserve">ealth </w:t>
      </w:r>
      <w:r>
        <w:rPr>
          <w:rFonts w:eastAsiaTheme="minorHAnsi"/>
          <w:lang w:eastAsia="en-US"/>
        </w:rPr>
        <w:t>of</w:t>
      </w:r>
      <w:r w:rsidRPr="00633F3E">
        <w:rPr>
          <w:rFonts w:eastAsiaTheme="minorHAnsi"/>
          <w:lang w:eastAsia="en-US"/>
        </w:rPr>
        <w:t xml:space="preserve"> </w:t>
      </w:r>
      <w:r>
        <w:rPr>
          <w:rFonts w:eastAsiaTheme="minorHAnsi"/>
          <w:lang w:eastAsia="en-US"/>
        </w:rPr>
        <w:t>y</w:t>
      </w:r>
      <w:r w:rsidRPr="00633F3E">
        <w:rPr>
          <w:rFonts w:eastAsiaTheme="minorHAnsi"/>
          <w:lang w:eastAsia="en-US"/>
        </w:rPr>
        <w:t xml:space="preserve">oung </w:t>
      </w:r>
      <w:r>
        <w:rPr>
          <w:rFonts w:eastAsiaTheme="minorHAnsi"/>
          <w:lang w:eastAsia="en-US"/>
        </w:rPr>
        <w:t>p</w:t>
      </w:r>
      <w:r w:rsidRPr="00633F3E">
        <w:rPr>
          <w:rFonts w:eastAsiaTheme="minorHAnsi"/>
          <w:lang w:eastAsia="en-US"/>
        </w:rPr>
        <w:t>eople</w:t>
      </w:r>
    </w:p>
    <w:p w14:paraId="57A49FC6" w14:textId="77777777" w:rsidR="007F5DB3" w:rsidRPr="00633F3E" w:rsidRDefault="007F5DB3" w:rsidP="007F5DB3">
      <w:pPr>
        <w:pStyle w:val="ListParagraph"/>
        <w:numPr>
          <w:ilvl w:val="0"/>
          <w:numId w:val="56"/>
        </w:numPr>
        <w:rPr>
          <w:rFonts w:eastAsiaTheme="minorHAnsi"/>
          <w:lang w:eastAsia="en-US"/>
        </w:rPr>
      </w:pPr>
      <w:r>
        <w:rPr>
          <w:rFonts w:eastAsiaTheme="minorHAnsi"/>
          <w:lang w:eastAsia="en-US"/>
        </w:rPr>
        <w:t xml:space="preserve">£654k - a </w:t>
      </w:r>
      <w:proofErr w:type="spellStart"/>
      <w:r w:rsidRPr="00633F3E">
        <w:rPr>
          <w:rFonts w:eastAsiaTheme="minorHAnsi"/>
          <w:lang w:eastAsia="en-US"/>
        </w:rPr>
        <w:t>Covid</w:t>
      </w:r>
      <w:proofErr w:type="spellEnd"/>
      <w:r w:rsidRPr="00633F3E">
        <w:rPr>
          <w:rFonts w:eastAsiaTheme="minorHAnsi"/>
          <w:lang w:eastAsia="en-US"/>
        </w:rPr>
        <w:t xml:space="preserve"> Recovery Fund</w:t>
      </w:r>
    </w:p>
    <w:p w14:paraId="619240AD" w14:textId="77777777" w:rsidR="007F5DB3" w:rsidRPr="00AC4D7B" w:rsidRDefault="007F5DB3" w:rsidP="007F5DB3">
      <w:pPr>
        <w:rPr>
          <w:b/>
          <w:bCs/>
          <w:lang w:eastAsia="en-US"/>
        </w:rPr>
      </w:pPr>
    </w:p>
    <w:p w14:paraId="42C80D35" w14:textId="77777777" w:rsidR="007F5DB3" w:rsidRPr="00AC4D7B" w:rsidRDefault="007F5DB3" w:rsidP="007F5DB3">
      <w:pPr>
        <w:rPr>
          <w:b/>
          <w:bCs/>
        </w:rPr>
      </w:pPr>
      <w:r w:rsidRPr="00AC4D7B">
        <w:rPr>
          <w:b/>
          <w:bCs/>
        </w:rPr>
        <w:t>Outlook for the Future</w:t>
      </w:r>
    </w:p>
    <w:p w14:paraId="0FAF745C" w14:textId="77777777" w:rsidR="007F5DB3" w:rsidRPr="00AC4D7B" w:rsidRDefault="007F5DB3" w:rsidP="007F5DB3">
      <w:pPr>
        <w:rPr>
          <w:rFonts w:cs="Arial"/>
          <w:b/>
          <w:i/>
        </w:rPr>
      </w:pPr>
    </w:p>
    <w:p w14:paraId="590FB98C" w14:textId="77777777" w:rsidR="007F5DB3" w:rsidRPr="00AC4D7B" w:rsidRDefault="007F5DB3" w:rsidP="007F5DB3">
      <w:pPr>
        <w:rPr>
          <w:bCs/>
        </w:rPr>
      </w:pPr>
      <w:r w:rsidRPr="00AC4D7B">
        <w:rPr>
          <w:bCs/>
        </w:rPr>
        <w:t xml:space="preserve">All local authorities are facing challenges as a result of changes to the funding from Government through the Fair Funding Review which was due in the Autumn of 2019.  This was postponed to </w:t>
      </w:r>
      <w:r>
        <w:rPr>
          <w:bCs/>
        </w:rPr>
        <w:t>at least 2022/23</w:t>
      </w:r>
      <w:r w:rsidRPr="00AC4D7B">
        <w:rPr>
          <w:bCs/>
        </w:rPr>
        <w:t xml:space="preserve"> due to BREXIT </w:t>
      </w:r>
      <w:r>
        <w:rPr>
          <w:bCs/>
        </w:rPr>
        <w:t>and then as a result of the Covid-</w:t>
      </w:r>
      <w:r w:rsidRPr="00AC4D7B">
        <w:rPr>
          <w:bCs/>
        </w:rPr>
        <w:t xml:space="preserve">9 pandemic. In </w:t>
      </w:r>
      <w:r>
        <w:rPr>
          <w:bCs/>
        </w:rPr>
        <w:t>February</w:t>
      </w:r>
      <w:r w:rsidRPr="00AC4D7B">
        <w:rPr>
          <w:bCs/>
        </w:rPr>
        <w:t xml:space="preserve"> </w:t>
      </w:r>
      <w:r>
        <w:rPr>
          <w:bCs/>
        </w:rPr>
        <w:t>2021</w:t>
      </w:r>
      <w:r w:rsidRPr="00AC4D7B">
        <w:rPr>
          <w:bCs/>
        </w:rPr>
        <w:t xml:space="preserve">, the Council updated its MTFS </w:t>
      </w:r>
      <w:r>
        <w:rPr>
          <w:bCs/>
        </w:rPr>
        <w:t xml:space="preserve">to </w:t>
      </w:r>
      <w:r w:rsidRPr="00AC4D7B">
        <w:rPr>
          <w:bCs/>
        </w:rPr>
        <w:t>reflect the Council’s new corporate priorities</w:t>
      </w:r>
      <w:r>
        <w:rPr>
          <w:bCs/>
        </w:rPr>
        <w:t>,</w:t>
      </w:r>
      <w:r w:rsidRPr="00AC4D7B">
        <w:rPr>
          <w:bCs/>
        </w:rPr>
        <w:t xml:space="preserve"> and baselined changes in funding and expenditure. Gaps between the budget required and likely funding available were approved by Full Council</w:t>
      </w:r>
      <w:r>
        <w:rPr>
          <w:bCs/>
        </w:rPr>
        <w:t>,</w:t>
      </w:r>
      <w:r w:rsidRPr="00AC4D7B">
        <w:rPr>
          <w:bCs/>
        </w:rPr>
        <w:t xml:space="preserve"> based on prudent economic growth and Council Tax increases to achieve a balanced </w:t>
      </w:r>
      <w:proofErr w:type="gramStart"/>
      <w:r>
        <w:rPr>
          <w:bCs/>
        </w:rPr>
        <w:t>three</w:t>
      </w:r>
      <w:r w:rsidRPr="00AC4D7B">
        <w:rPr>
          <w:bCs/>
        </w:rPr>
        <w:t xml:space="preserve"> year</w:t>
      </w:r>
      <w:proofErr w:type="gramEnd"/>
      <w:r w:rsidRPr="00AC4D7B">
        <w:rPr>
          <w:bCs/>
        </w:rPr>
        <w:t xml:space="preserve"> Medium Term Financial Strateg</w:t>
      </w:r>
      <w:r>
        <w:rPr>
          <w:bCs/>
        </w:rPr>
        <w:t>y</w:t>
      </w:r>
      <w:r w:rsidRPr="00AC4D7B">
        <w:rPr>
          <w:bCs/>
        </w:rPr>
        <w:t xml:space="preserve">.  </w:t>
      </w:r>
      <w:r>
        <w:rPr>
          <w:bCs/>
        </w:rPr>
        <w:t xml:space="preserve">There are significant savings identified due to the assumed drop in business rates income. The Council is developing a Transformation Plan to close the budget gap through the delivery of savings and/or generation of additional income. </w:t>
      </w:r>
      <w:r w:rsidRPr="00AC4D7B">
        <w:rPr>
          <w:bCs/>
        </w:rPr>
        <w:t xml:space="preserve">The MTFS is kept under constant review in order to take account of changes in demand </w:t>
      </w:r>
      <w:r>
        <w:rPr>
          <w:bCs/>
        </w:rPr>
        <w:t>and/</w:t>
      </w:r>
      <w:r w:rsidRPr="00AC4D7B">
        <w:rPr>
          <w:bCs/>
        </w:rPr>
        <w:t xml:space="preserve">or funding that may impact on the financial position going forward.  This is especially important as the Council assists in the national recovery from </w:t>
      </w:r>
      <w:proofErr w:type="spellStart"/>
      <w:r>
        <w:rPr>
          <w:bCs/>
        </w:rPr>
        <w:t>th</w:t>
      </w:r>
      <w:proofErr w:type="spellEnd"/>
      <w:r>
        <w:rPr>
          <w:bCs/>
        </w:rPr>
        <w:t xml:space="preserve"> pandemic.</w:t>
      </w:r>
      <w:r w:rsidRPr="00AC4D7B">
        <w:rPr>
          <w:bCs/>
        </w:rPr>
        <w:t xml:space="preserve">  </w:t>
      </w:r>
    </w:p>
    <w:p w14:paraId="4B4E1EAE" w14:textId="77777777" w:rsidR="007F5DB3" w:rsidRPr="00AC4D7B" w:rsidRDefault="007F5DB3" w:rsidP="007F5DB3">
      <w:pPr>
        <w:rPr>
          <w:bCs/>
        </w:rPr>
      </w:pPr>
    </w:p>
    <w:p w14:paraId="0EFBC57E" w14:textId="77777777" w:rsidR="007F5DB3" w:rsidRDefault="007F5DB3" w:rsidP="007F5DB3">
      <w:pPr>
        <w:rPr>
          <w:bCs/>
        </w:rPr>
      </w:pPr>
      <w:r w:rsidRPr="00AC4D7B">
        <w:rPr>
          <w:bCs/>
        </w:rPr>
        <w:t xml:space="preserve">Efficiencies identified and reported in previous years will continue to be developed and options for the delivery of more efficiency savings and investment returns are being created.  The Council </w:t>
      </w:r>
      <w:r>
        <w:rPr>
          <w:bCs/>
        </w:rPr>
        <w:t xml:space="preserve">is </w:t>
      </w:r>
      <w:r w:rsidRPr="00AC4D7B">
        <w:rPr>
          <w:bCs/>
        </w:rPr>
        <w:t xml:space="preserve">also </w:t>
      </w:r>
      <w:r>
        <w:rPr>
          <w:bCs/>
        </w:rPr>
        <w:t>developing</w:t>
      </w:r>
      <w:r w:rsidRPr="00AC4D7B">
        <w:rPr>
          <w:bCs/>
        </w:rPr>
        <w:t xml:space="preserve"> robust arrangements to ensure that plans for efficiencies are realistic and deliverable over agreed timescales.  Updates are provided to Cabinet at regular intervals</w:t>
      </w:r>
      <w:r>
        <w:rPr>
          <w:bCs/>
        </w:rPr>
        <w:t xml:space="preserve"> and the Council is developing the delivery of the Transformation Strategy.</w:t>
      </w:r>
      <w:r w:rsidRPr="00AC4D7B">
        <w:rPr>
          <w:bCs/>
        </w:rPr>
        <w:t xml:space="preserve"> </w:t>
      </w:r>
    </w:p>
    <w:p w14:paraId="6BD422CD" w14:textId="77777777" w:rsidR="007F5DB3" w:rsidRDefault="007F5DB3" w:rsidP="007F5DB3">
      <w:pPr>
        <w:rPr>
          <w:bCs/>
        </w:rPr>
      </w:pPr>
    </w:p>
    <w:p w14:paraId="4447FCDF" w14:textId="77777777" w:rsidR="007F5DB3" w:rsidRPr="00AC4D7B" w:rsidRDefault="007F5DB3" w:rsidP="007F5DB3">
      <w:pPr>
        <w:rPr>
          <w:bCs/>
        </w:rPr>
      </w:pPr>
      <w:r w:rsidRPr="00AC4D7B">
        <w:rPr>
          <w:bCs/>
        </w:rPr>
        <w:t xml:space="preserve">The new </w:t>
      </w:r>
      <w:r>
        <w:rPr>
          <w:bCs/>
        </w:rPr>
        <w:t>C</w:t>
      </w:r>
      <w:r w:rsidRPr="00AC4D7B">
        <w:rPr>
          <w:bCs/>
        </w:rPr>
        <w:t xml:space="preserve">orporate </w:t>
      </w:r>
      <w:r>
        <w:rPr>
          <w:bCs/>
        </w:rPr>
        <w:t>P</w:t>
      </w:r>
      <w:r w:rsidRPr="00AC4D7B">
        <w:rPr>
          <w:bCs/>
        </w:rPr>
        <w:t xml:space="preserve">lan has been developed to set strategic projects to be delivered and a planned use of reserves </w:t>
      </w:r>
      <w:r>
        <w:rPr>
          <w:bCs/>
        </w:rPr>
        <w:t>for</w:t>
      </w:r>
      <w:r w:rsidRPr="00AC4D7B">
        <w:rPr>
          <w:bCs/>
        </w:rPr>
        <w:t xml:space="preserve"> investment priorities has been agreed that will see them reduce to </w:t>
      </w:r>
      <w:r>
        <w:rPr>
          <w:bCs/>
        </w:rPr>
        <w:t>£11.092m</w:t>
      </w:r>
      <w:r w:rsidRPr="00AC4D7B">
        <w:rPr>
          <w:bCs/>
        </w:rPr>
        <w:t xml:space="preserve"> by March 2024.  </w:t>
      </w:r>
    </w:p>
    <w:p w14:paraId="18BCCE28" w14:textId="77777777" w:rsidR="007F5DB3" w:rsidRPr="00AC4D7B" w:rsidRDefault="007F5DB3" w:rsidP="007F5DB3">
      <w:pPr>
        <w:rPr>
          <w:bCs/>
          <w:highlight w:val="yellow"/>
        </w:rPr>
      </w:pPr>
    </w:p>
    <w:p w14:paraId="1E3D9186" w14:textId="77777777" w:rsidR="007F5DB3" w:rsidRPr="00AC4D7B" w:rsidRDefault="007F5DB3" w:rsidP="007F5DB3">
      <w:pPr>
        <w:rPr>
          <w:bCs/>
        </w:rPr>
      </w:pPr>
      <w:r w:rsidRPr="00AC4D7B">
        <w:rPr>
          <w:bCs/>
        </w:rPr>
        <w:t xml:space="preserve">The Council is in a </w:t>
      </w:r>
      <w:r>
        <w:rPr>
          <w:bCs/>
        </w:rPr>
        <w:t xml:space="preserve">potentially </w:t>
      </w:r>
      <w:r w:rsidRPr="00AC4D7B">
        <w:rPr>
          <w:bCs/>
        </w:rPr>
        <w:t xml:space="preserve">high growth area for housing and business. As such it needs to manage this growth to ensure that the Council services and the wider infrastructure are reshaped accordingly. To deliver this the Council has embarked on an ambitious </w:t>
      </w:r>
      <w:r>
        <w:rPr>
          <w:bCs/>
        </w:rPr>
        <w:t>capital programme</w:t>
      </w:r>
      <w:r w:rsidRPr="00AC4D7B">
        <w:rPr>
          <w:bCs/>
        </w:rPr>
        <w:t xml:space="preserve"> utilising its own reserves, external funds and borrowing, where the appropriate business case exists to repay debt, to facilitate this transformational programme for its residents. This focus will be both on front line service delivery and back office support such that the Council has the resilience for growth from within existing resources. The Council also plans to deliver an ambitious housing programme to facilitate housing options for all tenures and ages within the wider borough.  Growth delivered without infrastructure can have negative environmental impacts such as Air Quality. Therefore at the same time the Council is investing in its Green Links programme to promote the wider Health Leisure and Wellbeing priorities associated with its Parks and Open Spaces and sports facilities as well as working with the County Council on highway infrastructure to offset these wider impacts. </w:t>
      </w:r>
    </w:p>
    <w:p w14:paraId="3B0495FA" w14:textId="77777777" w:rsidR="007F5DB3" w:rsidRPr="00AC4D7B" w:rsidRDefault="007F5DB3" w:rsidP="007F5DB3">
      <w:pPr>
        <w:rPr>
          <w:bCs/>
        </w:rPr>
      </w:pPr>
    </w:p>
    <w:p w14:paraId="39FA588F" w14:textId="77777777" w:rsidR="007F5DB3" w:rsidRPr="00AC4D7B" w:rsidRDefault="007F5DB3" w:rsidP="007F5DB3">
      <w:pPr>
        <w:rPr>
          <w:bCs/>
        </w:rPr>
      </w:pPr>
      <w:r w:rsidRPr="00AC4D7B">
        <w:rPr>
          <w:bCs/>
        </w:rPr>
        <w:t xml:space="preserve">As part of a </w:t>
      </w:r>
      <w:proofErr w:type="gramStart"/>
      <w:r w:rsidRPr="00AC4D7B">
        <w:rPr>
          <w:bCs/>
        </w:rPr>
        <w:t>longer term</w:t>
      </w:r>
      <w:proofErr w:type="gramEnd"/>
      <w:r w:rsidRPr="00AC4D7B">
        <w:rPr>
          <w:bCs/>
        </w:rPr>
        <w:t xml:space="preserve"> strategy</w:t>
      </w:r>
      <w:r>
        <w:rPr>
          <w:bCs/>
        </w:rPr>
        <w:t>,</w:t>
      </w:r>
      <w:r w:rsidRPr="00AC4D7B">
        <w:rPr>
          <w:bCs/>
        </w:rPr>
        <w:t xml:space="preserve"> a detailed asset review is being undertaken to identify those assets that are protected open spaces, retained for commercial purposes and those that can be released for housing or wider economic regeneration. Economic growth results in future employment and the Council will be analysing its core demographic data to ensure that opportunities are maximised to its residents.</w:t>
      </w:r>
    </w:p>
    <w:p w14:paraId="54243D64" w14:textId="77777777" w:rsidR="007F5DB3" w:rsidRPr="00AC4D7B" w:rsidRDefault="007F5DB3" w:rsidP="007F5DB3">
      <w:pPr>
        <w:rPr>
          <w:bCs/>
        </w:rPr>
      </w:pPr>
    </w:p>
    <w:p w14:paraId="0D53FE32" w14:textId="77777777" w:rsidR="007F5DB3" w:rsidRPr="00AC4D7B" w:rsidRDefault="007F5DB3" w:rsidP="007F5DB3">
      <w:pPr>
        <w:rPr>
          <w:bCs/>
        </w:rPr>
      </w:pPr>
      <w:r w:rsidRPr="00AC4D7B">
        <w:rPr>
          <w:bCs/>
        </w:rPr>
        <w:t xml:space="preserve">Overall the Council has a robust financial position over its </w:t>
      </w:r>
      <w:proofErr w:type="gramStart"/>
      <w:r w:rsidRPr="00AC4D7B">
        <w:rPr>
          <w:bCs/>
        </w:rPr>
        <w:t>Medium Term</w:t>
      </w:r>
      <w:proofErr w:type="gramEnd"/>
      <w:r w:rsidRPr="00AC4D7B">
        <w:rPr>
          <w:bCs/>
        </w:rPr>
        <w:t xml:space="preserve"> period</w:t>
      </w:r>
      <w:r>
        <w:rPr>
          <w:bCs/>
        </w:rPr>
        <w:t>,</w:t>
      </w:r>
      <w:r w:rsidRPr="00AC4D7B">
        <w:rPr>
          <w:bCs/>
        </w:rPr>
        <w:t xml:space="preserve"> </w:t>
      </w:r>
      <w:r>
        <w:rPr>
          <w:bCs/>
        </w:rPr>
        <w:t>h</w:t>
      </w:r>
      <w:r w:rsidRPr="00AC4D7B">
        <w:rPr>
          <w:bCs/>
        </w:rPr>
        <w:t>owever, as already stated the progress of these could be affected by the financial impact of the COVID 19 pandemic. The effects of this will be reviewed as appropriate.</w:t>
      </w:r>
    </w:p>
    <w:p w14:paraId="6A4B87F9" w14:textId="77777777" w:rsidR="007F5DB3" w:rsidRPr="00AC4D7B" w:rsidRDefault="007F5DB3" w:rsidP="007F5DB3"/>
    <w:p w14:paraId="6EAC440E" w14:textId="77777777" w:rsidR="007F5DB3" w:rsidRPr="00AC4D7B" w:rsidRDefault="007F5DB3" w:rsidP="007F5DB3">
      <w:pPr>
        <w:rPr>
          <w:b/>
          <w:bCs/>
        </w:rPr>
      </w:pPr>
      <w:r w:rsidRPr="00AC4D7B">
        <w:rPr>
          <w:b/>
          <w:bCs/>
        </w:rPr>
        <w:t>Treasury Management</w:t>
      </w:r>
    </w:p>
    <w:p w14:paraId="61BBBCCD" w14:textId="77777777" w:rsidR="007F5DB3" w:rsidRPr="00AC4D7B" w:rsidRDefault="007F5DB3" w:rsidP="007F5DB3">
      <w:pPr>
        <w:rPr>
          <w:rFonts w:cs="Courier New"/>
          <w:b/>
          <w:szCs w:val="22"/>
        </w:rPr>
      </w:pPr>
    </w:p>
    <w:p w14:paraId="7A46FE14" w14:textId="77777777" w:rsidR="007F5DB3" w:rsidRPr="00AC4D7B" w:rsidRDefault="007F5DB3" w:rsidP="007F5DB3">
      <w:pPr>
        <w:rPr>
          <w:rFonts w:cs="Courier New"/>
          <w:szCs w:val="22"/>
        </w:rPr>
      </w:pPr>
      <w:r w:rsidRPr="00AC4D7B">
        <w:rPr>
          <w:rFonts w:cs="Courier New"/>
          <w:szCs w:val="22"/>
        </w:rPr>
        <w:t xml:space="preserve">The treasury operations of the Council are conducted in accordance with its annual Treasury Strategy. This strategy document identifies the investment and borrowing policies of the Council over a three-year period, specifying, amongst other things, the criteria for investment counterparties, the maximum duration and amount of investments, and the need for borrowings.  </w:t>
      </w:r>
    </w:p>
    <w:p w14:paraId="108E3DE7" w14:textId="77777777" w:rsidR="007F5DB3" w:rsidRPr="00AC4D7B" w:rsidRDefault="007F5DB3" w:rsidP="007F5DB3">
      <w:pPr>
        <w:rPr>
          <w:rFonts w:cs="Courier New"/>
          <w:szCs w:val="22"/>
        </w:rPr>
      </w:pPr>
    </w:p>
    <w:p w14:paraId="3BE98B7A" w14:textId="77777777" w:rsidR="007F5DB3" w:rsidRPr="00AC4D7B" w:rsidRDefault="007F5DB3" w:rsidP="007F5DB3">
      <w:pPr>
        <w:rPr>
          <w:rFonts w:cs="Arial"/>
          <w:szCs w:val="22"/>
        </w:rPr>
      </w:pPr>
      <w:r w:rsidRPr="00AC4D7B">
        <w:rPr>
          <w:rFonts w:cs="Arial"/>
          <w:szCs w:val="22"/>
        </w:rPr>
        <w:t xml:space="preserve">The key facts for </w:t>
      </w:r>
      <w:r>
        <w:rPr>
          <w:rFonts w:cs="Arial"/>
          <w:szCs w:val="22"/>
        </w:rPr>
        <w:t>2020/21</w:t>
      </w:r>
      <w:r w:rsidRPr="00AC4D7B">
        <w:rPr>
          <w:rFonts w:cs="Arial"/>
          <w:szCs w:val="22"/>
        </w:rPr>
        <w:t xml:space="preserve"> were:</w:t>
      </w:r>
    </w:p>
    <w:p w14:paraId="0998A8E1" w14:textId="77777777" w:rsidR="007F5DB3" w:rsidRPr="00AC4D7B" w:rsidRDefault="007F5DB3" w:rsidP="007F5DB3">
      <w:pPr>
        <w:pStyle w:val="ListParagraph"/>
        <w:numPr>
          <w:ilvl w:val="0"/>
          <w:numId w:val="48"/>
        </w:numPr>
        <w:rPr>
          <w:rFonts w:cs="Arial"/>
          <w:szCs w:val="22"/>
        </w:rPr>
      </w:pPr>
      <w:r w:rsidRPr="00AC4D7B">
        <w:rPr>
          <w:rFonts w:cs="Arial"/>
          <w:szCs w:val="22"/>
        </w:rPr>
        <w:t>Investments were short-term, the maximum period permitted by the Council’s Treasury Strategy being one year.</w:t>
      </w:r>
    </w:p>
    <w:p w14:paraId="4093863F" w14:textId="77777777" w:rsidR="007F5DB3" w:rsidRDefault="007F5DB3" w:rsidP="007F5DB3">
      <w:pPr>
        <w:pStyle w:val="ListParagraph"/>
        <w:numPr>
          <w:ilvl w:val="0"/>
          <w:numId w:val="48"/>
        </w:numPr>
        <w:rPr>
          <w:rFonts w:cs="Arial"/>
          <w:szCs w:val="22"/>
        </w:rPr>
      </w:pPr>
      <w:r w:rsidRPr="00575CCB">
        <w:rPr>
          <w:rFonts w:cs="Arial"/>
          <w:szCs w:val="22"/>
        </w:rPr>
        <w:t>The average cash balance invested was £50.089m at an average rate of 0.3</w:t>
      </w:r>
      <w:r>
        <w:rPr>
          <w:rFonts w:cs="Arial"/>
          <w:szCs w:val="22"/>
        </w:rPr>
        <w:t>6</w:t>
      </w:r>
      <w:r w:rsidRPr="00575CCB">
        <w:rPr>
          <w:rFonts w:cs="Arial"/>
          <w:szCs w:val="22"/>
        </w:rPr>
        <w:t xml:space="preserve">% and generated £0.177m of interest during the year. </w:t>
      </w:r>
    </w:p>
    <w:p w14:paraId="7691F5CD" w14:textId="77777777" w:rsidR="007F5DB3" w:rsidRPr="00AC4D7B" w:rsidRDefault="007F5DB3" w:rsidP="007F5DB3">
      <w:pPr>
        <w:pStyle w:val="ListParagraph"/>
        <w:numPr>
          <w:ilvl w:val="0"/>
          <w:numId w:val="48"/>
        </w:numPr>
        <w:rPr>
          <w:rFonts w:cs="Arial"/>
          <w:szCs w:val="22"/>
        </w:rPr>
      </w:pPr>
      <w:r w:rsidRPr="00AC4D7B">
        <w:rPr>
          <w:rFonts w:cs="Arial"/>
          <w:szCs w:val="22"/>
        </w:rPr>
        <w:t xml:space="preserve">No new Prudential Borrowing was entered into to finance capital expenditure, either from external loans or from internal cash balances. </w:t>
      </w:r>
    </w:p>
    <w:p w14:paraId="588FAE49" w14:textId="77777777" w:rsidR="007F5DB3" w:rsidRPr="00AC4D7B" w:rsidRDefault="007F5DB3" w:rsidP="007F5DB3">
      <w:pPr>
        <w:rPr>
          <w:rFonts w:cs="Courier New"/>
          <w:szCs w:val="22"/>
        </w:rPr>
      </w:pPr>
    </w:p>
    <w:p w14:paraId="1B1E0741" w14:textId="77777777" w:rsidR="007F5DB3" w:rsidRPr="00AC4D7B" w:rsidRDefault="007F5DB3" w:rsidP="007F5DB3">
      <w:pPr>
        <w:rPr>
          <w:b/>
          <w:bCs/>
        </w:rPr>
      </w:pPr>
      <w:bookmarkStart w:id="7" w:name="_Hlk48814610"/>
      <w:r w:rsidRPr="00AC4D7B">
        <w:rPr>
          <w:b/>
          <w:bCs/>
        </w:rPr>
        <w:t>Pension Fund Liability</w:t>
      </w:r>
    </w:p>
    <w:p w14:paraId="6A090F32" w14:textId="77777777" w:rsidR="007F5DB3" w:rsidRPr="00AC4D7B" w:rsidRDefault="007F5DB3" w:rsidP="007F5DB3">
      <w:pPr>
        <w:rPr>
          <w:rFonts w:cs="Courier New"/>
          <w:b/>
          <w:szCs w:val="22"/>
          <w:u w:val="single"/>
        </w:rPr>
      </w:pPr>
    </w:p>
    <w:p w14:paraId="7898CF0C" w14:textId="77777777" w:rsidR="007F5DB3" w:rsidRPr="00AC4D7B" w:rsidRDefault="007F5DB3" w:rsidP="007F5DB3">
      <w:pPr>
        <w:rPr>
          <w:rFonts w:cs="Courier New"/>
          <w:szCs w:val="22"/>
        </w:rPr>
      </w:pPr>
      <w:r w:rsidRPr="00AC4D7B">
        <w:rPr>
          <w:rFonts w:cs="Courier New"/>
          <w:szCs w:val="22"/>
        </w:rPr>
        <w:t xml:space="preserve">The pension fund deficit has </w:t>
      </w:r>
      <w:r>
        <w:rPr>
          <w:rFonts w:cs="Courier New"/>
          <w:szCs w:val="22"/>
        </w:rPr>
        <w:t>increas</w:t>
      </w:r>
      <w:r w:rsidRPr="00AC4D7B">
        <w:rPr>
          <w:rFonts w:cs="Courier New"/>
          <w:szCs w:val="22"/>
        </w:rPr>
        <w:t xml:space="preserve">ed during the year </w:t>
      </w:r>
      <w:r w:rsidRPr="008B595A">
        <w:rPr>
          <w:rFonts w:cs="Courier New"/>
          <w:szCs w:val="22"/>
        </w:rPr>
        <w:t>by £10.164m, from £29.842m to £46.006m</w:t>
      </w:r>
      <w:r>
        <w:rPr>
          <w:rFonts w:cs="Courier New"/>
          <w:szCs w:val="22"/>
        </w:rPr>
        <w:t>.</w:t>
      </w:r>
      <w:r w:rsidRPr="00AC4D7B">
        <w:rPr>
          <w:rFonts w:cs="Courier New"/>
          <w:szCs w:val="22"/>
        </w:rPr>
        <w:t xml:space="preserve">  This reflects the value of pension liabilities which the Council is required to pay in the future when they fall due, offset by the value of assets invested in the pension fund.  </w:t>
      </w:r>
      <w:r>
        <w:rPr>
          <w:rFonts w:cs="Courier New"/>
          <w:szCs w:val="22"/>
        </w:rPr>
        <w:t>T</w:t>
      </w:r>
      <w:r w:rsidRPr="00AC4D7B">
        <w:rPr>
          <w:rFonts w:cs="Courier New"/>
          <w:szCs w:val="22"/>
        </w:rPr>
        <w:t xml:space="preserve">he Council’s pension fund </w:t>
      </w:r>
      <w:r>
        <w:rPr>
          <w:rFonts w:cs="Courier New"/>
          <w:szCs w:val="22"/>
        </w:rPr>
        <w:t xml:space="preserve">is </w:t>
      </w:r>
      <w:r w:rsidRPr="00AC4D7B">
        <w:rPr>
          <w:rFonts w:cs="Courier New"/>
          <w:szCs w:val="22"/>
        </w:rPr>
        <w:t>revalued every three years to set future contributions into the fund</w:t>
      </w:r>
      <w:r>
        <w:rPr>
          <w:rFonts w:cs="Courier New"/>
          <w:szCs w:val="22"/>
        </w:rPr>
        <w:t>;</w:t>
      </w:r>
      <w:r w:rsidRPr="00AC4D7B">
        <w:rPr>
          <w:rFonts w:cs="Courier New"/>
          <w:szCs w:val="22"/>
        </w:rPr>
        <w:t xml:space="preserve"> </w:t>
      </w:r>
      <w:r>
        <w:rPr>
          <w:rFonts w:cs="Courier New"/>
          <w:szCs w:val="22"/>
        </w:rPr>
        <w:t>t</w:t>
      </w:r>
      <w:r w:rsidRPr="00AC4D7B">
        <w:rPr>
          <w:rFonts w:cs="Courier New"/>
          <w:szCs w:val="22"/>
        </w:rPr>
        <w:t>he la</w:t>
      </w:r>
      <w:r>
        <w:rPr>
          <w:rFonts w:cs="Courier New"/>
          <w:szCs w:val="22"/>
        </w:rPr>
        <w:t>st</w:t>
      </w:r>
      <w:r w:rsidRPr="00AC4D7B">
        <w:rPr>
          <w:rFonts w:cs="Courier New"/>
          <w:szCs w:val="22"/>
        </w:rPr>
        <w:t xml:space="preserve"> valuation was </w:t>
      </w:r>
      <w:r>
        <w:rPr>
          <w:rFonts w:cs="Courier New"/>
          <w:szCs w:val="22"/>
        </w:rPr>
        <w:t xml:space="preserve">undertaken </w:t>
      </w:r>
      <w:r w:rsidRPr="00AC4D7B">
        <w:rPr>
          <w:rFonts w:cs="Courier New"/>
          <w:szCs w:val="22"/>
        </w:rPr>
        <w:t>in 2019 which reported a funding level of just over 100%, the result of the Lancashire County Pension Fund being one of the most successful Local Authority funds in the country.  The Council has a deficit recovery plan in place with the Administering Authority</w:t>
      </w:r>
      <w:r>
        <w:rPr>
          <w:rFonts w:cs="Courier New"/>
          <w:szCs w:val="22"/>
        </w:rPr>
        <w:t xml:space="preserve"> which aims</w:t>
      </w:r>
      <w:r w:rsidRPr="00AC4D7B">
        <w:rPr>
          <w:rFonts w:cs="Courier New"/>
          <w:szCs w:val="22"/>
        </w:rPr>
        <w:t xml:space="preserve"> to maintain a 100% funding level by making additional Deficit Recovery Contributions over a </w:t>
      </w:r>
      <w:proofErr w:type="gramStart"/>
      <w:r w:rsidRPr="00AC4D7B">
        <w:rPr>
          <w:rFonts w:cs="Courier New"/>
          <w:szCs w:val="22"/>
        </w:rPr>
        <w:t>16 year</w:t>
      </w:r>
      <w:proofErr w:type="gramEnd"/>
      <w:r w:rsidRPr="00AC4D7B">
        <w:rPr>
          <w:rFonts w:cs="Courier New"/>
          <w:szCs w:val="22"/>
        </w:rPr>
        <w:t xml:space="preserve"> period.</w:t>
      </w:r>
    </w:p>
    <w:p w14:paraId="194BF00E" w14:textId="77777777" w:rsidR="007F5DB3" w:rsidRPr="00AC4D7B" w:rsidRDefault="007F5DB3" w:rsidP="007F5DB3">
      <w:pPr>
        <w:rPr>
          <w:rFonts w:cs="Courier New"/>
          <w:szCs w:val="22"/>
        </w:rPr>
      </w:pPr>
    </w:p>
    <w:p w14:paraId="114503C2" w14:textId="77777777" w:rsidR="007F5DB3" w:rsidRPr="00AC4D7B" w:rsidRDefault="007F5DB3" w:rsidP="007F5DB3">
      <w:pPr>
        <w:rPr>
          <w:rFonts w:cs="Courier New"/>
          <w:szCs w:val="22"/>
        </w:rPr>
      </w:pPr>
      <w:r w:rsidRPr="00AC4D7B">
        <w:rPr>
          <w:rFonts w:cs="Courier New"/>
          <w:szCs w:val="22"/>
        </w:rPr>
        <w:t>This deficit figure is an estimate, b</w:t>
      </w:r>
      <w:r>
        <w:rPr>
          <w:rFonts w:cs="Courier New"/>
          <w:szCs w:val="22"/>
        </w:rPr>
        <w:t xml:space="preserve">ased on </w:t>
      </w:r>
      <w:r w:rsidRPr="00AC4D7B">
        <w:rPr>
          <w:rFonts w:cs="Courier New"/>
          <w:szCs w:val="22"/>
        </w:rPr>
        <w:t>the actuary’s assessment of the present value of the liabilities to be met by the fund over a long period</w:t>
      </w:r>
      <w:r>
        <w:rPr>
          <w:rFonts w:cs="Courier New"/>
          <w:szCs w:val="22"/>
        </w:rPr>
        <w:t>,</w:t>
      </w:r>
      <w:r w:rsidRPr="00AC4D7B">
        <w:rPr>
          <w:rFonts w:cs="Courier New"/>
          <w:szCs w:val="22"/>
        </w:rPr>
        <w:t xml:space="preserve"> less its current assets and anticipated future receipts. Note </w:t>
      </w:r>
      <w:r w:rsidRPr="00AC4D7B">
        <w:rPr>
          <w:rFonts w:cs="Courier New"/>
          <w:szCs w:val="22"/>
        </w:rPr>
        <w:fldChar w:fldCharType="begin"/>
      </w:r>
      <w:r w:rsidRPr="00AC4D7B">
        <w:rPr>
          <w:rFonts w:cs="Courier New"/>
          <w:szCs w:val="22"/>
        </w:rPr>
        <w:instrText xml:space="preserve"> REF _Ref514851600 \n \h  \* MERGEFORMAT </w:instrText>
      </w:r>
      <w:r w:rsidRPr="00AC4D7B">
        <w:rPr>
          <w:rFonts w:cs="Courier New"/>
          <w:szCs w:val="22"/>
        </w:rPr>
      </w:r>
      <w:r w:rsidRPr="00AC4D7B">
        <w:rPr>
          <w:rFonts w:cs="Courier New"/>
          <w:szCs w:val="22"/>
        </w:rPr>
        <w:fldChar w:fldCharType="separate"/>
      </w:r>
      <w:r w:rsidRPr="00AC4D7B">
        <w:rPr>
          <w:rFonts w:cs="Courier New"/>
          <w:szCs w:val="22"/>
        </w:rPr>
        <w:t>37</w:t>
      </w:r>
      <w:r w:rsidRPr="00AC4D7B">
        <w:rPr>
          <w:rFonts w:cs="Courier New"/>
          <w:szCs w:val="22"/>
        </w:rPr>
        <w:fldChar w:fldCharType="end"/>
      </w:r>
      <w:r w:rsidRPr="00AC4D7B">
        <w:rPr>
          <w:rFonts w:cs="Courier New"/>
          <w:szCs w:val="22"/>
        </w:rPr>
        <w:t xml:space="preserve"> presents detailed information about the Defined Benefit Pension Scheme.</w:t>
      </w:r>
    </w:p>
    <w:bookmarkEnd w:id="7"/>
    <w:p w14:paraId="1FADE592" w14:textId="77777777" w:rsidR="007F5DB3" w:rsidRPr="00AC4D7B" w:rsidRDefault="007F5DB3" w:rsidP="007F5DB3">
      <w:pPr>
        <w:rPr>
          <w:rFonts w:cs="Courier New"/>
          <w:szCs w:val="22"/>
        </w:rPr>
      </w:pPr>
    </w:p>
    <w:p w14:paraId="64989F3E" w14:textId="77777777" w:rsidR="00254922" w:rsidRDefault="00254922">
      <w:pPr>
        <w:jc w:val="left"/>
        <w:rPr>
          <w:b/>
          <w:bCs/>
        </w:rPr>
      </w:pPr>
      <w:bookmarkStart w:id="8" w:name="_Hlk76726176"/>
      <w:r>
        <w:rPr>
          <w:b/>
          <w:bCs/>
        </w:rPr>
        <w:br w:type="page"/>
      </w:r>
    </w:p>
    <w:p w14:paraId="6D4CDF70" w14:textId="75C368CE" w:rsidR="007F5DB3" w:rsidRPr="00AC4D7B" w:rsidRDefault="007F5DB3" w:rsidP="007F5DB3">
      <w:pPr>
        <w:rPr>
          <w:b/>
          <w:bCs/>
        </w:rPr>
      </w:pPr>
      <w:r w:rsidRPr="00AC4D7B">
        <w:rPr>
          <w:b/>
          <w:bCs/>
        </w:rPr>
        <w:t>Main Accounting Changes</w:t>
      </w:r>
    </w:p>
    <w:p w14:paraId="3924BDE1" w14:textId="77777777" w:rsidR="007F5DB3" w:rsidRPr="00AC4D7B" w:rsidRDefault="007F5DB3" w:rsidP="007F5DB3">
      <w:pPr>
        <w:rPr>
          <w:b/>
          <w:lang w:eastAsia="en-US"/>
        </w:rPr>
      </w:pPr>
    </w:p>
    <w:p w14:paraId="519533AF" w14:textId="77777777" w:rsidR="007F5DB3" w:rsidRDefault="007F5DB3" w:rsidP="007F5DB3">
      <w:pPr>
        <w:rPr>
          <w:rFonts w:cs="Courier New"/>
          <w:szCs w:val="22"/>
        </w:rPr>
      </w:pPr>
      <w:r w:rsidRPr="00581CEF">
        <w:rPr>
          <w:rFonts w:cs="Courier New"/>
          <w:szCs w:val="22"/>
        </w:rPr>
        <w:t>The new or amended international financial reporting standards or international accounting standards introduced by the Code of Practice on Local Authority Accounting in the United Kingdom 2020/21 include:</w:t>
      </w:r>
    </w:p>
    <w:p w14:paraId="63EC9D55" w14:textId="77777777" w:rsidR="007F5DB3" w:rsidRPr="00581CEF" w:rsidRDefault="007F5DB3" w:rsidP="007F5DB3">
      <w:pPr>
        <w:rPr>
          <w:rFonts w:cs="Courier New"/>
          <w:szCs w:val="22"/>
        </w:rPr>
      </w:pPr>
    </w:p>
    <w:p w14:paraId="075CC124" w14:textId="77777777" w:rsidR="007F5DB3" w:rsidRPr="00581CEF" w:rsidRDefault="007F5DB3" w:rsidP="007F5DB3">
      <w:pPr>
        <w:pStyle w:val="pa24"/>
        <w:numPr>
          <w:ilvl w:val="0"/>
          <w:numId w:val="53"/>
        </w:numPr>
        <w:spacing w:before="120" w:beforeAutospacing="0" w:after="0" w:afterAutospacing="0"/>
        <w:rPr>
          <w:rFonts w:ascii="Arial" w:eastAsia="Times New Roman" w:hAnsi="Arial" w:cs="Arial"/>
          <w:color w:val="000000"/>
          <w:sz w:val="24"/>
          <w:szCs w:val="24"/>
        </w:rPr>
      </w:pPr>
      <w:r w:rsidRPr="00581CEF">
        <w:rPr>
          <w:rFonts w:ascii="Arial" w:eastAsia="Times New Roman" w:hAnsi="Arial" w:cs="Arial"/>
          <w:color w:val="000000"/>
        </w:rPr>
        <w:t xml:space="preserve">Amendments to IAS 1 Presentation of Financial Statements and IAS 8: Accounting Policies, Changes in Accounting Estimates and Errors: Definition of Material </w:t>
      </w:r>
    </w:p>
    <w:p w14:paraId="0C6A2DD7" w14:textId="77777777" w:rsidR="007F5DB3" w:rsidRPr="00581CEF" w:rsidRDefault="007F5DB3" w:rsidP="007F5DB3">
      <w:pPr>
        <w:pStyle w:val="pa24"/>
        <w:numPr>
          <w:ilvl w:val="0"/>
          <w:numId w:val="53"/>
        </w:numPr>
        <w:spacing w:before="120" w:beforeAutospacing="0" w:after="0" w:afterAutospacing="0"/>
        <w:rPr>
          <w:rFonts w:ascii="Arial" w:eastAsia="Times New Roman" w:hAnsi="Arial" w:cs="Arial"/>
          <w:color w:val="000000"/>
          <w:sz w:val="24"/>
          <w:szCs w:val="24"/>
        </w:rPr>
      </w:pPr>
      <w:r w:rsidRPr="00581CEF">
        <w:rPr>
          <w:rFonts w:ascii="Arial" w:eastAsia="Times New Roman" w:hAnsi="Arial" w:cs="Arial"/>
          <w:color w:val="000000"/>
        </w:rPr>
        <w:t xml:space="preserve">Amendments to IAS 28 Investments in Associates and Joint Ventures: Long-term Interests in Associates and Joint Ventures </w:t>
      </w:r>
    </w:p>
    <w:p w14:paraId="606D4794" w14:textId="77777777" w:rsidR="007F5DB3" w:rsidRPr="00581CEF" w:rsidRDefault="007F5DB3" w:rsidP="007F5DB3">
      <w:pPr>
        <w:pStyle w:val="pa24"/>
        <w:numPr>
          <w:ilvl w:val="0"/>
          <w:numId w:val="53"/>
        </w:numPr>
        <w:spacing w:before="120" w:beforeAutospacing="0" w:after="0" w:afterAutospacing="0"/>
        <w:rPr>
          <w:rFonts w:ascii="Arial" w:eastAsia="Times New Roman" w:hAnsi="Arial" w:cs="Arial"/>
          <w:color w:val="000000"/>
          <w:sz w:val="24"/>
          <w:szCs w:val="24"/>
        </w:rPr>
      </w:pPr>
      <w:r w:rsidRPr="00581CEF">
        <w:rPr>
          <w:rFonts w:ascii="Arial" w:eastAsia="Times New Roman" w:hAnsi="Arial" w:cs="Arial"/>
          <w:color w:val="000000"/>
        </w:rPr>
        <w:t xml:space="preserve">Annual Improvements to IFRS Standards 2015-2017 Cycle. The amendments affect: </w:t>
      </w:r>
    </w:p>
    <w:p w14:paraId="5B5FD4A0" w14:textId="77777777" w:rsidR="007F5DB3" w:rsidRPr="00581CEF" w:rsidRDefault="007F5DB3" w:rsidP="007F5DB3">
      <w:pPr>
        <w:pStyle w:val="default0"/>
        <w:numPr>
          <w:ilvl w:val="1"/>
          <w:numId w:val="53"/>
        </w:numPr>
        <w:spacing w:before="0" w:beforeAutospacing="0" w:after="0" w:afterAutospacing="0"/>
        <w:rPr>
          <w:rFonts w:ascii="Arial" w:eastAsia="Times New Roman" w:hAnsi="Arial" w:cs="Arial"/>
          <w:color w:val="000000"/>
          <w:sz w:val="24"/>
          <w:szCs w:val="24"/>
        </w:rPr>
      </w:pPr>
      <w:r w:rsidRPr="00581CEF">
        <w:rPr>
          <w:rFonts w:ascii="Arial" w:eastAsia="Times New Roman" w:hAnsi="Arial" w:cs="Arial"/>
          <w:color w:val="000000"/>
        </w:rPr>
        <w:t>IFRS 3 Business Combinations and IFRS 11 Joint Arrangements – Previously Held Interest in a Joint Operation</w:t>
      </w:r>
    </w:p>
    <w:p w14:paraId="066CF27E" w14:textId="77777777" w:rsidR="007F5DB3" w:rsidRPr="00581CEF" w:rsidRDefault="007F5DB3" w:rsidP="007F5DB3">
      <w:pPr>
        <w:pStyle w:val="default0"/>
        <w:numPr>
          <w:ilvl w:val="1"/>
          <w:numId w:val="53"/>
        </w:numPr>
        <w:spacing w:before="0" w:beforeAutospacing="0" w:after="0" w:afterAutospacing="0"/>
        <w:rPr>
          <w:rFonts w:ascii="Arial" w:eastAsia="Times New Roman" w:hAnsi="Arial" w:cs="Arial"/>
          <w:color w:val="000000"/>
          <w:sz w:val="24"/>
          <w:szCs w:val="24"/>
        </w:rPr>
      </w:pPr>
      <w:r w:rsidRPr="00581CEF">
        <w:rPr>
          <w:rFonts w:ascii="Arial" w:eastAsia="Times New Roman" w:hAnsi="Arial" w:cs="Arial"/>
          <w:color w:val="000000"/>
        </w:rPr>
        <w:t>IAS 12 Income Taxes – Income Tax Consequences of Payments on Financial</w:t>
      </w:r>
      <w:r>
        <w:rPr>
          <w:rFonts w:ascii="Arial" w:eastAsia="Times New Roman" w:hAnsi="Arial" w:cs="Arial"/>
          <w:color w:val="000000"/>
        </w:rPr>
        <w:t xml:space="preserve"> </w:t>
      </w:r>
      <w:proofErr w:type="spellStart"/>
      <w:r w:rsidRPr="00581CEF">
        <w:rPr>
          <w:rStyle w:val="spelle"/>
          <w:rFonts w:ascii="Arial" w:eastAsia="Times New Roman" w:hAnsi="Arial" w:cs="Arial"/>
          <w:color w:val="000000"/>
        </w:rPr>
        <w:t>lnstruments</w:t>
      </w:r>
      <w:proofErr w:type="spellEnd"/>
      <w:r w:rsidRPr="00581CEF">
        <w:rPr>
          <w:rFonts w:ascii="Arial" w:eastAsia="Times New Roman" w:hAnsi="Arial" w:cs="Arial"/>
          <w:color w:val="000000"/>
        </w:rPr>
        <w:t xml:space="preserve"> Classified as Equity</w:t>
      </w:r>
    </w:p>
    <w:p w14:paraId="1C9F82A0" w14:textId="77777777" w:rsidR="007F5DB3" w:rsidRPr="00581CEF" w:rsidRDefault="007F5DB3" w:rsidP="007F5DB3">
      <w:pPr>
        <w:pStyle w:val="default0"/>
        <w:numPr>
          <w:ilvl w:val="1"/>
          <w:numId w:val="53"/>
        </w:numPr>
        <w:spacing w:before="0" w:beforeAutospacing="0" w:after="0" w:afterAutospacing="0"/>
        <w:rPr>
          <w:rFonts w:ascii="Arial" w:eastAsia="Times New Roman" w:hAnsi="Arial" w:cs="Arial"/>
          <w:color w:val="000000"/>
          <w:sz w:val="24"/>
          <w:szCs w:val="24"/>
        </w:rPr>
      </w:pPr>
      <w:r w:rsidRPr="00581CEF">
        <w:rPr>
          <w:rFonts w:ascii="Arial" w:eastAsia="Times New Roman" w:hAnsi="Arial" w:cs="Arial"/>
          <w:color w:val="000000"/>
        </w:rPr>
        <w:t>IAS 23 Borrowing Costs – Borrowing Costs Eligible for Capitalisation</w:t>
      </w:r>
    </w:p>
    <w:p w14:paraId="2E62E61B" w14:textId="77777777" w:rsidR="007F5DB3" w:rsidRPr="00581CEF" w:rsidRDefault="007F5DB3" w:rsidP="007F5DB3">
      <w:pPr>
        <w:pStyle w:val="default0"/>
        <w:spacing w:before="0" w:beforeAutospacing="0" w:after="0" w:afterAutospacing="0"/>
        <w:rPr>
          <w:rFonts w:ascii="Arial" w:hAnsi="Arial" w:cs="Arial"/>
          <w:color w:val="000000"/>
          <w:sz w:val="24"/>
          <w:szCs w:val="24"/>
        </w:rPr>
      </w:pPr>
      <w:r w:rsidRPr="00581CEF">
        <w:rPr>
          <w:rFonts w:ascii="Arial" w:hAnsi="Arial" w:cs="Arial"/>
          <w:color w:val="000000"/>
        </w:rPr>
        <w:t> </w:t>
      </w:r>
    </w:p>
    <w:p w14:paraId="23225335" w14:textId="77777777" w:rsidR="007F5DB3" w:rsidRPr="00581CEF" w:rsidRDefault="007F5DB3" w:rsidP="007F5DB3">
      <w:pPr>
        <w:pStyle w:val="pa24"/>
        <w:numPr>
          <w:ilvl w:val="0"/>
          <w:numId w:val="54"/>
        </w:numPr>
        <w:spacing w:before="120" w:beforeAutospacing="0" w:after="0" w:afterAutospacing="0"/>
        <w:rPr>
          <w:rFonts w:ascii="Arial" w:eastAsia="Times New Roman" w:hAnsi="Arial" w:cs="Arial"/>
          <w:color w:val="000000"/>
          <w:sz w:val="24"/>
          <w:szCs w:val="24"/>
        </w:rPr>
      </w:pPr>
      <w:r w:rsidRPr="00581CEF">
        <w:rPr>
          <w:rFonts w:ascii="Arial" w:eastAsia="Times New Roman" w:hAnsi="Arial" w:cs="Arial"/>
          <w:color w:val="000000"/>
        </w:rPr>
        <w:t xml:space="preserve">Amendments to IAS 19 Employee Benefits: Plan Amendment, Curtailment or Settlement. </w:t>
      </w:r>
    </w:p>
    <w:p w14:paraId="76DED0F9" w14:textId="77777777" w:rsidR="007F5DB3" w:rsidRPr="00581CEF" w:rsidRDefault="007F5DB3" w:rsidP="007F5DB3">
      <w:pPr>
        <w:pStyle w:val="default0"/>
        <w:spacing w:before="0" w:beforeAutospacing="0" w:after="0" w:afterAutospacing="0"/>
        <w:rPr>
          <w:rFonts w:ascii="Arial" w:hAnsi="Arial" w:cs="Arial"/>
          <w:color w:val="000000"/>
          <w:sz w:val="24"/>
          <w:szCs w:val="24"/>
        </w:rPr>
      </w:pPr>
      <w:r w:rsidRPr="00581CEF">
        <w:rPr>
          <w:rFonts w:ascii="Arial" w:hAnsi="Arial" w:cs="Arial"/>
          <w:color w:val="000000"/>
          <w:sz w:val="24"/>
          <w:szCs w:val="24"/>
        </w:rPr>
        <w:t> </w:t>
      </w:r>
    </w:p>
    <w:p w14:paraId="5D03CD8D" w14:textId="77777777" w:rsidR="007F5DB3" w:rsidRPr="00581CEF" w:rsidRDefault="007F5DB3" w:rsidP="007F5DB3">
      <w:pPr>
        <w:pStyle w:val="ListParagraph"/>
        <w:numPr>
          <w:ilvl w:val="0"/>
          <w:numId w:val="55"/>
        </w:numPr>
        <w:jc w:val="left"/>
        <w:rPr>
          <w:rFonts w:cs="Arial"/>
          <w:szCs w:val="22"/>
        </w:rPr>
      </w:pPr>
      <w:r w:rsidRPr="00581CEF">
        <w:rPr>
          <w:rFonts w:cs="Arial"/>
          <w:color w:val="000000"/>
        </w:rPr>
        <w:t>Amendments to References to the Conceptual Framework in IFRS Standards</w:t>
      </w:r>
    </w:p>
    <w:p w14:paraId="75F1860B" w14:textId="77777777" w:rsidR="007F5DB3" w:rsidRPr="00581CEF" w:rsidRDefault="007F5DB3" w:rsidP="007F5DB3">
      <w:pPr>
        <w:rPr>
          <w:rFonts w:cs="Arial"/>
          <w:szCs w:val="22"/>
        </w:rPr>
      </w:pPr>
    </w:p>
    <w:bookmarkEnd w:id="8"/>
    <w:p w14:paraId="4DB03C72" w14:textId="77777777" w:rsidR="007F5DB3" w:rsidRPr="00AC4D7B" w:rsidRDefault="007F5DB3" w:rsidP="007F5DB3">
      <w:pPr>
        <w:rPr>
          <w:b/>
          <w:szCs w:val="22"/>
        </w:rPr>
      </w:pPr>
    </w:p>
    <w:p w14:paraId="7D0BC358" w14:textId="77777777" w:rsidR="007F5DB3" w:rsidRPr="00AC4D7B" w:rsidRDefault="007F5DB3" w:rsidP="007F5DB3">
      <w:pPr>
        <w:rPr>
          <w:b/>
          <w:szCs w:val="22"/>
        </w:rPr>
      </w:pPr>
      <w:r w:rsidRPr="00AC4D7B">
        <w:rPr>
          <w:b/>
          <w:szCs w:val="22"/>
        </w:rPr>
        <w:t>Going Concern</w:t>
      </w:r>
    </w:p>
    <w:p w14:paraId="4751F051" w14:textId="77777777" w:rsidR="007F5DB3" w:rsidRPr="00AC4D7B" w:rsidRDefault="007F5DB3" w:rsidP="007F5DB3">
      <w:pPr>
        <w:rPr>
          <w:b/>
          <w:szCs w:val="22"/>
        </w:rPr>
      </w:pPr>
    </w:p>
    <w:p w14:paraId="2D7D3C40" w14:textId="77777777" w:rsidR="007F5DB3" w:rsidRPr="00AC4D7B" w:rsidRDefault="007F5DB3" w:rsidP="007F5DB3">
      <w:pPr>
        <w:rPr>
          <w:szCs w:val="22"/>
        </w:rPr>
      </w:pPr>
      <w:r w:rsidRPr="00AC4D7B">
        <w:rPr>
          <w:szCs w:val="22"/>
        </w:rPr>
        <w:t xml:space="preserve">South </w:t>
      </w:r>
      <w:proofErr w:type="spellStart"/>
      <w:r w:rsidRPr="00AC4D7B">
        <w:rPr>
          <w:szCs w:val="22"/>
        </w:rPr>
        <w:t>Ribble</w:t>
      </w:r>
      <w:proofErr w:type="spellEnd"/>
      <w:r w:rsidRPr="00AC4D7B">
        <w:rPr>
          <w:szCs w:val="22"/>
        </w:rPr>
        <w:t xml:space="preserve"> Borough Council’s MTFS outlines the strategies it will pursue to meet current and future funding shortfalls. </w:t>
      </w:r>
      <w:r>
        <w:rPr>
          <w:szCs w:val="22"/>
        </w:rPr>
        <w:t>A</w:t>
      </w:r>
      <w:r w:rsidRPr="00AC4D7B">
        <w:rPr>
          <w:szCs w:val="22"/>
        </w:rPr>
        <w:t xml:space="preserve"> balanced budget for </w:t>
      </w:r>
      <w:r>
        <w:rPr>
          <w:szCs w:val="22"/>
        </w:rPr>
        <w:t>2021/22</w:t>
      </w:r>
      <w:r w:rsidRPr="00AC4D7B">
        <w:rPr>
          <w:szCs w:val="22"/>
        </w:rPr>
        <w:t xml:space="preserve"> has </w:t>
      </w:r>
      <w:r>
        <w:rPr>
          <w:szCs w:val="22"/>
        </w:rPr>
        <w:t>been approved</w:t>
      </w:r>
      <w:r w:rsidRPr="00AC4D7B">
        <w:rPr>
          <w:szCs w:val="22"/>
        </w:rPr>
        <w:t xml:space="preserve"> and there is no reason to believe that the </w:t>
      </w:r>
      <w:r>
        <w:rPr>
          <w:szCs w:val="22"/>
        </w:rPr>
        <w:t>budget gap identified in</w:t>
      </w:r>
      <w:r w:rsidRPr="00AC4D7B">
        <w:rPr>
          <w:szCs w:val="22"/>
        </w:rPr>
        <w:t xml:space="preserve"> the Council’s budget in future years will not be entirely mitigated through the </w:t>
      </w:r>
      <w:r>
        <w:rPr>
          <w:szCs w:val="22"/>
        </w:rPr>
        <w:t>T</w:t>
      </w:r>
      <w:r w:rsidRPr="00AC4D7B">
        <w:rPr>
          <w:szCs w:val="22"/>
        </w:rPr>
        <w:t xml:space="preserve">ransformation </w:t>
      </w:r>
      <w:r>
        <w:rPr>
          <w:szCs w:val="22"/>
        </w:rPr>
        <w:t>P</w:t>
      </w:r>
      <w:r w:rsidRPr="00AC4D7B">
        <w:rPr>
          <w:szCs w:val="22"/>
        </w:rPr>
        <w:t xml:space="preserve">rogramme. </w:t>
      </w:r>
      <w:r>
        <w:rPr>
          <w:szCs w:val="22"/>
        </w:rPr>
        <w:t>As such, i</w:t>
      </w:r>
      <w:r w:rsidRPr="00AC4D7B">
        <w:rPr>
          <w:szCs w:val="22"/>
        </w:rPr>
        <w:t>t is considered appropriate to adopt a going concern basis for the preparation of these financial statements.</w:t>
      </w:r>
    </w:p>
    <w:p w14:paraId="387D4183" w14:textId="77777777" w:rsidR="007F5DB3" w:rsidRPr="00AC4D7B" w:rsidRDefault="007F5DB3" w:rsidP="007F5DB3">
      <w:pPr>
        <w:rPr>
          <w:rFonts w:cs="Courier New"/>
          <w:szCs w:val="22"/>
        </w:rPr>
      </w:pPr>
    </w:p>
    <w:p w14:paraId="38470566" w14:textId="77777777" w:rsidR="007F5DB3" w:rsidRPr="00AC4D7B" w:rsidRDefault="007F5DB3" w:rsidP="007F5DB3">
      <w:pPr>
        <w:rPr>
          <w:rFonts w:cs="Courier New"/>
          <w:szCs w:val="22"/>
        </w:rPr>
      </w:pPr>
    </w:p>
    <w:p w14:paraId="17A6E67C" w14:textId="77777777" w:rsidR="007F5DB3" w:rsidRPr="00AC4D7B" w:rsidRDefault="007F5DB3" w:rsidP="007F5DB3">
      <w:pPr>
        <w:rPr>
          <w:b/>
          <w:bCs/>
        </w:rPr>
      </w:pPr>
      <w:r w:rsidRPr="00AC4D7B">
        <w:rPr>
          <w:b/>
          <w:bCs/>
        </w:rPr>
        <w:t>Further Information</w:t>
      </w:r>
    </w:p>
    <w:p w14:paraId="78E4E102" w14:textId="77777777" w:rsidR="007F5DB3" w:rsidRPr="00AC4D7B" w:rsidRDefault="007F5DB3" w:rsidP="007F5DB3"/>
    <w:p w14:paraId="7F99123E" w14:textId="77777777" w:rsidR="007F5DB3" w:rsidRPr="00AC4D7B" w:rsidRDefault="007F5DB3" w:rsidP="007F5DB3">
      <w:pPr>
        <w:rPr>
          <w:rFonts w:cs="Courier New"/>
          <w:szCs w:val="22"/>
        </w:rPr>
      </w:pPr>
      <w:r w:rsidRPr="00AC4D7B">
        <w:rPr>
          <w:rFonts w:cs="Courier New"/>
          <w:szCs w:val="22"/>
        </w:rPr>
        <w:t xml:space="preserve">If you would like to receive any further information about these accounts, please do not hesitate to contact South </w:t>
      </w:r>
      <w:proofErr w:type="spellStart"/>
      <w:r w:rsidRPr="00AC4D7B">
        <w:rPr>
          <w:rFonts w:cs="Courier New"/>
          <w:szCs w:val="22"/>
        </w:rPr>
        <w:t>Ribble</w:t>
      </w:r>
      <w:proofErr w:type="spellEnd"/>
      <w:r w:rsidRPr="00AC4D7B">
        <w:rPr>
          <w:rFonts w:cs="Courier New"/>
          <w:szCs w:val="22"/>
        </w:rPr>
        <w:t xml:space="preserve"> Borough Council on 01772 625625, by email at  </w:t>
      </w:r>
      <w:hyperlink r:id="rId49" w:history="1">
        <w:r w:rsidRPr="00AC4D7B">
          <w:rPr>
            <w:rStyle w:val="Hyperlink"/>
            <w:rFonts w:cs="Courier New"/>
            <w:szCs w:val="22"/>
          </w:rPr>
          <w:t>info@southribble.gov.uk</w:t>
        </w:r>
      </w:hyperlink>
      <w:r w:rsidRPr="00AC4D7B">
        <w:rPr>
          <w:rFonts w:cs="Courier New"/>
          <w:szCs w:val="22"/>
        </w:rPr>
        <w:t xml:space="preserve"> or by post at the Civic Centre, West Paddock, Leyland, Lancashire, PR25 1DH.</w:t>
      </w:r>
    </w:p>
    <w:p w14:paraId="2E5DD2EE" w14:textId="77777777" w:rsidR="007F5DB3" w:rsidRPr="00AC4D7B" w:rsidRDefault="007F5DB3" w:rsidP="007F5DB3">
      <w:pPr>
        <w:rPr>
          <w:rFonts w:cs="Courier New"/>
          <w:szCs w:val="22"/>
        </w:rPr>
      </w:pPr>
    </w:p>
    <w:p w14:paraId="4CE37094" w14:textId="77777777" w:rsidR="00C7628C" w:rsidRDefault="00C7628C" w:rsidP="00A37B7A">
      <w:pPr>
        <w:rPr>
          <w:rFonts w:cs="Courier New"/>
          <w:szCs w:val="22"/>
        </w:rPr>
      </w:pPr>
    </w:p>
    <w:p w14:paraId="4C62B38F" w14:textId="77777777" w:rsidR="00C7628C" w:rsidRPr="00EC06E7" w:rsidRDefault="00562EC3" w:rsidP="00A37B7A">
      <w:pPr>
        <w:rPr>
          <w:rFonts w:ascii="Times New Roman" w:hAnsi="Times New Roman"/>
          <w:noProof/>
          <w:color w:val="FF0000"/>
          <w:szCs w:val="22"/>
        </w:rPr>
        <w:sectPr w:rsidR="00C7628C" w:rsidRPr="00EC06E7" w:rsidSect="00A535A0">
          <w:headerReference w:type="default" r:id="rId50"/>
          <w:footerReference w:type="default" r:id="rId51"/>
          <w:pgSz w:w="11906" w:h="16838"/>
          <w:pgMar w:top="1134" w:right="1133" w:bottom="567" w:left="1134" w:header="709" w:footer="166" w:gutter="0"/>
          <w:cols w:space="708"/>
          <w:docGrid w:linePitch="360"/>
        </w:sectPr>
      </w:pPr>
      <w:r>
        <w:rPr>
          <w:rFonts w:ascii="Times New Roman" w:hAnsi="Times New Roman"/>
          <w:noProof/>
          <w:color w:val="FF0000"/>
          <w:szCs w:val="22"/>
        </w:rPr>
        <w:tab/>
      </w:r>
    </w:p>
    <w:p w14:paraId="018F4DF8" w14:textId="77777777" w:rsidR="00FD6AB0" w:rsidRPr="00EC06E7" w:rsidRDefault="0078326F" w:rsidP="00FD6AB0">
      <w:pPr>
        <w:pStyle w:val="Heading1"/>
        <w:rPr>
          <w:lang w:eastAsia="en-US"/>
        </w:rPr>
      </w:pPr>
      <w:bookmarkStart w:id="9" w:name="_Toc77603767"/>
      <w:r w:rsidRPr="00EC06E7">
        <w:rPr>
          <w:lang w:eastAsia="en-US"/>
        </w:rPr>
        <w:t>Introduction to the Statement of Accounts</w:t>
      </w:r>
      <w:bookmarkEnd w:id="9"/>
    </w:p>
    <w:p w14:paraId="71AECE79" w14:textId="77777777" w:rsidR="00FD6AB0" w:rsidRPr="00EC06E7" w:rsidRDefault="00FD6AB0" w:rsidP="00FD6AB0">
      <w:pPr>
        <w:rPr>
          <w:rFonts w:cs="Arial"/>
          <w:szCs w:val="22"/>
          <w:lang w:eastAsia="en-US"/>
        </w:rPr>
      </w:pPr>
    </w:p>
    <w:p w14:paraId="5A33FEAE" w14:textId="77777777" w:rsidR="00B46D78" w:rsidRPr="00EC06E7" w:rsidRDefault="00FD6AB0" w:rsidP="00FD6AB0">
      <w:pPr>
        <w:rPr>
          <w:rFonts w:cs="Arial"/>
          <w:szCs w:val="22"/>
          <w:lang w:eastAsia="en-US"/>
        </w:rPr>
      </w:pPr>
      <w:r w:rsidRPr="00EC06E7">
        <w:rPr>
          <w:rFonts w:cs="Arial"/>
          <w:szCs w:val="22"/>
          <w:lang w:eastAsia="en-US"/>
        </w:rPr>
        <w:t>T</w:t>
      </w:r>
      <w:r w:rsidR="00C17B7C" w:rsidRPr="00EC06E7">
        <w:rPr>
          <w:rFonts w:cs="Arial"/>
          <w:szCs w:val="22"/>
          <w:lang w:eastAsia="en-US"/>
        </w:rPr>
        <w:t>h</w:t>
      </w:r>
      <w:r w:rsidRPr="00EC06E7">
        <w:rPr>
          <w:rFonts w:cs="Arial"/>
          <w:szCs w:val="22"/>
          <w:lang w:eastAsia="en-US"/>
        </w:rPr>
        <w:t xml:space="preserve">e Accounts and Audit Regulations 2015 require the </w:t>
      </w:r>
      <w:r w:rsidR="005124B6">
        <w:rPr>
          <w:rFonts w:cs="Arial"/>
          <w:szCs w:val="22"/>
          <w:lang w:eastAsia="en-US"/>
        </w:rPr>
        <w:t>c</w:t>
      </w:r>
      <w:r w:rsidRPr="00EC06E7">
        <w:rPr>
          <w:rFonts w:cs="Arial"/>
          <w:szCs w:val="22"/>
          <w:lang w:eastAsia="en-US"/>
        </w:rPr>
        <w:t xml:space="preserve">ouncil to produce a Statement of Accounts for each financial year. </w:t>
      </w:r>
    </w:p>
    <w:p w14:paraId="17BE2EDB" w14:textId="77777777" w:rsidR="00B46D78" w:rsidRPr="00EC06E7" w:rsidRDefault="00B46D78" w:rsidP="00FD6AB0">
      <w:pPr>
        <w:rPr>
          <w:rFonts w:cs="Arial"/>
          <w:szCs w:val="22"/>
          <w:lang w:eastAsia="en-US"/>
        </w:rPr>
      </w:pPr>
    </w:p>
    <w:p w14:paraId="761852A2" w14:textId="11158378" w:rsidR="00B46D78" w:rsidRPr="00EC06E7" w:rsidRDefault="00FD6AB0" w:rsidP="00FD6AB0">
      <w:pPr>
        <w:rPr>
          <w:rFonts w:cs="Arial"/>
          <w:szCs w:val="22"/>
          <w:lang w:eastAsia="en-US"/>
        </w:rPr>
      </w:pPr>
      <w:r w:rsidRPr="00EC06E7">
        <w:rPr>
          <w:rFonts w:cs="Arial"/>
          <w:szCs w:val="22"/>
          <w:lang w:eastAsia="en-US"/>
        </w:rPr>
        <w:t xml:space="preserve">This Statement of Accounts has been prepared in accordance with the Code of Practice on Local Authority Accounting in the United Kingdom </w:t>
      </w:r>
      <w:r w:rsidR="005B33E8">
        <w:rPr>
          <w:rFonts w:cs="Arial"/>
          <w:szCs w:val="22"/>
          <w:lang w:eastAsia="en-US"/>
        </w:rPr>
        <w:t>20</w:t>
      </w:r>
      <w:r w:rsidR="00F11D73">
        <w:rPr>
          <w:rFonts w:cs="Arial"/>
          <w:szCs w:val="22"/>
          <w:lang w:eastAsia="en-US"/>
        </w:rPr>
        <w:t>20</w:t>
      </w:r>
      <w:r w:rsidR="005B33E8">
        <w:rPr>
          <w:rFonts w:cs="Arial"/>
          <w:szCs w:val="22"/>
          <w:lang w:eastAsia="en-US"/>
        </w:rPr>
        <w:t>/</w:t>
      </w:r>
      <w:r w:rsidR="00914019">
        <w:rPr>
          <w:rFonts w:cs="Arial"/>
          <w:szCs w:val="22"/>
          <w:lang w:eastAsia="en-US"/>
        </w:rPr>
        <w:t>2</w:t>
      </w:r>
      <w:r w:rsidR="00F11D73">
        <w:rPr>
          <w:rFonts w:cs="Arial"/>
          <w:szCs w:val="22"/>
          <w:lang w:eastAsia="en-US"/>
        </w:rPr>
        <w:t>1</w:t>
      </w:r>
      <w:r w:rsidRPr="00EC06E7">
        <w:rPr>
          <w:rFonts w:cs="Arial"/>
          <w:szCs w:val="22"/>
          <w:lang w:eastAsia="en-US"/>
        </w:rPr>
        <w:t xml:space="preserve"> (The Code), which is ba</w:t>
      </w:r>
      <w:r w:rsidR="00582794">
        <w:rPr>
          <w:rFonts w:cs="Arial"/>
          <w:szCs w:val="22"/>
          <w:lang w:eastAsia="en-US"/>
        </w:rPr>
        <w:t>sed on International Financial R</w:t>
      </w:r>
      <w:r w:rsidRPr="00EC06E7">
        <w:rPr>
          <w:rFonts w:cs="Arial"/>
          <w:szCs w:val="22"/>
          <w:lang w:eastAsia="en-US"/>
        </w:rPr>
        <w:t>eporting Standards</w:t>
      </w:r>
      <w:r w:rsidR="00A82EDC" w:rsidRPr="00EC06E7">
        <w:rPr>
          <w:rFonts w:cs="Arial"/>
          <w:szCs w:val="22"/>
          <w:lang w:eastAsia="en-US"/>
        </w:rPr>
        <w:t>.</w:t>
      </w:r>
    </w:p>
    <w:p w14:paraId="1E271135" w14:textId="77777777" w:rsidR="00A82EDC" w:rsidRPr="00EC06E7" w:rsidRDefault="00A82EDC" w:rsidP="00FD6AB0">
      <w:pPr>
        <w:rPr>
          <w:rFonts w:cs="Arial"/>
          <w:szCs w:val="22"/>
          <w:lang w:eastAsia="en-US"/>
        </w:rPr>
      </w:pPr>
    </w:p>
    <w:p w14:paraId="5BCBD793" w14:textId="77777777" w:rsidR="00FD6AB0" w:rsidRPr="00EC06E7" w:rsidRDefault="00FD6AB0" w:rsidP="00FD6AB0">
      <w:pPr>
        <w:rPr>
          <w:rFonts w:cs="Arial"/>
          <w:szCs w:val="22"/>
          <w:lang w:eastAsia="en-US"/>
        </w:rPr>
      </w:pPr>
      <w:r w:rsidRPr="00EC06E7">
        <w:rPr>
          <w:rFonts w:cs="Arial"/>
          <w:szCs w:val="22"/>
          <w:lang w:eastAsia="en-US"/>
        </w:rPr>
        <w:t xml:space="preserve">The Statement of Accounts contain </w:t>
      </w:r>
      <w:proofErr w:type="gramStart"/>
      <w:r w:rsidRPr="00EC06E7">
        <w:rPr>
          <w:rFonts w:cs="Arial"/>
          <w:szCs w:val="22"/>
          <w:lang w:eastAsia="en-US"/>
        </w:rPr>
        <w:t>a number of</w:t>
      </w:r>
      <w:proofErr w:type="gramEnd"/>
      <w:r w:rsidRPr="00EC06E7">
        <w:rPr>
          <w:rFonts w:cs="Arial"/>
          <w:szCs w:val="22"/>
          <w:lang w:eastAsia="en-US"/>
        </w:rPr>
        <w:t xml:space="preserve"> sections and statements</w:t>
      </w:r>
      <w:r w:rsidR="00AC5ACA" w:rsidRPr="00EC06E7">
        <w:rPr>
          <w:rFonts w:cs="Arial"/>
          <w:szCs w:val="22"/>
          <w:lang w:eastAsia="en-US"/>
        </w:rPr>
        <w:t xml:space="preserve"> and</w:t>
      </w:r>
      <w:r w:rsidRPr="00EC06E7">
        <w:rPr>
          <w:rFonts w:cs="Arial"/>
          <w:szCs w:val="22"/>
          <w:lang w:eastAsia="en-US"/>
        </w:rPr>
        <w:t xml:space="preserve"> these are explained below:</w:t>
      </w:r>
    </w:p>
    <w:p w14:paraId="3619FA85" w14:textId="77777777" w:rsidR="00B46D78" w:rsidRPr="00EC06E7" w:rsidRDefault="00B46D78" w:rsidP="00D02225"/>
    <w:p w14:paraId="1DAC8B2C" w14:textId="77777777" w:rsidR="00C17B7C" w:rsidRPr="00EC06E7" w:rsidRDefault="00C17B7C" w:rsidP="005A74CC">
      <w:pPr>
        <w:pStyle w:val="Heading3"/>
      </w:pPr>
      <w:r w:rsidRPr="00EC06E7">
        <w:t>STATEMENTS TO THE ACCOUNTS</w:t>
      </w:r>
    </w:p>
    <w:p w14:paraId="7F63DC11" w14:textId="77777777" w:rsidR="00095906" w:rsidRPr="00EC06E7" w:rsidRDefault="00095906" w:rsidP="00095906"/>
    <w:p w14:paraId="34FE6426" w14:textId="310A4442" w:rsidR="00095906" w:rsidRPr="00EC06E7" w:rsidRDefault="00376472" w:rsidP="00095906">
      <w:pPr>
        <w:tabs>
          <w:tab w:val="num" w:pos="1260"/>
          <w:tab w:val="left" w:pos="1320"/>
        </w:tabs>
        <w:ind w:left="1260" w:hanging="1260"/>
        <w:rPr>
          <w:rFonts w:cs="Arial"/>
          <w:szCs w:val="22"/>
          <w:lang w:eastAsia="en-US"/>
        </w:rPr>
      </w:pPr>
      <w:r w:rsidRPr="00EC06E7">
        <w:rPr>
          <w:rFonts w:cs="Arial"/>
          <w:szCs w:val="22"/>
          <w:lang w:eastAsia="en-US"/>
        </w:rPr>
        <w:t>Page</w:t>
      </w:r>
      <w:r w:rsidR="009346FB">
        <w:rPr>
          <w:rFonts w:cs="Arial"/>
          <w:szCs w:val="22"/>
          <w:lang w:eastAsia="en-US"/>
        </w:rPr>
        <w:t xml:space="preserve"> </w:t>
      </w:r>
      <w:r w:rsidR="002E7B90">
        <w:rPr>
          <w:rFonts w:cs="Arial"/>
          <w:szCs w:val="22"/>
          <w:lang w:eastAsia="en-US"/>
        </w:rPr>
        <w:t>36</w:t>
      </w:r>
      <w:r w:rsidR="00095906" w:rsidRPr="00EC06E7">
        <w:rPr>
          <w:rFonts w:cs="Arial"/>
          <w:b/>
          <w:szCs w:val="22"/>
          <w:lang w:eastAsia="en-US"/>
        </w:rPr>
        <w:tab/>
      </w:r>
      <w:r w:rsidR="00E527FD" w:rsidRPr="00EC06E7">
        <w:rPr>
          <w:rFonts w:cs="Arial"/>
          <w:b/>
          <w:szCs w:val="22"/>
          <w:lang w:eastAsia="en-US"/>
        </w:rPr>
        <w:t xml:space="preserve">The </w:t>
      </w:r>
      <w:r w:rsidR="00095906" w:rsidRPr="00EC06E7">
        <w:rPr>
          <w:rFonts w:cs="Arial"/>
          <w:b/>
          <w:szCs w:val="22"/>
          <w:lang w:eastAsia="en-US"/>
        </w:rPr>
        <w:t xml:space="preserve">Independent Auditor’s Report </w:t>
      </w:r>
      <w:r w:rsidR="00095906" w:rsidRPr="00EC06E7">
        <w:rPr>
          <w:rFonts w:cs="Arial"/>
          <w:szCs w:val="22"/>
          <w:lang w:eastAsia="en-US"/>
        </w:rPr>
        <w:t xml:space="preserve">– This gives the auditor’s opinion of the financial statements and of the </w:t>
      </w:r>
      <w:r w:rsidR="005124B6">
        <w:rPr>
          <w:rFonts w:cs="Arial"/>
          <w:szCs w:val="22"/>
          <w:lang w:eastAsia="en-US"/>
        </w:rPr>
        <w:t>c</w:t>
      </w:r>
      <w:r w:rsidR="00095906" w:rsidRPr="00EC06E7">
        <w:rPr>
          <w:rFonts w:cs="Arial"/>
          <w:szCs w:val="22"/>
          <w:lang w:eastAsia="en-US"/>
        </w:rPr>
        <w:t>ouncil’s arrangements for securing economy, efficiency and effectiveness in the use of its resources.</w:t>
      </w:r>
    </w:p>
    <w:p w14:paraId="1E54D5E8" w14:textId="77777777" w:rsidR="00095906" w:rsidRDefault="00095906" w:rsidP="00095906">
      <w:pPr>
        <w:tabs>
          <w:tab w:val="num" w:pos="1260"/>
          <w:tab w:val="left" w:pos="1320"/>
        </w:tabs>
        <w:ind w:left="1260" w:hanging="1260"/>
        <w:rPr>
          <w:rFonts w:cs="Arial"/>
          <w:szCs w:val="22"/>
          <w:lang w:eastAsia="en-US"/>
        </w:rPr>
      </w:pPr>
    </w:p>
    <w:p w14:paraId="379EDF6D" w14:textId="23A12603" w:rsidR="00F9579F" w:rsidRPr="00EC06E7" w:rsidRDefault="00F9579F" w:rsidP="00F9579F">
      <w:pPr>
        <w:tabs>
          <w:tab w:val="num" w:pos="1260"/>
          <w:tab w:val="left" w:pos="1320"/>
        </w:tabs>
        <w:ind w:left="1260" w:hanging="1260"/>
        <w:rPr>
          <w:rFonts w:cs="Arial"/>
          <w:szCs w:val="22"/>
          <w:lang w:eastAsia="en-US"/>
        </w:rPr>
      </w:pPr>
      <w:r w:rsidRPr="00EC06E7">
        <w:rPr>
          <w:rFonts w:cs="Arial"/>
          <w:szCs w:val="22"/>
          <w:lang w:eastAsia="en-US"/>
        </w:rPr>
        <w:t>Page</w:t>
      </w:r>
      <w:r>
        <w:rPr>
          <w:rFonts w:cs="Arial"/>
          <w:szCs w:val="22"/>
          <w:lang w:eastAsia="en-US"/>
        </w:rPr>
        <w:t xml:space="preserve"> </w:t>
      </w:r>
      <w:r w:rsidR="002E7B90">
        <w:rPr>
          <w:rFonts w:cs="Arial"/>
          <w:szCs w:val="22"/>
          <w:lang w:eastAsia="en-US"/>
        </w:rPr>
        <w:t>41</w:t>
      </w:r>
      <w:r w:rsidRPr="00EC06E7">
        <w:rPr>
          <w:rFonts w:cs="Arial"/>
          <w:b/>
          <w:szCs w:val="22"/>
          <w:lang w:eastAsia="en-US"/>
        </w:rPr>
        <w:tab/>
        <w:t xml:space="preserve">Statement of Responsibilities for the Statement of Accounts </w:t>
      </w:r>
      <w:r w:rsidRPr="00EC06E7">
        <w:rPr>
          <w:rFonts w:cs="Arial"/>
          <w:szCs w:val="22"/>
          <w:lang w:eastAsia="en-US"/>
        </w:rPr>
        <w:t xml:space="preserve">– This summarises the responsibilities of the </w:t>
      </w:r>
      <w:r>
        <w:rPr>
          <w:rFonts w:cs="Arial"/>
          <w:szCs w:val="22"/>
          <w:lang w:eastAsia="en-US"/>
        </w:rPr>
        <w:t>c</w:t>
      </w:r>
      <w:r w:rsidRPr="00EC06E7">
        <w:rPr>
          <w:rFonts w:cs="Arial"/>
          <w:szCs w:val="22"/>
          <w:lang w:eastAsia="en-US"/>
        </w:rPr>
        <w:t>ouncil and the Responsible Financial Officer in relation to the Statement of Accounts.</w:t>
      </w:r>
    </w:p>
    <w:p w14:paraId="64EE30A3" w14:textId="77777777" w:rsidR="00F9579F" w:rsidRPr="00EC06E7" w:rsidRDefault="00F9579F" w:rsidP="00095906">
      <w:pPr>
        <w:tabs>
          <w:tab w:val="num" w:pos="1260"/>
          <w:tab w:val="left" w:pos="1320"/>
        </w:tabs>
        <w:ind w:left="1260" w:hanging="1260"/>
        <w:rPr>
          <w:rFonts w:cs="Arial"/>
          <w:szCs w:val="22"/>
          <w:lang w:eastAsia="en-US"/>
        </w:rPr>
      </w:pPr>
    </w:p>
    <w:p w14:paraId="20CCC777" w14:textId="3B4DE3D1" w:rsidR="00095906" w:rsidRPr="00EC06E7" w:rsidRDefault="00095906" w:rsidP="0011752D">
      <w:pPr>
        <w:tabs>
          <w:tab w:val="num" w:pos="1260"/>
          <w:tab w:val="left" w:pos="1320"/>
        </w:tabs>
        <w:ind w:left="1260" w:hanging="1260"/>
        <w:rPr>
          <w:rFonts w:cs="Arial"/>
          <w:szCs w:val="22"/>
          <w:lang w:eastAsia="en-US"/>
        </w:rPr>
      </w:pPr>
      <w:r w:rsidRPr="00EC06E7">
        <w:rPr>
          <w:rFonts w:cs="Arial"/>
          <w:szCs w:val="22"/>
          <w:lang w:eastAsia="en-US"/>
        </w:rPr>
        <w:t>Page</w:t>
      </w:r>
      <w:r w:rsidR="009346FB">
        <w:rPr>
          <w:rFonts w:cs="Arial"/>
          <w:szCs w:val="22"/>
          <w:lang w:eastAsia="en-US"/>
        </w:rPr>
        <w:t xml:space="preserve"> </w:t>
      </w:r>
      <w:r w:rsidR="005C3A2C">
        <w:rPr>
          <w:rFonts w:cs="Arial"/>
          <w:szCs w:val="22"/>
          <w:lang w:eastAsia="en-US"/>
        </w:rPr>
        <w:t>11</w:t>
      </w:r>
      <w:r w:rsidR="00F52125">
        <w:rPr>
          <w:rFonts w:cs="Arial"/>
          <w:szCs w:val="22"/>
          <w:lang w:eastAsia="en-US"/>
        </w:rPr>
        <w:t>3</w:t>
      </w:r>
      <w:r w:rsidRPr="00EC06E7">
        <w:rPr>
          <w:rFonts w:cs="Arial"/>
          <w:szCs w:val="22"/>
          <w:lang w:eastAsia="en-US"/>
        </w:rPr>
        <w:tab/>
      </w:r>
      <w:r w:rsidRPr="00EC06E7">
        <w:rPr>
          <w:rFonts w:cs="Arial"/>
          <w:b/>
          <w:szCs w:val="22"/>
          <w:lang w:eastAsia="en-US"/>
        </w:rPr>
        <w:t>The Annual Governance Statement</w:t>
      </w:r>
      <w:r w:rsidRPr="00EC06E7">
        <w:rPr>
          <w:rFonts w:cs="Arial"/>
          <w:szCs w:val="22"/>
          <w:lang w:eastAsia="en-US"/>
        </w:rPr>
        <w:t xml:space="preserve"> – </w:t>
      </w:r>
      <w:r w:rsidR="0011752D" w:rsidRPr="00EC06E7">
        <w:rPr>
          <w:rFonts w:cs="Arial"/>
          <w:szCs w:val="22"/>
          <w:lang w:eastAsia="en-US"/>
        </w:rPr>
        <w:t xml:space="preserve">The </w:t>
      </w:r>
      <w:r w:rsidR="005124B6">
        <w:rPr>
          <w:rFonts w:cs="Arial"/>
          <w:szCs w:val="22"/>
          <w:lang w:eastAsia="en-US"/>
        </w:rPr>
        <w:t>c</w:t>
      </w:r>
      <w:r w:rsidR="0011752D" w:rsidRPr="00EC06E7">
        <w:rPr>
          <w:rFonts w:cs="Arial"/>
          <w:szCs w:val="22"/>
          <w:lang w:eastAsia="en-US"/>
        </w:rPr>
        <w:t>ouncil is required to conduct an annual review of the effectiveness of its system of corporate governance and to publish a statement on the adequacy of the system with its annual accounts. This statement is referred to as the An</w:t>
      </w:r>
      <w:r w:rsidR="00376472" w:rsidRPr="00EC06E7">
        <w:rPr>
          <w:rFonts w:cs="Arial"/>
          <w:szCs w:val="22"/>
          <w:lang w:eastAsia="en-US"/>
        </w:rPr>
        <w:t>nual Governance Statement (AGS)</w:t>
      </w:r>
      <w:r w:rsidR="0011752D" w:rsidRPr="00EC06E7">
        <w:rPr>
          <w:rFonts w:cs="Arial"/>
          <w:szCs w:val="22"/>
          <w:lang w:eastAsia="en-US"/>
        </w:rPr>
        <w:t>.</w:t>
      </w:r>
      <w:r w:rsidR="00376472" w:rsidRPr="00EC06E7">
        <w:rPr>
          <w:rFonts w:cs="Arial"/>
          <w:szCs w:val="22"/>
          <w:lang w:eastAsia="en-US"/>
        </w:rPr>
        <w:t xml:space="preserve"> </w:t>
      </w:r>
      <w:r w:rsidR="0011752D" w:rsidRPr="00EC06E7">
        <w:rPr>
          <w:rFonts w:cs="Arial"/>
          <w:szCs w:val="22"/>
          <w:lang w:eastAsia="en-US"/>
        </w:rPr>
        <w:t xml:space="preserve">The AGS explains our governance arrangements, the review of the governance framework against the Local Code of Governance and </w:t>
      </w:r>
      <w:proofErr w:type="gramStart"/>
      <w:r w:rsidR="0011752D" w:rsidRPr="00EC06E7">
        <w:rPr>
          <w:rFonts w:cs="Arial"/>
          <w:szCs w:val="22"/>
          <w:lang w:eastAsia="en-US"/>
        </w:rPr>
        <w:t>future plans</w:t>
      </w:r>
      <w:proofErr w:type="gramEnd"/>
      <w:r w:rsidR="0011752D" w:rsidRPr="00EC06E7">
        <w:rPr>
          <w:rFonts w:cs="Arial"/>
          <w:szCs w:val="22"/>
          <w:lang w:eastAsia="en-US"/>
        </w:rPr>
        <w:t xml:space="preserve"> to improve and strengthen the governance environmen</w:t>
      </w:r>
      <w:r w:rsidR="00376472" w:rsidRPr="00EC06E7">
        <w:rPr>
          <w:rFonts w:cs="Arial"/>
          <w:szCs w:val="22"/>
          <w:lang w:eastAsia="en-US"/>
        </w:rPr>
        <w:t>t.</w:t>
      </w:r>
    </w:p>
    <w:p w14:paraId="6B0CE96F" w14:textId="77777777" w:rsidR="00095906" w:rsidRPr="00EC06E7" w:rsidRDefault="00095906" w:rsidP="00095906"/>
    <w:p w14:paraId="696432EB" w14:textId="77777777" w:rsidR="000C4D1C" w:rsidRPr="00EC06E7" w:rsidRDefault="000C4D1C" w:rsidP="00D75556"/>
    <w:p w14:paraId="44025B48" w14:textId="77777777" w:rsidR="00FD6AB0" w:rsidRPr="00EC06E7" w:rsidRDefault="00FD6AB0" w:rsidP="005A74CC">
      <w:pPr>
        <w:pStyle w:val="Heading3"/>
      </w:pPr>
      <w:r w:rsidRPr="00EC06E7">
        <w:t>CORE FINANCIAL STATEMENTS</w:t>
      </w:r>
    </w:p>
    <w:p w14:paraId="2974A0F0" w14:textId="77777777" w:rsidR="00D04FC9" w:rsidRPr="00EC06E7" w:rsidRDefault="00D04FC9" w:rsidP="00D04FC9">
      <w:pPr>
        <w:rPr>
          <w:b/>
        </w:rPr>
      </w:pPr>
    </w:p>
    <w:p w14:paraId="7A4EF179" w14:textId="77777777" w:rsidR="00FD6AB0" w:rsidRPr="00EC06E7" w:rsidRDefault="00FD6AB0" w:rsidP="00FD6AB0">
      <w:pPr>
        <w:rPr>
          <w:rFonts w:cs="Courier New"/>
          <w:szCs w:val="22"/>
        </w:rPr>
      </w:pPr>
      <w:r w:rsidRPr="00EC06E7">
        <w:rPr>
          <w:rFonts w:cs="Courier New"/>
          <w:szCs w:val="22"/>
        </w:rPr>
        <w:t>The core financial statements consist of the following:</w:t>
      </w:r>
    </w:p>
    <w:p w14:paraId="4192AA70" w14:textId="77777777" w:rsidR="00FD6AB0" w:rsidRPr="00EC06E7" w:rsidRDefault="00FD6AB0" w:rsidP="00FD6AB0">
      <w:pPr>
        <w:rPr>
          <w:rFonts w:cs="Courier New"/>
          <w:szCs w:val="22"/>
        </w:rPr>
      </w:pPr>
    </w:p>
    <w:p w14:paraId="32A171B7" w14:textId="7CBA862E" w:rsidR="00FD6AB0" w:rsidRPr="00EC06E7" w:rsidRDefault="00376472" w:rsidP="00FD6AB0">
      <w:pPr>
        <w:ind w:left="1260" w:hanging="1260"/>
        <w:rPr>
          <w:rFonts w:cs="Courier New"/>
          <w:szCs w:val="22"/>
        </w:rPr>
      </w:pPr>
      <w:r w:rsidRPr="00EC06E7">
        <w:rPr>
          <w:rFonts w:cs="Courier New"/>
          <w:szCs w:val="22"/>
        </w:rPr>
        <w:t>Page</w:t>
      </w:r>
      <w:r w:rsidR="00FE5ED6">
        <w:rPr>
          <w:rFonts w:cs="Courier New"/>
          <w:szCs w:val="22"/>
        </w:rPr>
        <w:t xml:space="preserve"> </w:t>
      </w:r>
      <w:r w:rsidR="00F52125">
        <w:rPr>
          <w:rFonts w:cs="Courier New"/>
          <w:szCs w:val="22"/>
        </w:rPr>
        <w:t>42</w:t>
      </w:r>
      <w:r w:rsidR="00FD6AB0" w:rsidRPr="00EC06E7">
        <w:rPr>
          <w:rFonts w:cs="Courier New"/>
          <w:szCs w:val="22"/>
        </w:rPr>
        <w:tab/>
      </w:r>
      <w:r w:rsidR="00FD6AB0" w:rsidRPr="00EC06E7">
        <w:rPr>
          <w:rFonts w:cs="Courier New"/>
          <w:b/>
          <w:szCs w:val="22"/>
        </w:rPr>
        <w:t xml:space="preserve">Comprehensive Income and Expenditure Statement – </w:t>
      </w:r>
      <w:r w:rsidR="00FD6AB0" w:rsidRPr="00EC06E7">
        <w:rPr>
          <w:rFonts w:cs="Courier New"/>
          <w:szCs w:val="22"/>
        </w:rPr>
        <w:t>This statement shows the accounting cost in the year of providing services in accordance with generally accepted accounting practices.</w:t>
      </w:r>
    </w:p>
    <w:p w14:paraId="769449F3" w14:textId="77777777" w:rsidR="00764774" w:rsidRPr="00EC06E7" w:rsidRDefault="00764774" w:rsidP="00FD6AB0">
      <w:pPr>
        <w:ind w:left="1260" w:hanging="1260"/>
        <w:rPr>
          <w:rFonts w:cs="Courier New"/>
          <w:szCs w:val="22"/>
        </w:rPr>
      </w:pPr>
    </w:p>
    <w:p w14:paraId="31E5F2A1" w14:textId="18E19863" w:rsidR="00764774" w:rsidRPr="00EC06E7" w:rsidRDefault="00764774" w:rsidP="00764774">
      <w:pPr>
        <w:ind w:left="1260" w:hanging="1260"/>
        <w:rPr>
          <w:rFonts w:cs="Courier New"/>
          <w:szCs w:val="22"/>
        </w:rPr>
      </w:pPr>
      <w:r w:rsidRPr="00EC06E7">
        <w:rPr>
          <w:rFonts w:cs="Courier New"/>
          <w:szCs w:val="22"/>
        </w:rPr>
        <w:t>Page</w:t>
      </w:r>
      <w:r w:rsidR="00FE5ED6">
        <w:rPr>
          <w:rFonts w:cs="Courier New"/>
          <w:szCs w:val="22"/>
        </w:rPr>
        <w:t xml:space="preserve"> </w:t>
      </w:r>
      <w:r w:rsidR="00F52125">
        <w:rPr>
          <w:rFonts w:cs="Courier New"/>
          <w:szCs w:val="22"/>
        </w:rPr>
        <w:t>43</w:t>
      </w:r>
      <w:r w:rsidRPr="00EC06E7">
        <w:rPr>
          <w:rFonts w:cs="Courier New"/>
          <w:szCs w:val="22"/>
        </w:rPr>
        <w:tab/>
      </w:r>
      <w:r w:rsidRPr="00EC06E7">
        <w:rPr>
          <w:rFonts w:cs="Courier New"/>
          <w:b/>
          <w:szCs w:val="22"/>
        </w:rPr>
        <w:t xml:space="preserve">Movement in Reserves Statement – </w:t>
      </w:r>
      <w:r w:rsidRPr="00EC06E7">
        <w:rPr>
          <w:rFonts w:cs="Courier New"/>
          <w:szCs w:val="22"/>
        </w:rPr>
        <w:t xml:space="preserve">Levels of reserves, and movements therein, are indicators of the financial strength of the organisation. This statement distinguishes usable from unusable reserves. The distinction is explained in the Balance Sheet comment below. </w:t>
      </w:r>
    </w:p>
    <w:p w14:paraId="5D99CDFF" w14:textId="77777777" w:rsidR="00764774" w:rsidRPr="00EC06E7" w:rsidRDefault="00764774" w:rsidP="00764774">
      <w:pPr>
        <w:ind w:left="1260" w:hanging="1260"/>
        <w:rPr>
          <w:rFonts w:cs="Courier New"/>
          <w:szCs w:val="22"/>
        </w:rPr>
      </w:pPr>
    </w:p>
    <w:p w14:paraId="7080A2B9" w14:textId="77777777" w:rsidR="00764774" w:rsidRPr="00EC06E7" w:rsidRDefault="00764774" w:rsidP="00764774">
      <w:pPr>
        <w:ind w:left="1260"/>
        <w:rPr>
          <w:rFonts w:cs="Courier New"/>
          <w:szCs w:val="22"/>
        </w:rPr>
      </w:pPr>
      <w:r w:rsidRPr="00EC06E7">
        <w:rPr>
          <w:rFonts w:cs="Courier New"/>
          <w:szCs w:val="22"/>
        </w:rPr>
        <w:t xml:space="preserve">The Movement in Reserves Statement shows the surplus or deficit arising in the year on the Provision of Service. This is the true economic cost of providing the authority’s services (as detailed in the Comprehensive Income and Expenditure Statement). For the purposes of council tax setting, however, a series of statutory adjustments are then made, resulting in a line entitled “Increase/Decrease </w:t>
      </w:r>
      <w:r w:rsidR="00631D46" w:rsidRPr="00EC06E7">
        <w:rPr>
          <w:rFonts w:cs="Courier New"/>
          <w:szCs w:val="22"/>
        </w:rPr>
        <w:t>in year</w:t>
      </w:r>
      <w:r w:rsidRPr="00EC06E7">
        <w:rPr>
          <w:rFonts w:cs="Courier New"/>
          <w:szCs w:val="22"/>
        </w:rPr>
        <w:t>”</w:t>
      </w:r>
      <w:r w:rsidR="00631D46" w:rsidRPr="00EC06E7">
        <w:rPr>
          <w:rFonts w:cs="Courier New"/>
          <w:szCs w:val="22"/>
        </w:rPr>
        <w:t>.</w:t>
      </w:r>
    </w:p>
    <w:p w14:paraId="11EF936A" w14:textId="77777777" w:rsidR="00FD6AB0" w:rsidRPr="00EC06E7" w:rsidRDefault="00FD6AB0" w:rsidP="00FD6AB0">
      <w:pPr>
        <w:ind w:left="1260" w:hanging="1260"/>
        <w:rPr>
          <w:rFonts w:cs="Courier New"/>
          <w:color w:val="FF0000"/>
          <w:szCs w:val="22"/>
        </w:rPr>
      </w:pPr>
    </w:p>
    <w:p w14:paraId="2EF6F4E5" w14:textId="41006659" w:rsidR="00FD6AB0" w:rsidRPr="00EC06E7" w:rsidRDefault="00376472" w:rsidP="00FD6AB0">
      <w:pPr>
        <w:ind w:left="1260" w:hanging="1260"/>
        <w:rPr>
          <w:rFonts w:cs="Courier New"/>
          <w:szCs w:val="22"/>
        </w:rPr>
      </w:pPr>
      <w:r w:rsidRPr="00EC06E7">
        <w:rPr>
          <w:rFonts w:cs="Courier New"/>
          <w:szCs w:val="22"/>
        </w:rPr>
        <w:t>Page</w:t>
      </w:r>
      <w:r w:rsidR="00764774" w:rsidRPr="00EC06E7">
        <w:rPr>
          <w:rFonts w:cs="Courier New"/>
          <w:szCs w:val="22"/>
        </w:rPr>
        <w:t xml:space="preserve"> </w:t>
      </w:r>
      <w:r w:rsidR="00F52125">
        <w:rPr>
          <w:rFonts w:cs="Courier New"/>
          <w:szCs w:val="22"/>
        </w:rPr>
        <w:t>44</w:t>
      </w:r>
      <w:r w:rsidR="00FD6AB0" w:rsidRPr="00EC06E7">
        <w:rPr>
          <w:rFonts w:cs="Courier New"/>
          <w:szCs w:val="22"/>
        </w:rPr>
        <w:tab/>
      </w:r>
      <w:r w:rsidR="00FD6AB0" w:rsidRPr="00EC06E7">
        <w:rPr>
          <w:rFonts w:cs="Courier New"/>
          <w:b/>
          <w:szCs w:val="22"/>
        </w:rPr>
        <w:t xml:space="preserve">The Balance Sheet – </w:t>
      </w:r>
      <w:r w:rsidR="00FD6AB0" w:rsidRPr="00EC06E7">
        <w:rPr>
          <w:rFonts w:cs="Courier New"/>
          <w:szCs w:val="22"/>
        </w:rPr>
        <w:t>this shows the value of the assets and liabilities recognised by the authority. The total of these, the Net Assets, is matched by the authority’s reserves, as shown in the lower part of the Balance Sheet.</w:t>
      </w:r>
    </w:p>
    <w:p w14:paraId="531DAF2F" w14:textId="77777777" w:rsidR="00FD6AB0" w:rsidRPr="00EC06E7" w:rsidRDefault="00FD6AB0" w:rsidP="00FD6AB0">
      <w:pPr>
        <w:ind w:left="1260" w:hanging="1260"/>
        <w:rPr>
          <w:rFonts w:cs="Courier New"/>
          <w:szCs w:val="22"/>
        </w:rPr>
      </w:pPr>
    </w:p>
    <w:p w14:paraId="34D68E8B" w14:textId="77777777" w:rsidR="00FD6AB0" w:rsidRPr="00EC06E7" w:rsidRDefault="00FD6AB0" w:rsidP="00FD6AB0">
      <w:pPr>
        <w:ind w:left="1260"/>
        <w:rPr>
          <w:rFonts w:cs="Courier New"/>
          <w:szCs w:val="22"/>
        </w:rPr>
      </w:pPr>
      <w:r w:rsidRPr="00EC06E7">
        <w:rPr>
          <w:rFonts w:cs="Courier New"/>
          <w:szCs w:val="22"/>
        </w:rPr>
        <w:t>Reserves are categorised into “Usable”, i.e. available to fund expenditure or reduce local taxation, and “Unusable”. The latter includes the Revaluation Reserve (holding unrealised gains in property values), and other reserves holding amounts arising from differences between the accounting basis used in compiling the Comprehensive Income and Expenditure Statement and statutory basis prescribed for taxation purposes.</w:t>
      </w:r>
    </w:p>
    <w:p w14:paraId="262736A0" w14:textId="77777777" w:rsidR="00FD6AB0" w:rsidRPr="00EC06E7" w:rsidRDefault="00FD6AB0" w:rsidP="00FD6AB0">
      <w:pPr>
        <w:ind w:left="1267" w:hanging="1267"/>
        <w:rPr>
          <w:rFonts w:cs="Courier New"/>
          <w:szCs w:val="22"/>
        </w:rPr>
      </w:pPr>
    </w:p>
    <w:p w14:paraId="49676095" w14:textId="31B7209B" w:rsidR="00FD6AB0" w:rsidRPr="00EC06E7" w:rsidRDefault="00376472" w:rsidP="00FD6AB0">
      <w:pPr>
        <w:ind w:left="1267" w:hanging="1267"/>
        <w:rPr>
          <w:rFonts w:cs="Courier New"/>
          <w:szCs w:val="22"/>
        </w:rPr>
      </w:pPr>
      <w:r w:rsidRPr="00EC06E7">
        <w:rPr>
          <w:rFonts w:cs="Courier New"/>
          <w:szCs w:val="22"/>
        </w:rPr>
        <w:t>Page</w:t>
      </w:r>
      <w:r w:rsidR="009346FB">
        <w:rPr>
          <w:rFonts w:cs="Courier New"/>
          <w:szCs w:val="22"/>
        </w:rPr>
        <w:t xml:space="preserve"> </w:t>
      </w:r>
      <w:r w:rsidR="00F52125">
        <w:rPr>
          <w:rFonts w:cs="Courier New"/>
          <w:szCs w:val="22"/>
        </w:rPr>
        <w:t>45</w:t>
      </w:r>
      <w:r w:rsidR="00FD6AB0" w:rsidRPr="00EC06E7">
        <w:rPr>
          <w:rFonts w:cs="Courier New"/>
          <w:szCs w:val="22"/>
        </w:rPr>
        <w:tab/>
      </w:r>
      <w:r w:rsidR="00FD6AB0" w:rsidRPr="00EC06E7">
        <w:rPr>
          <w:rFonts w:cs="Courier New"/>
          <w:b/>
          <w:szCs w:val="22"/>
        </w:rPr>
        <w:t xml:space="preserve">Cash Flow Statement – </w:t>
      </w:r>
      <w:r w:rsidR="00FD6AB0" w:rsidRPr="00EC06E7">
        <w:rPr>
          <w:rFonts w:cs="Courier New"/>
          <w:szCs w:val="22"/>
        </w:rPr>
        <w:t>this shows the changes in cash and cash equivalents during the reporting period. It shows how cash and cash equivalents are generated and used by classifying cash flows into operating, investment and financing activities.</w:t>
      </w:r>
    </w:p>
    <w:p w14:paraId="1DF10069" w14:textId="77777777" w:rsidR="00FD6AB0" w:rsidRPr="00EC06E7" w:rsidRDefault="00FD6AB0" w:rsidP="00FD6AB0">
      <w:pPr>
        <w:ind w:left="1267" w:hanging="1267"/>
        <w:rPr>
          <w:rFonts w:cs="Courier New"/>
          <w:szCs w:val="22"/>
        </w:rPr>
      </w:pPr>
    </w:p>
    <w:p w14:paraId="41A96C2C" w14:textId="6D48EA94" w:rsidR="00FD6AB0" w:rsidRPr="00EC06E7" w:rsidRDefault="00376472" w:rsidP="00FD6AB0">
      <w:pPr>
        <w:ind w:left="1267" w:hanging="1267"/>
        <w:rPr>
          <w:rFonts w:cs="Courier New"/>
          <w:szCs w:val="22"/>
        </w:rPr>
      </w:pPr>
      <w:r w:rsidRPr="00EC06E7">
        <w:rPr>
          <w:rFonts w:cs="Courier New"/>
          <w:szCs w:val="22"/>
        </w:rPr>
        <w:t>Page</w:t>
      </w:r>
      <w:r w:rsidR="00FE5ED6">
        <w:rPr>
          <w:rFonts w:cs="Courier New"/>
          <w:szCs w:val="22"/>
        </w:rPr>
        <w:t xml:space="preserve"> </w:t>
      </w:r>
      <w:r w:rsidR="00104C53">
        <w:rPr>
          <w:rFonts w:cs="Courier New"/>
          <w:szCs w:val="22"/>
        </w:rPr>
        <w:t>4</w:t>
      </w:r>
      <w:r w:rsidR="00F52125">
        <w:rPr>
          <w:rFonts w:cs="Courier New"/>
          <w:szCs w:val="22"/>
        </w:rPr>
        <w:t>6</w:t>
      </w:r>
      <w:r w:rsidR="00FD6AB0" w:rsidRPr="00EC06E7">
        <w:rPr>
          <w:rFonts w:cs="Courier New"/>
          <w:szCs w:val="22"/>
        </w:rPr>
        <w:tab/>
      </w:r>
      <w:r w:rsidR="00FD6AB0" w:rsidRPr="00EC06E7">
        <w:rPr>
          <w:rFonts w:cs="Courier New"/>
          <w:b/>
          <w:szCs w:val="22"/>
        </w:rPr>
        <w:t xml:space="preserve">Notes to the Main Financial Statements – </w:t>
      </w:r>
      <w:r w:rsidR="00FD6AB0" w:rsidRPr="00EC06E7">
        <w:rPr>
          <w:rFonts w:cs="Courier New"/>
          <w:szCs w:val="22"/>
        </w:rPr>
        <w:t>these add to and interpret the individual statements.</w:t>
      </w:r>
    </w:p>
    <w:p w14:paraId="1BA7BE63" w14:textId="77777777" w:rsidR="00C17B7C" w:rsidRPr="00EC06E7" w:rsidRDefault="00C17B7C" w:rsidP="00D02225"/>
    <w:p w14:paraId="0D3F8CBF" w14:textId="77777777" w:rsidR="00D04FC9" w:rsidRPr="00EC06E7" w:rsidRDefault="00D04FC9" w:rsidP="00D02225"/>
    <w:p w14:paraId="5A073861" w14:textId="77777777" w:rsidR="00C17B7C" w:rsidRPr="00EC06E7" w:rsidRDefault="00C17B7C" w:rsidP="005A74CC">
      <w:pPr>
        <w:pStyle w:val="Heading3"/>
      </w:pPr>
      <w:r w:rsidRPr="00EC06E7">
        <w:t>SUP</w:t>
      </w:r>
      <w:r w:rsidR="007474F9" w:rsidRPr="00EC06E7">
        <w:t>P</w:t>
      </w:r>
      <w:r w:rsidRPr="00EC06E7">
        <w:t>LEMENTARY FINANCIAL STATEMENTS</w:t>
      </w:r>
    </w:p>
    <w:p w14:paraId="620AB588" w14:textId="77777777" w:rsidR="00FD6AB0" w:rsidRPr="00EC06E7" w:rsidRDefault="00FD6AB0" w:rsidP="00FD6AB0">
      <w:pPr>
        <w:ind w:left="1267" w:hanging="1267"/>
        <w:rPr>
          <w:rFonts w:cs="Courier New"/>
          <w:szCs w:val="22"/>
        </w:rPr>
      </w:pPr>
    </w:p>
    <w:p w14:paraId="4FE30982" w14:textId="662AEB8D" w:rsidR="00FD6AB0" w:rsidRPr="00EC06E7" w:rsidRDefault="00376472" w:rsidP="00FD6AB0">
      <w:pPr>
        <w:ind w:left="1267" w:hanging="1267"/>
        <w:rPr>
          <w:rFonts w:cs="Courier New"/>
          <w:szCs w:val="22"/>
        </w:rPr>
      </w:pPr>
      <w:r w:rsidRPr="00EC06E7">
        <w:rPr>
          <w:rFonts w:cs="Courier New"/>
          <w:szCs w:val="22"/>
        </w:rPr>
        <w:t>Page</w:t>
      </w:r>
      <w:r w:rsidR="00FE5ED6">
        <w:rPr>
          <w:rFonts w:cs="Courier New"/>
          <w:szCs w:val="22"/>
        </w:rPr>
        <w:t xml:space="preserve"> </w:t>
      </w:r>
      <w:r w:rsidR="00104C53">
        <w:rPr>
          <w:rFonts w:cs="Courier New"/>
          <w:szCs w:val="22"/>
        </w:rPr>
        <w:t>10</w:t>
      </w:r>
      <w:r w:rsidR="00F52125">
        <w:rPr>
          <w:rFonts w:cs="Courier New"/>
          <w:szCs w:val="22"/>
        </w:rPr>
        <w:t>9</w:t>
      </w:r>
      <w:r w:rsidR="00FD6AB0" w:rsidRPr="00EC06E7">
        <w:rPr>
          <w:rFonts w:cs="Courier New"/>
          <w:szCs w:val="22"/>
        </w:rPr>
        <w:tab/>
      </w:r>
      <w:r w:rsidR="00FD6AB0" w:rsidRPr="00EC06E7">
        <w:rPr>
          <w:rFonts w:cs="Courier New"/>
          <w:b/>
          <w:szCs w:val="22"/>
        </w:rPr>
        <w:t xml:space="preserve">Collection Fund – </w:t>
      </w:r>
      <w:r w:rsidR="00FD6AB0" w:rsidRPr="00EC06E7">
        <w:rPr>
          <w:rFonts w:cs="Courier New"/>
          <w:szCs w:val="22"/>
        </w:rPr>
        <w:t xml:space="preserve">this is an agents statement that reflects the statutory obligation for billing authorities to record transactions relating to the collection of Council Tax and Non-Domestic Rates, and their distribution to precepting authorities, the Government, and the </w:t>
      </w:r>
      <w:r w:rsidR="005124B6">
        <w:rPr>
          <w:rFonts w:cs="Courier New"/>
          <w:szCs w:val="22"/>
        </w:rPr>
        <w:t>c</w:t>
      </w:r>
      <w:r w:rsidR="00FD6AB0" w:rsidRPr="00EC06E7">
        <w:rPr>
          <w:rFonts w:cs="Courier New"/>
          <w:szCs w:val="22"/>
        </w:rPr>
        <w:t>ouncil itself.</w:t>
      </w:r>
    </w:p>
    <w:p w14:paraId="53F097AB" w14:textId="77777777" w:rsidR="00FF2D09" w:rsidRPr="00EC06E7" w:rsidRDefault="00FF2D09" w:rsidP="00FF2D09">
      <w:pPr>
        <w:ind w:left="1267" w:hanging="1267"/>
        <w:rPr>
          <w:rFonts w:cs="Courier New"/>
          <w:szCs w:val="22"/>
        </w:rPr>
      </w:pPr>
    </w:p>
    <w:p w14:paraId="4FF753FC" w14:textId="43714FBD" w:rsidR="00FF2D09" w:rsidRPr="00EC06E7" w:rsidRDefault="00376472" w:rsidP="00FF2D09">
      <w:pPr>
        <w:ind w:left="1267" w:hanging="1267"/>
        <w:rPr>
          <w:rFonts w:cs="Courier New"/>
          <w:szCs w:val="22"/>
        </w:rPr>
      </w:pPr>
      <w:r w:rsidRPr="00EC06E7">
        <w:rPr>
          <w:rFonts w:cs="Courier New"/>
          <w:szCs w:val="22"/>
        </w:rPr>
        <w:t>Page</w:t>
      </w:r>
      <w:r w:rsidR="00F52125">
        <w:rPr>
          <w:rFonts w:cs="Courier New"/>
          <w:szCs w:val="22"/>
        </w:rPr>
        <w:t>110</w:t>
      </w:r>
      <w:r w:rsidR="00FF2D09" w:rsidRPr="00EC06E7">
        <w:rPr>
          <w:rFonts w:cs="Courier New"/>
          <w:szCs w:val="22"/>
        </w:rPr>
        <w:tab/>
      </w:r>
      <w:r w:rsidR="00FF2D09" w:rsidRPr="00EC06E7">
        <w:rPr>
          <w:rFonts w:cs="Courier New"/>
          <w:b/>
          <w:szCs w:val="22"/>
        </w:rPr>
        <w:t xml:space="preserve">Notes to the </w:t>
      </w:r>
      <w:r w:rsidR="0038640D" w:rsidRPr="00EC06E7">
        <w:rPr>
          <w:rFonts w:cs="Courier New"/>
          <w:b/>
          <w:szCs w:val="22"/>
        </w:rPr>
        <w:t>Collection Fund</w:t>
      </w:r>
      <w:r w:rsidR="00FF2D09" w:rsidRPr="00EC06E7">
        <w:rPr>
          <w:rFonts w:cs="Courier New"/>
          <w:b/>
          <w:szCs w:val="22"/>
        </w:rPr>
        <w:t xml:space="preserve"> – </w:t>
      </w:r>
      <w:r w:rsidR="00FF2D09" w:rsidRPr="00EC06E7">
        <w:rPr>
          <w:rFonts w:cs="Courier New"/>
          <w:szCs w:val="22"/>
        </w:rPr>
        <w:t xml:space="preserve">these add to and interpret the </w:t>
      </w:r>
      <w:r w:rsidR="0038640D" w:rsidRPr="00EC06E7">
        <w:rPr>
          <w:rFonts w:cs="Courier New"/>
          <w:szCs w:val="22"/>
        </w:rPr>
        <w:t>Collection Fund st</w:t>
      </w:r>
      <w:r w:rsidR="00FF2D09" w:rsidRPr="00EC06E7">
        <w:rPr>
          <w:rFonts w:cs="Courier New"/>
          <w:szCs w:val="22"/>
        </w:rPr>
        <w:t>atement.</w:t>
      </w:r>
      <w:r w:rsidR="002707F8" w:rsidRPr="00EC06E7">
        <w:rPr>
          <w:rFonts w:cs="Courier New"/>
          <w:szCs w:val="22"/>
        </w:rPr>
        <w:t xml:space="preserve"> </w:t>
      </w:r>
    </w:p>
    <w:p w14:paraId="5E5DD4B8" w14:textId="77777777" w:rsidR="00095906" w:rsidRPr="00EC06E7" w:rsidRDefault="00095906"/>
    <w:p w14:paraId="50B67F71" w14:textId="77777777" w:rsidR="00095906" w:rsidRPr="00EC06E7" w:rsidRDefault="00095906"/>
    <w:p w14:paraId="044401C6" w14:textId="436E772B" w:rsidR="00F56C7D" w:rsidRPr="00730951" w:rsidRDefault="00F56C7D" w:rsidP="00730951">
      <w:pPr>
        <w:ind w:right="537"/>
        <w:rPr>
          <w:rFonts w:cs="Arial"/>
          <w:szCs w:val="22"/>
        </w:rPr>
      </w:pPr>
    </w:p>
    <w:p w14:paraId="547270EA" w14:textId="77777777" w:rsidR="00320ED9" w:rsidRDefault="00320ED9" w:rsidP="00D37754">
      <w:pPr>
        <w:pStyle w:val="Heading1"/>
        <w:sectPr w:rsidR="00320ED9" w:rsidSect="00A535A0">
          <w:footerReference w:type="first" r:id="rId52"/>
          <w:pgSz w:w="11906" w:h="16838"/>
          <w:pgMar w:top="1134" w:right="1134" w:bottom="1134" w:left="1134" w:header="567" w:footer="567" w:gutter="0"/>
          <w:cols w:space="720"/>
          <w:docGrid w:linePitch="360"/>
        </w:sectPr>
      </w:pPr>
      <w:bookmarkStart w:id="10" w:name="_Ref454395768"/>
    </w:p>
    <w:p w14:paraId="4004B5BD" w14:textId="14DF454E" w:rsidR="00B46D78" w:rsidRPr="00EC06E7" w:rsidRDefault="00B46D78" w:rsidP="00D37754">
      <w:pPr>
        <w:pStyle w:val="Heading1"/>
      </w:pPr>
      <w:bookmarkStart w:id="11" w:name="_Toc77603768"/>
      <w:r w:rsidRPr="00EC06E7">
        <w:t>The Independent Auditor</w:t>
      </w:r>
      <w:r w:rsidR="00115C78">
        <w:t>’</w:t>
      </w:r>
      <w:r w:rsidRPr="00EC06E7">
        <w:t>s Report</w:t>
      </w:r>
      <w:bookmarkEnd w:id="10"/>
      <w:bookmarkEnd w:id="11"/>
      <w:r w:rsidR="00477CA7" w:rsidRPr="00EC06E7">
        <w:rPr>
          <w:noProof/>
        </w:rPr>
        <w:t xml:space="preserve"> </w:t>
      </w:r>
    </w:p>
    <w:p w14:paraId="59C26886" w14:textId="5FDD7C41" w:rsidR="00320ED9" w:rsidRDefault="00320ED9">
      <w:pPr>
        <w:jc w:val="left"/>
        <w:rPr>
          <w:rFonts w:cs="Arial"/>
          <w:noProof/>
          <w:szCs w:val="22"/>
        </w:rPr>
      </w:pPr>
      <w:bookmarkStart w:id="12" w:name="_Ref454395644"/>
      <w:bookmarkStart w:id="13" w:name="_Ref454395799"/>
    </w:p>
    <w:p w14:paraId="4EF4BDE7" w14:textId="1E261D2A" w:rsidR="003824EA" w:rsidRDefault="003824EA">
      <w:pPr>
        <w:jc w:val="left"/>
        <w:rPr>
          <w:rFonts w:cs="Arial"/>
          <w:noProof/>
          <w:szCs w:val="22"/>
        </w:rPr>
      </w:pPr>
    </w:p>
    <w:p w14:paraId="39663519" w14:textId="10FDAA31" w:rsidR="003824EA" w:rsidRDefault="00BF730A">
      <w:pPr>
        <w:jc w:val="left"/>
        <w:rPr>
          <w:rFonts w:cs="Arial"/>
          <w:noProof/>
          <w:szCs w:val="22"/>
        </w:rPr>
      </w:pPr>
      <w:r>
        <w:rPr>
          <w:b/>
          <w:bCs/>
          <w:szCs w:val="22"/>
        </w:rPr>
        <w:t>This page is intentionally blank and will be filled with the Independent Auditor’s Report on conclusion of the audit.</w:t>
      </w:r>
    </w:p>
    <w:p w14:paraId="77420EC0" w14:textId="558F09EE" w:rsidR="003824EA" w:rsidRDefault="003824EA">
      <w:pPr>
        <w:jc w:val="left"/>
        <w:rPr>
          <w:rFonts w:cs="Arial"/>
          <w:szCs w:val="22"/>
        </w:rPr>
      </w:pPr>
    </w:p>
    <w:p w14:paraId="6B7CC746" w14:textId="2CF5C423" w:rsidR="00BF730A" w:rsidRDefault="00BF730A">
      <w:pPr>
        <w:jc w:val="left"/>
        <w:rPr>
          <w:rFonts w:cs="Arial"/>
          <w:szCs w:val="22"/>
        </w:rPr>
      </w:pPr>
    </w:p>
    <w:p w14:paraId="6B72485B" w14:textId="1A4EBC81" w:rsidR="00BF730A" w:rsidRDefault="00BF730A">
      <w:pPr>
        <w:jc w:val="left"/>
        <w:rPr>
          <w:rFonts w:cs="Arial"/>
          <w:szCs w:val="22"/>
        </w:rPr>
      </w:pPr>
    </w:p>
    <w:p w14:paraId="59A254A3" w14:textId="652F3CAA" w:rsidR="00BF730A" w:rsidRDefault="00BF730A">
      <w:pPr>
        <w:jc w:val="left"/>
        <w:rPr>
          <w:rFonts w:cs="Arial"/>
          <w:szCs w:val="22"/>
        </w:rPr>
      </w:pPr>
      <w:r>
        <w:rPr>
          <w:rFonts w:cs="Arial"/>
          <w:szCs w:val="22"/>
        </w:rPr>
        <w:br w:type="page"/>
      </w:r>
    </w:p>
    <w:p w14:paraId="60372118" w14:textId="6693CBC7" w:rsidR="00BF730A" w:rsidRDefault="00BF730A">
      <w:pPr>
        <w:jc w:val="left"/>
        <w:rPr>
          <w:rFonts w:cs="Arial"/>
          <w:szCs w:val="22"/>
        </w:rPr>
      </w:pPr>
    </w:p>
    <w:p w14:paraId="4EFD716D" w14:textId="77777777" w:rsidR="00BF730A" w:rsidRDefault="00BF730A">
      <w:pPr>
        <w:jc w:val="left"/>
        <w:rPr>
          <w:rFonts w:cs="Arial"/>
          <w:szCs w:val="22"/>
        </w:rPr>
      </w:pPr>
    </w:p>
    <w:p w14:paraId="678FA7BE" w14:textId="0D231A1D" w:rsidR="00BF730A" w:rsidRDefault="00BF730A">
      <w:pPr>
        <w:jc w:val="left"/>
        <w:rPr>
          <w:rFonts w:cs="Arial"/>
          <w:szCs w:val="22"/>
        </w:rPr>
      </w:pPr>
    </w:p>
    <w:p w14:paraId="16AD8834" w14:textId="77E33E81" w:rsidR="00BF730A" w:rsidRDefault="00BF730A">
      <w:pPr>
        <w:jc w:val="left"/>
        <w:rPr>
          <w:rFonts w:cs="Arial"/>
          <w:szCs w:val="22"/>
        </w:rPr>
      </w:pPr>
      <w:r>
        <w:rPr>
          <w:b/>
          <w:bCs/>
          <w:szCs w:val="22"/>
        </w:rPr>
        <w:t>This page is intentionally blank and will be filled with the Independent Auditor’s Report on conclusion of the audit.</w:t>
      </w:r>
    </w:p>
    <w:p w14:paraId="62B9F55C" w14:textId="1306A53D" w:rsidR="00BF730A" w:rsidRDefault="00BF730A">
      <w:pPr>
        <w:jc w:val="left"/>
        <w:rPr>
          <w:rFonts w:cs="Arial"/>
          <w:szCs w:val="22"/>
        </w:rPr>
      </w:pPr>
    </w:p>
    <w:p w14:paraId="00FDCE56" w14:textId="23E15D0F" w:rsidR="00BF730A" w:rsidRDefault="00BF730A">
      <w:pPr>
        <w:jc w:val="left"/>
        <w:rPr>
          <w:rFonts w:cs="Arial"/>
          <w:szCs w:val="22"/>
        </w:rPr>
      </w:pPr>
    </w:p>
    <w:p w14:paraId="17BBDB8C" w14:textId="3DFD7FAB" w:rsidR="00BF730A" w:rsidRDefault="00BF730A">
      <w:pPr>
        <w:jc w:val="left"/>
        <w:rPr>
          <w:rFonts w:cs="Arial"/>
          <w:szCs w:val="22"/>
        </w:rPr>
      </w:pPr>
      <w:r>
        <w:rPr>
          <w:rFonts w:cs="Arial"/>
          <w:szCs w:val="22"/>
        </w:rPr>
        <w:br w:type="page"/>
      </w:r>
    </w:p>
    <w:p w14:paraId="411796D1" w14:textId="77777777" w:rsidR="00BF730A" w:rsidRDefault="00BF730A">
      <w:pPr>
        <w:jc w:val="left"/>
        <w:rPr>
          <w:rFonts w:cs="Arial"/>
          <w:szCs w:val="22"/>
        </w:rPr>
      </w:pPr>
    </w:p>
    <w:p w14:paraId="3297DCF7" w14:textId="0704C304" w:rsidR="00BF730A" w:rsidRDefault="00BF730A">
      <w:pPr>
        <w:jc w:val="left"/>
        <w:rPr>
          <w:rFonts w:cs="Arial"/>
          <w:szCs w:val="22"/>
        </w:rPr>
      </w:pPr>
    </w:p>
    <w:p w14:paraId="5CBA3307" w14:textId="6E446912" w:rsidR="00BF730A" w:rsidRDefault="00BF730A">
      <w:pPr>
        <w:jc w:val="left"/>
        <w:rPr>
          <w:rFonts w:cs="Arial"/>
          <w:szCs w:val="22"/>
        </w:rPr>
      </w:pPr>
    </w:p>
    <w:p w14:paraId="517FD1AC" w14:textId="244FD3D6" w:rsidR="00BF730A" w:rsidRDefault="00BF730A">
      <w:pPr>
        <w:jc w:val="left"/>
        <w:rPr>
          <w:rFonts w:cs="Arial"/>
          <w:szCs w:val="22"/>
        </w:rPr>
      </w:pPr>
      <w:r>
        <w:rPr>
          <w:b/>
          <w:bCs/>
          <w:szCs w:val="22"/>
        </w:rPr>
        <w:t>This page is intentionally blank and will be filled with the Independent Auditor’s Report on conclusion of the audit.</w:t>
      </w:r>
    </w:p>
    <w:p w14:paraId="7DFC75A6" w14:textId="593A55AB" w:rsidR="00BF730A" w:rsidRDefault="00BF730A">
      <w:pPr>
        <w:jc w:val="left"/>
        <w:rPr>
          <w:rFonts w:cs="Arial"/>
          <w:szCs w:val="22"/>
        </w:rPr>
      </w:pPr>
    </w:p>
    <w:p w14:paraId="2DF55E69" w14:textId="76DDF77F" w:rsidR="00BF730A" w:rsidRDefault="00BF730A">
      <w:pPr>
        <w:jc w:val="left"/>
        <w:rPr>
          <w:rFonts w:cs="Arial"/>
          <w:szCs w:val="22"/>
        </w:rPr>
      </w:pPr>
    </w:p>
    <w:p w14:paraId="3C6CC07F" w14:textId="33218E32" w:rsidR="00BF730A" w:rsidRDefault="00BF730A">
      <w:pPr>
        <w:jc w:val="left"/>
        <w:rPr>
          <w:rFonts w:cs="Arial"/>
          <w:szCs w:val="22"/>
        </w:rPr>
      </w:pPr>
    </w:p>
    <w:p w14:paraId="2958E7A3" w14:textId="52BB1907" w:rsidR="00BF730A" w:rsidRDefault="00BF730A">
      <w:pPr>
        <w:jc w:val="left"/>
        <w:rPr>
          <w:rFonts w:cs="Arial"/>
          <w:szCs w:val="22"/>
        </w:rPr>
      </w:pPr>
    </w:p>
    <w:p w14:paraId="6EBBFFF3" w14:textId="4101A5A5" w:rsidR="00BF730A" w:rsidRDefault="00BF730A">
      <w:pPr>
        <w:jc w:val="left"/>
        <w:rPr>
          <w:rFonts w:cs="Arial"/>
          <w:szCs w:val="22"/>
        </w:rPr>
      </w:pPr>
      <w:r>
        <w:rPr>
          <w:rFonts w:cs="Arial"/>
          <w:szCs w:val="22"/>
        </w:rPr>
        <w:br w:type="page"/>
      </w:r>
    </w:p>
    <w:p w14:paraId="773C7CFC" w14:textId="77777777" w:rsidR="00BF730A" w:rsidRDefault="00BF730A">
      <w:pPr>
        <w:jc w:val="left"/>
        <w:rPr>
          <w:rFonts w:cs="Arial"/>
          <w:szCs w:val="22"/>
        </w:rPr>
      </w:pPr>
    </w:p>
    <w:p w14:paraId="4EE98239" w14:textId="6F35B0C0" w:rsidR="00BF730A" w:rsidRDefault="00BF730A">
      <w:pPr>
        <w:jc w:val="left"/>
        <w:rPr>
          <w:rFonts w:cs="Arial"/>
          <w:szCs w:val="22"/>
        </w:rPr>
      </w:pPr>
    </w:p>
    <w:p w14:paraId="79CAB31A" w14:textId="7045E84D" w:rsidR="00BF730A" w:rsidRDefault="00BF730A">
      <w:pPr>
        <w:jc w:val="left"/>
        <w:rPr>
          <w:rFonts w:cs="Arial"/>
          <w:szCs w:val="22"/>
        </w:rPr>
      </w:pPr>
    </w:p>
    <w:p w14:paraId="44EDB58D" w14:textId="6607B0E0" w:rsidR="00BF730A" w:rsidRDefault="00BF730A">
      <w:pPr>
        <w:jc w:val="left"/>
        <w:rPr>
          <w:rFonts w:cs="Arial"/>
          <w:szCs w:val="22"/>
        </w:rPr>
      </w:pPr>
      <w:r>
        <w:rPr>
          <w:b/>
          <w:bCs/>
          <w:szCs w:val="22"/>
        </w:rPr>
        <w:t>This page is intentionally blank and will be filled with the Independent Auditor’s Report on conclusion of the audit.</w:t>
      </w:r>
    </w:p>
    <w:p w14:paraId="2C3DA8D8" w14:textId="54833AE9" w:rsidR="00BF730A" w:rsidRDefault="00BF730A">
      <w:pPr>
        <w:jc w:val="left"/>
        <w:rPr>
          <w:rFonts w:cs="Arial"/>
          <w:szCs w:val="22"/>
        </w:rPr>
      </w:pPr>
    </w:p>
    <w:p w14:paraId="4977F1AF" w14:textId="197F95C7" w:rsidR="00BF730A" w:rsidRDefault="00BF730A">
      <w:pPr>
        <w:jc w:val="left"/>
        <w:rPr>
          <w:rFonts w:cs="Arial"/>
          <w:szCs w:val="22"/>
        </w:rPr>
      </w:pPr>
    </w:p>
    <w:p w14:paraId="4EA1A68B" w14:textId="77777777" w:rsidR="00BF730A" w:rsidRDefault="00BF730A">
      <w:pPr>
        <w:jc w:val="left"/>
        <w:rPr>
          <w:rFonts w:cs="Arial"/>
          <w:szCs w:val="22"/>
        </w:rPr>
      </w:pPr>
    </w:p>
    <w:p w14:paraId="0BD19CFF" w14:textId="3B957983" w:rsidR="00BF730A" w:rsidRDefault="00BF730A">
      <w:pPr>
        <w:jc w:val="left"/>
        <w:rPr>
          <w:rFonts w:cs="Arial"/>
          <w:szCs w:val="22"/>
        </w:rPr>
      </w:pPr>
    </w:p>
    <w:p w14:paraId="70637BBE" w14:textId="30B928EE" w:rsidR="00BF730A" w:rsidRDefault="00BF730A">
      <w:pPr>
        <w:jc w:val="left"/>
        <w:rPr>
          <w:rFonts w:cs="Arial"/>
          <w:szCs w:val="22"/>
        </w:rPr>
      </w:pPr>
    </w:p>
    <w:p w14:paraId="4A64076E" w14:textId="7C0E3213" w:rsidR="00BF730A" w:rsidRDefault="00BF730A">
      <w:pPr>
        <w:jc w:val="left"/>
        <w:rPr>
          <w:rFonts w:cs="Arial"/>
          <w:szCs w:val="22"/>
        </w:rPr>
      </w:pPr>
      <w:r>
        <w:rPr>
          <w:rFonts w:cs="Arial"/>
          <w:szCs w:val="22"/>
        </w:rPr>
        <w:br w:type="page"/>
      </w:r>
    </w:p>
    <w:p w14:paraId="47A3F1A5" w14:textId="77777777" w:rsidR="00BF730A" w:rsidRDefault="00BF730A">
      <w:pPr>
        <w:jc w:val="left"/>
        <w:rPr>
          <w:rFonts w:cs="Arial"/>
          <w:szCs w:val="22"/>
        </w:rPr>
      </w:pPr>
    </w:p>
    <w:p w14:paraId="4BC267A0" w14:textId="77777777" w:rsidR="00BF730A" w:rsidRDefault="00BF730A">
      <w:pPr>
        <w:jc w:val="left"/>
        <w:rPr>
          <w:rFonts w:cs="Arial"/>
          <w:szCs w:val="22"/>
        </w:rPr>
      </w:pPr>
    </w:p>
    <w:p w14:paraId="4FA4CD1C" w14:textId="005D99FF" w:rsidR="00BF730A" w:rsidRDefault="00BF730A">
      <w:pPr>
        <w:jc w:val="left"/>
        <w:rPr>
          <w:rFonts w:cs="Arial"/>
          <w:szCs w:val="22"/>
        </w:rPr>
      </w:pPr>
    </w:p>
    <w:p w14:paraId="21E9718D" w14:textId="13B6049F" w:rsidR="00BF730A" w:rsidRDefault="00BF730A">
      <w:pPr>
        <w:jc w:val="left"/>
        <w:rPr>
          <w:rFonts w:cs="Arial"/>
          <w:szCs w:val="22"/>
        </w:rPr>
      </w:pPr>
    </w:p>
    <w:p w14:paraId="019AF517" w14:textId="77777777" w:rsidR="00BF730A" w:rsidRDefault="00BF730A" w:rsidP="00BF730A">
      <w:pPr>
        <w:jc w:val="left"/>
        <w:rPr>
          <w:rFonts w:cs="Arial"/>
          <w:szCs w:val="22"/>
        </w:rPr>
      </w:pPr>
      <w:r>
        <w:rPr>
          <w:b/>
          <w:bCs/>
          <w:szCs w:val="22"/>
        </w:rPr>
        <w:t>This page is intentionally blank and will be filled with the Independent Auditor’s Report on conclusion of the audit.</w:t>
      </w:r>
    </w:p>
    <w:p w14:paraId="48DBF3D2" w14:textId="392591A3" w:rsidR="00BF730A" w:rsidRDefault="00BF730A">
      <w:pPr>
        <w:jc w:val="left"/>
        <w:rPr>
          <w:rFonts w:cs="Arial"/>
          <w:szCs w:val="22"/>
        </w:rPr>
      </w:pPr>
    </w:p>
    <w:p w14:paraId="7150E597" w14:textId="4784C7B8" w:rsidR="00BF730A" w:rsidRDefault="00BF730A">
      <w:pPr>
        <w:jc w:val="left"/>
        <w:rPr>
          <w:rFonts w:cs="Arial"/>
          <w:szCs w:val="22"/>
        </w:rPr>
      </w:pPr>
    </w:p>
    <w:p w14:paraId="4BEEAD0B" w14:textId="1E71589D" w:rsidR="00BF730A" w:rsidRDefault="00BF730A">
      <w:pPr>
        <w:jc w:val="left"/>
        <w:rPr>
          <w:rFonts w:cs="Arial"/>
          <w:szCs w:val="22"/>
        </w:rPr>
      </w:pPr>
    </w:p>
    <w:p w14:paraId="7D613BCC" w14:textId="16400D3A" w:rsidR="00BF730A" w:rsidRDefault="00BF730A">
      <w:pPr>
        <w:jc w:val="left"/>
        <w:rPr>
          <w:rFonts w:cs="Arial"/>
          <w:szCs w:val="22"/>
        </w:rPr>
      </w:pPr>
    </w:p>
    <w:p w14:paraId="32483753" w14:textId="77777777" w:rsidR="00BF730A" w:rsidRPr="00320ED9" w:rsidRDefault="00BF730A">
      <w:pPr>
        <w:jc w:val="left"/>
        <w:rPr>
          <w:rFonts w:cs="Arial"/>
          <w:szCs w:val="22"/>
        </w:rPr>
      </w:pPr>
    </w:p>
    <w:p w14:paraId="76070DBF" w14:textId="6BF53E28" w:rsidR="00320ED9" w:rsidRDefault="00320ED9">
      <w:pPr>
        <w:jc w:val="left"/>
        <w:rPr>
          <w:rFonts w:cs="Arial"/>
          <w:szCs w:val="22"/>
        </w:rPr>
      </w:pPr>
    </w:p>
    <w:p w14:paraId="528BA716" w14:textId="3A5E8363" w:rsidR="00320ED9" w:rsidRDefault="00320ED9">
      <w:pPr>
        <w:jc w:val="left"/>
        <w:rPr>
          <w:rFonts w:cs="Arial"/>
          <w:szCs w:val="22"/>
        </w:rPr>
      </w:pPr>
    </w:p>
    <w:p w14:paraId="19D6B5AC" w14:textId="56E3345F" w:rsidR="00320ED9" w:rsidRDefault="00320ED9">
      <w:pPr>
        <w:jc w:val="left"/>
        <w:rPr>
          <w:rFonts w:cs="Arial"/>
          <w:szCs w:val="22"/>
        </w:rPr>
      </w:pPr>
    </w:p>
    <w:bookmarkEnd w:id="12"/>
    <w:bookmarkEnd w:id="13"/>
    <w:p w14:paraId="3ABE4775" w14:textId="655CFE52" w:rsidR="00625332" w:rsidRPr="00320ED9" w:rsidRDefault="00625332" w:rsidP="00320ED9">
      <w:pPr>
        <w:jc w:val="left"/>
        <w:rPr>
          <w:bCs/>
          <w:u w:val="single"/>
        </w:rPr>
      </w:pPr>
    </w:p>
    <w:p w14:paraId="22E8A5E9" w14:textId="77777777" w:rsidR="00320ED9" w:rsidRDefault="00320ED9" w:rsidP="00D37754">
      <w:pPr>
        <w:pStyle w:val="Heading1"/>
        <w:sectPr w:rsidR="00320ED9" w:rsidSect="00320ED9">
          <w:pgSz w:w="11906" w:h="16838"/>
          <w:pgMar w:top="567" w:right="1134" w:bottom="567" w:left="1134" w:header="567" w:footer="567" w:gutter="0"/>
          <w:cols w:space="720"/>
          <w:docGrid w:linePitch="360"/>
        </w:sectPr>
      </w:pPr>
      <w:bookmarkStart w:id="14" w:name="_Ref454395813"/>
    </w:p>
    <w:p w14:paraId="30C81A16" w14:textId="20EC4390" w:rsidR="00CD3E1F" w:rsidRPr="00EC06E7" w:rsidRDefault="00126247" w:rsidP="00D37754">
      <w:pPr>
        <w:pStyle w:val="Heading1"/>
      </w:pPr>
      <w:bookmarkStart w:id="15" w:name="_Toc77603769"/>
      <w:r w:rsidRPr="00EC06E7">
        <w:t>Statement of Responsibilities</w:t>
      </w:r>
      <w:bookmarkEnd w:id="14"/>
      <w:bookmarkEnd w:id="15"/>
    </w:p>
    <w:p w14:paraId="079D9BE2" w14:textId="77777777" w:rsidR="001763B7" w:rsidRPr="00EC06E7" w:rsidRDefault="001763B7" w:rsidP="000764C7"/>
    <w:p w14:paraId="4471D111" w14:textId="77777777" w:rsidR="00CD3E1F" w:rsidRPr="00EC06E7" w:rsidRDefault="00CD3E1F" w:rsidP="000764C7">
      <w:r w:rsidRPr="00EC06E7">
        <w:t>Th</w:t>
      </w:r>
      <w:r w:rsidR="005038A7" w:rsidRPr="00EC06E7">
        <w:t>is statement defines the</w:t>
      </w:r>
      <w:r w:rsidRPr="00EC06E7">
        <w:t xml:space="preserve"> responsibilities </w:t>
      </w:r>
      <w:r w:rsidR="005038A7" w:rsidRPr="00EC06E7">
        <w:t>of</w:t>
      </w:r>
      <w:r w:rsidRPr="00EC06E7">
        <w:t xml:space="preserve"> the </w:t>
      </w:r>
      <w:r w:rsidR="005124B6">
        <w:t>c</w:t>
      </w:r>
      <w:r w:rsidRPr="00EC06E7">
        <w:t xml:space="preserve">ouncil and the </w:t>
      </w:r>
      <w:r w:rsidR="005038A7" w:rsidRPr="00EC06E7">
        <w:t>Responsible Financial</w:t>
      </w:r>
      <w:r w:rsidRPr="00EC06E7">
        <w:t xml:space="preserve"> Officer in </w:t>
      </w:r>
      <w:r w:rsidR="005038A7" w:rsidRPr="00EC06E7">
        <w:t>respect of</w:t>
      </w:r>
      <w:r w:rsidRPr="00EC06E7">
        <w:t xml:space="preserve"> the </w:t>
      </w:r>
      <w:r w:rsidR="005124B6">
        <w:t>c</w:t>
      </w:r>
      <w:r w:rsidRPr="00EC06E7">
        <w:t>ouncil’s financial affairs.</w:t>
      </w:r>
    </w:p>
    <w:p w14:paraId="5D6E5A35" w14:textId="77777777" w:rsidR="000764C7" w:rsidRPr="00EC06E7" w:rsidRDefault="000764C7" w:rsidP="000764C7">
      <w:pPr>
        <w:rPr>
          <w:sz w:val="16"/>
          <w:szCs w:val="16"/>
        </w:rPr>
      </w:pPr>
    </w:p>
    <w:p w14:paraId="6D8785B5" w14:textId="77777777" w:rsidR="000764C7" w:rsidRPr="00EC06E7" w:rsidRDefault="000764C7" w:rsidP="000764C7">
      <w:pPr>
        <w:rPr>
          <w:sz w:val="16"/>
          <w:szCs w:val="16"/>
        </w:rPr>
      </w:pPr>
    </w:p>
    <w:p w14:paraId="03216486" w14:textId="77777777" w:rsidR="00CD3E1F" w:rsidRPr="00EC06E7" w:rsidRDefault="00CD3E1F" w:rsidP="000764C7">
      <w:pPr>
        <w:pStyle w:val="Heading3"/>
      </w:pPr>
      <w:r w:rsidRPr="00EC06E7">
        <w:t xml:space="preserve">The </w:t>
      </w:r>
      <w:r w:rsidR="005124B6">
        <w:t>c</w:t>
      </w:r>
      <w:r w:rsidRPr="00EC06E7">
        <w:t>ouncil’s Responsibilities</w:t>
      </w:r>
    </w:p>
    <w:p w14:paraId="331A0E38" w14:textId="77777777" w:rsidR="002878CB" w:rsidRPr="00EC06E7" w:rsidRDefault="002878CB" w:rsidP="002878CB">
      <w:pPr>
        <w:rPr>
          <w:b/>
        </w:rPr>
      </w:pPr>
    </w:p>
    <w:p w14:paraId="09A05444" w14:textId="77777777" w:rsidR="00CD3E1F" w:rsidRPr="00EC06E7" w:rsidRDefault="00CD3E1F" w:rsidP="00CD3E1F">
      <w:r w:rsidRPr="00EC06E7">
        <w:t xml:space="preserve">The </w:t>
      </w:r>
      <w:r w:rsidR="005124B6">
        <w:t>c</w:t>
      </w:r>
      <w:r w:rsidRPr="00EC06E7">
        <w:t>ouncil shall:</w:t>
      </w:r>
    </w:p>
    <w:p w14:paraId="66CD579E" w14:textId="58962550" w:rsidR="000764C7" w:rsidRPr="00577626" w:rsidRDefault="000764C7" w:rsidP="00E948BF">
      <w:pPr>
        <w:pStyle w:val="ListParagraph"/>
        <w:numPr>
          <w:ilvl w:val="0"/>
          <w:numId w:val="20"/>
        </w:numPr>
      </w:pPr>
      <w:proofErr w:type="gramStart"/>
      <w:r w:rsidRPr="00EC06E7">
        <w:t>Make</w:t>
      </w:r>
      <w:r w:rsidR="00CD3E1F" w:rsidRPr="00EC06E7">
        <w:t xml:space="preserve"> arrangements</w:t>
      </w:r>
      <w:proofErr w:type="gramEnd"/>
      <w:r w:rsidR="00CD3E1F" w:rsidRPr="00EC06E7">
        <w:t xml:space="preserve"> for the proper administratio</w:t>
      </w:r>
      <w:r w:rsidR="005038A7" w:rsidRPr="00EC06E7">
        <w:t xml:space="preserve">n of its financial affairs and </w:t>
      </w:r>
      <w:r w:rsidR="00CD3E1F" w:rsidRPr="00EC06E7">
        <w:t xml:space="preserve">secure that one of its </w:t>
      </w:r>
      <w:r w:rsidR="00CD3E1F" w:rsidRPr="00577626">
        <w:t xml:space="preserve">officers has the responsibility for the administration of those affairs. In this </w:t>
      </w:r>
      <w:r w:rsidR="005124B6">
        <w:t>c</w:t>
      </w:r>
      <w:r w:rsidR="00CD3E1F" w:rsidRPr="00577626">
        <w:t>ouncil, that officer is the</w:t>
      </w:r>
      <w:r w:rsidR="004C1B51">
        <w:t xml:space="preserve"> </w:t>
      </w:r>
      <w:r w:rsidR="007F2F2C">
        <w:t xml:space="preserve">Director of </w:t>
      </w:r>
      <w:r w:rsidR="007F2F2C" w:rsidRPr="00577626">
        <w:t>Finance</w:t>
      </w:r>
      <w:r w:rsidR="007F2F2C">
        <w:t>/</w:t>
      </w:r>
      <w:r w:rsidR="007F2F2C" w:rsidRPr="00577626">
        <w:t>S151</w:t>
      </w:r>
      <w:r w:rsidR="00CD3E1F" w:rsidRPr="00577626">
        <w:t>.</w:t>
      </w:r>
    </w:p>
    <w:p w14:paraId="6EA73AF6" w14:textId="77777777" w:rsidR="000764C7" w:rsidRPr="00577626" w:rsidRDefault="000764C7" w:rsidP="00E948BF">
      <w:pPr>
        <w:pStyle w:val="ListParagraph"/>
        <w:numPr>
          <w:ilvl w:val="0"/>
          <w:numId w:val="20"/>
        </w:numPr>
      </w:pPr>
      <w:r w:rsidRPr="00577626">
        <w:t>Manage</w:t>
      </w:r>
      <w:r w:rsidR="00CD3E1F" w:rsidRPr="00577626">
        <w:t xml:space="preserve"> its affairs to secure economic, efficient and effective use of resources and safeguard its assets.</w:t>
      </w:r>
    </w:p>
    <w:p w14:paraId="208DE528" w14:textId="77777777" w:rsidR="00CD3E1F" w:rsidRPr="00577626" w:rsidRDefault="000764C7" w:rsidP="00E948BF">
      <w:pPr>
        <w:pStyle w:val="ListParagraph"/>
        <w:numPr>
          <w:ilvl w:val="0"/>
          <w:numId w:val="20"/>
        </w:numPr>
      </w:pPr>
      <w:r w:rsidRPr="00577626">
        <w:t>Approve</w:t>
      </w:r>
      <w:r w:rsidR="00B46D78" w:rsidRPr="00577626">
        <w:t xml:space="preserve"> the S</w:t>
      </w:r>
      <w:r w:rsidR="00CD3E1F" w:rsidRPr="00577626">
        <w:t xml:space="preserve">tatement of </w:t>
      </w:r>
      <w:r w:rsidR="00B46D78" w:rsidRPr="00577626">
        <w:t>A</w:t>
      </w:r>
      <w:r w:rsidR="00CD3E1F" w:rsidRPr="00577626">
        <w:t>ccounts.</w:t>
      </w:r>
    </w:p>
    <w:p w14:paraId="7E9CF7AF" w14:textId="77777777" w:rsidR="002878CB" w:rsidRPr="00577626" w:rsidRDefault="002878CB" w:rsidP="002878CB">
      <w:pPr>
        <w:rPr>
          <w:sz w:val="16"/>
          <w:szCs w:val="16"/>
        </w:rPr>
      </w:pPr>
    </w:p>
    <w:p w14:paraId="66D6F1B4" w14:textId="77777777" w:rsidR="000764C7" w:rsidRPr="00577626" w:rsidRDefault="000764C7" w:rsidP="002878CB">
      <w:pPr>
        <w:rPr>
          <w:sz w:val="16"/>
          <w:szCs w:val="16"/>
        </w:rPr>
      </w:pPr>
    </w:p>
    <w:p w14:paraId="5F036D6A" w14:textId="77777777" w:rsidR="00CD3E1F" w:rsidRPr="00577626" w:rsidRDefault="00CD3E1F" w:rsidP="000764C7">
      <w:pPr>
        <w:pStyle w:val="Heading3"/>
      </w:pPr>
      <w:r w:rsidRPr="00577626">
        <w:t xml:space="preserve">The Chief </w:t>
      </w:r>
      <w:r w:rsidR="00AB452D" w:rsidRPr="00577626">
        <w:t>Financial Officer</w:t>
      </w:r>
      <w:r w:rsidR="00EA5EF8" w:rsidRPr="00577626">
        <w:t>’s</w:t>
      </w:r>
      <w:r w:rsidRPr="00577626">
        <w:t xml:space="preserve"> Responsibilities</w:t>
      </w:r>
    </w:p>
    <w:p w14:paraId="21897259" w14:textId="77777777" w:rsidR="002878CB" w:rsidRPr="00577626" w:rsidRDefault="002878CB" w:rsidP="00CD3E1F"/>
    <w:p w14:paraId="30F476F5" w14:textId="342F5CAB" w:rsidR="00CD3E1F" w:rsidRPr="00EC06E7" w:rsidRDefault="004C1B51" w:rsidP="00CD3E1F">
      <w:pPr>
        <w:rPr>
          <w:b/>
        </w:rPr>
      </w:pPr>
      <w:r>
        <w:t xml:space="preserve">The </w:t>
      </w:r>
      <w:r w:rsidR="007F2F2C">
        <w:t xml:space="preserve">Director of </w:t>
      </w:r>
      <w:r w:rsidR="00577626" w:rsidRPr="00577626">
        <w:t>Finance</w:t>
      </w:r>
      <w:r>
        <w:t>/</w:t>
      </w:r>
      <w:r w:rsidR="00577626" w:rsidRPr="00577626">
        <w:t>S151 Officer.</w:t>
      </w:r>
      <w:r w:rsidR="001422EA" w:rsidRPr="00577626">
        <w:t xml:space="preserve"> </w:t>
      </w:r>
      <w:r w:rsidR="00E435A6" w:rsidRPr="00577626">
        <w:t>is</w:t>
      </w:r>
      <w:r w:rsidR="00CD3E1F" w:rsidRPr="00577626">
        <w:t xml:space="preserve"> responsible for the preparation of the </w:t>
      </w:r>
      <w:r w:rsidR="005038A7" w:rsidRPr="00577626">
        <w:t>Authority</w:t>
      </w:r>
      <w:r w:rsidR="00CD3E1F" w:rsidRPr="00577626">
        <w:t>’s Statement of Accounts in accordance with proper practices as set out in the Chartered Institute of Public Finance and Accountancy (CIPFA</w:t>
      </w:r>
      <w:r w:rsidR="00CD3E1F" w:rsidRPr="00EC06E7">
        <w:t xml:space="preserve">) Code of Practice on Local Authority Accounting in the United Kingdom </w:t>
      </w:r>
      <w:r w:rsidR="008120EF" w:rsidRPr="00EC06E7">
        <w:t>20</w:t>
      </w:r>
      <w:r>
        <w:t>20</w:t>
      </w:r>
      <w:r w:rsidR="005B33E8">
        <w:t>/</w:t>
      </w:r>
      <w:r w:rsidR="00953BDD">
        <w:t>2</w:t>
      </w:r>
      <w:r>
        <w:t>1</w:t>
      </w:r>
      <w:r w:rsidR="00CD3E1F" w:rsidRPr="00EC06E7">
        <w:t xml:space="preserve"> (the Code)</w:t>
      </w:r>
      <w:r w:rsidR="00B46D78" w:rsidRPr="00EC06E7">
        <w:t>.</w:t>
      </w:r>
    </w:p>
    <w:p w14:paraId="2D845871" w14:textId="77777777" w:rsidR="00CD3E1F" w:rsidRPr="00EC06E7" w:rsidRDefault="00CD3E1F" w:rsidP="00CD3E1F"/>
    <w:p w14:paraId="4941ACCF" w14:textId="77777777" w:rsidR="00CD3E1F" w:rsidRPr="00EC06E7" w:rsidRDefault="005038A7" w:rsidP="00CD3E1F">
      <w:r w:rsidRPr="00EC06E7">
        <w:t>In preparing this S</w:t>
      </w:r>
      <w:r w:rsidR="00CD3E1F" w:rsidRPr="00EC06E7">
        <w:t xml:space="preserve">tatement of </w:t>
      </w:r>
      <w:r w:rsidRPr="00EC06E7">
        <w:t>A</w:t>
      </w:r>
      <w:r w:rsidR="00CD3E1F" w:rsidRPr="00EC06E7">
        <w:t>ccount</w:t>
      </w:r>
      <w:r w:rsidRPr="00EC06E7">
        <w:t>s</w:t>
      </w:r>
      <w:r w:rsidR="00CD3E1F" w:rsidRPr="00EC06E7">
        <w:t xml:space="preserve">, </w:t>
      </w:r>
      <w:r w:rsidR="009A7548">
        <w:t>the Chief Financial Officer</w:t>
      </w:r>
      <w:r w:rsidR="00E435A6" w:rsidRPr="00EC06E7">
        <w:t xml:space="preserve"> </w:t>
      </w:r>
      <w:r w:rsidR="00C11517" w:rsidRPr="00EC06E7">
        <w:t>has</w:t>
      </w:r>
      <w:r w:rsidR="00CD3E1F" w:rsidRPr="00EC06E7">
        <w:t>:</w:t>
      </w:r>
    </w:p>
    <w:p w14:paraId="778F5F28" w14:textId="77777777" w:rsidR="000764C7" w:rsidRPr="00EC06E7" w:rsidRDefault="00E435A6" w:rsidP="00E948BF">
      <w:pPr>
        <w:pStyle w:val="ListParagraph"/>
        <w:numPr>
          <w:ilvl w:val="0"/>
          <w:numId w:val="21"/>
        </w:numPr>
      </w:pPr>
      <w:r w:rsidRPr="00EC06E7">
        <w:t>S</w:t>
      </w:r>
      <w:r w:rsidR="00CD3E1F" w:rsidRPr="00EC06E7">
        <w:t>elect</w:t>
      </w:r>
      <w:r w:rsidR="00C11517" w:rsidRPr="00EC06E7">
        <w:t>ed</w:t>
      </w:r>
      <w:r w:rsidR="00CD3E1F" w:rsidRPr="00EC06E7">
        <w:t xml:space="preserve"> suitable accounting policies and appl</w:t>
      </w:r>
      <w:r w:rsidR="00C11517" w:rsidRPr="00EC06E7">
        <w:t>ied</w:t>
      </w:r>
      <w:r w:rsidR="00CD3E1F" w:rsidRPr="00EC06E7">
        <w:t xml:space="preserve"> them consistently;</w:t>
      </w:r>
    </w:p>
    <w:p w14:paraId="52427931" w14:textId="77777777" w:rsidR="000764C7" w:rsidRPr="00EC06E7" w:rsidRDefault="00E435A6" w:rsidP="00E948BF">
      <w:pPr>
        <w:pStyle w:val="ListParagraph"/>
        <w:numPr>
          <w:ilvl w:val="0"/>
          <w:numId w:val="21"/>
        </w:numPr>
      </w:pPr>
      <w:r w:rsidRPr="00EC06E7">
        <w:t>Ma</w:t>
      </w:r>
      <w:r w:rsidR="00C11517" w:rsidRPr="00EC06E7">
        <w:t>d</w:t>
      </w:r>
      <w:r w:rsidR="00CD3E1F" w:rsidRPr="00EC06E7">
        <w:t xml:space="preserve">e judgements and estimates that </w:t>
      </w:r>
      <w:r w:rsidRPr="00EC06E7">
        <w:t>are</w:t>
      </w:r>
      <w:r w:rsidR="00CD3E1F" w:rsidRPr="00EC06E7">
        <w:t xml:space="preserve"> reasonable and prudent;</w:t>
      </w:r>
    </w:p>
    <w:p w14:paraId="5B3029C9" w14:textId="77777777" w:rsidR="000764C7" w:rsidRPr="00EC06E7" w:rsidRDefault="00E435A6" w:rsidP="00E948BF">
      <w:pPr>
        <w:pStyle w:val="ListParagraph"/>
        <w:numPr>
          <w:ilvl w:val="0"/>
          <w:numId w:val="21"/>
        </w:numPr>
      </w:pPr>
      <w:r w:rsidRPr="00EC06E7">
        <w:t>C</w:t>
      </w:r>
      <w:r w:rsidR="00CD3E1F" w:rsidRPr="00EC06E7">
        <w:t>ompl</w:t>
      </w:r>
      <w:r w:rsidR="00C11517" w:rsidRPr="00EC06E7">
        <w:t>ied</w:t>
      </w:r>
      <w:r w:rsidR="00CD3E1F" w:rsidRPr="00EC06E7">
        <w:t xml:space="preserve"> with the</w:t>
      </w:r>
      <w:r w:rsidR="00EA5EF8" w:rsidRPr="00EC06E7">
        <w:t xml:space="preserve"> local authority</w:t>
      </w:r>
      <w:r w:rsidR="00CD3E1F" w:rsidRPr="00EC06E7">
        <w:t xml:space="preserve"> Code</w:t>
      </w:r>
      <w:r w:rsidR="00B46D78" w:rsidRPr="00EC06E7">
        <w:t>;</w:t>
      </w:r>
      <w:r w:rsidR="00CD3E1F" w:rsidRPr="00EC06E7">
        <w:t xml:space="preserve"> </w:t>
      </w:r>
    </w:p>
    <w:p w14:paraId="61BFEDD1" w14:textId="77777777" w:rsidR="000764C7" w:rsidRPr="00EC06E7" w:rsidRDefault="00B46D78" w:rsidP="00E948BF">
      <w:pPr>
        <w:pStyle w:val="ListParagraph"/>
        <w:numPr>
          <w:ilvl w:val="0"/>
          <w:numId w:val="21"/>
        </w:numPr>
      </w:pPr>
      <w:r w:rsidRPr="00EC06E7">
        <w:t>K</w:t>
      </w:r>
      <w:r w:rsidR="00CD3E1F" w:rsidRPr="00EC06E7">
        <w:t>ep</w:t>
      </w:r>
      <w:r w:rsidR="00C11517" w:rsidRPr="00EC06E7">
        <w:t>t</w:t>
      </w:r>
      <w:r w:rsidR="00CD3E1F" w:rsidRPr="00EC06E7">
        <w:t xml:space="preserve"> proper accounting records which are up to date;</w:t>
      </w:r>
      <w:r w:rsidRPr="00EC06E7">
        <w:t xml:space="preserve"> and</w:t>
      </w:r>
    </w:p>
    <w:p w14:paraId="1B13570D" w14:textId="77777777" w:rsidR="00CD3E1F" w:rsidRPr="00EC06E7" w:rsidRDefault="00E435A6" w:rsidP="00E948BF">
      <w:pPr>
        <w:pStyle w:val="ListParagraph"/>
        <w:numPr>
          <w:ilvl w:val="0"/>
          <w:numId w:val="21"/>
        </w:numPr>
      </w:pPr>
      <w:r w:rsidRPr="00EC06E7">
        <w:t>T</w:t>
      </w:r>
      <w:r w:rsidR="00CD3E1F" w:rsidRPr="00EC06E7">
        <w:t>ake</w:t>
      </w:r>
      <w:r w:rsidR="00C11517" w:rsidRPr="00EC06E7">
        <w:t>n</w:t>
      </w:r>
      <w:r w:rsidR="00CD3E1F" w:rsidRPr="00EC06E7">
        <w:t xml:space="preserve"> reasonable steps for the prevention and detection of fraud and other irregularities.</w:t>
      </w:r>
    </w:p>
    <w:p w14:paraId="4FFF4552" w14:textId="77777777" w:rsidR="002878CB" w:rsidRPr="00EC06E7" w:rsidRDefault="002878CB" w:rsidP="002878CB">
      <w:pPr>
        <w:rPr>
          <w:sz w:val="16"/>
          <w:szCs w:val="16"/>
        </w:rPr>
      </w:pPr>
    </w:p>
    <w:p w14:paraId="0F132C17" w14:textId="77777777" w:rsidR="000764C7" w:rsidRPr="00EC06E7" w:rsidRDefault="000764C7" w:rsidP="002878CB">
      <w:pPr>
        <w:rPr>
          <w:sz w:val="16"/>
          <w:szCs w:val="16"/>
        </w:rPr>
      </w:pPr>
    </w:p>
    <w:p w14:paraId="6D8F24E7" w14:textId="77777777" w:rsidR="00CD3E1F" w:rsidRPr="00EC06E7" w:rsidRDefault="00CD3E1F" w:rsidP="000764C7">
      <w:pPr>
        <w:pStyle w:val="Heading3"/>
      </w:pPr>
      <w:r w:rsidRPr="00EC06E7">
        <w:t>Further Information</w:t>
      </w:r>
    </w:p>
    <w:p w14:paraId="278794C0" w14:textId="77777777" w:rsidR="002878CB" w:rsidRPr="00EC06E7" w:rsidRDefault="002878CB" w:rsidP="00CD3E1F"/>
    <w:p w14:paraId="176253B5" w14:textId="77777777" w:rsidR="00CD3E1F" w:rsidRPr="00EC06E7" w:rsidRDefault="00CD3E1F" w:rsidP="00CD3E1F">
      <w:r w:rsidRPr="00EC06E7">
        <w:t>Further information about the accounts is available from the Shared Financial Services Team, Civic Centre, West Paddock, Leyland, Lancashire, PR25 1DH</w:t>
      </w:r>
    </w:p>
    <w:p w14:paraId="323204F2" w14:textId="77777777" w:rsidR="002878CB" w:rsidRPr="00EC06E7" w:rsidRDefault="002878CB" w:rsidP="00CD3E1F">
      <w:pPr>
        <w:rPr>
          <w:sz w:val="16"/>
          <w:szCs w:val="16"/>
        </w:rPr>
      </w:pPr>
    </w:p>
    <w:p w14:paraId="43F4889D" w14:textId="77777777" w:rsidR="000764C7" w:rsidRPr="00EC06E7" w:rsidRDefault="000764C7" w:rsidP="00CD3E1F">
      <w:pPr>
        <w:rPr>
          <w:sz w:val="16"/>
          <w:szCs w:val="16"/>
        </w:rPr>
      </w:pPr>
    </w:p>
    <w:p w14:paraId="1729BA91" w14:textId="77777777" w:rsidR="00C27765" w:rsidRPr="00EC06E7" w:rsidRDefault="00C27765" w:rsidP="000764C7">
      <w:pPr>
        <w:pStyle w:val="Heading3"/>
      </w:pPr>
      <w:r w:rsidRPr="00EC06E7">
        <w:t>Certification</w:t>
      </w:r>
    </w:p>
    <w:p w14:paraId="36E703C0" w14:textId="77777777" w:rsidR="00C27765" w:rsidRPr="00EC06E7" w:rsidRDefault="00C27765" w:rsidP="00C27765"/>
    <w:p w14:paraId="5787A3A2" w14:textId="28D26F38" w:rsidR="00C27765" w:rsidRPr="00EC06E7" w:rsidRDefault="00C27765" w:rsidP="00C27765">
      <w:r w:rsidRPr="00EC06E7">
        <w:t xml:space="preserve">I certify that the Statement of Accounts gives a true and fair view of the financial position of South </w:t>
      </w:r>
      <w:proofErr w:type="spellStart"/>
      <w:r w:rsidRPr="00EC06E7">
        <w:t>Ribble</w:t>
      </w:r>
      <w:proofErr w:type="spellEnd"/>
      <w:r w:rsidRPr="00EC06E7">
        <w:t xml:space="preserve"> Borough Council as at </w:t>
      </w:r>
      <w:r w:rsidR="005B33E8">
        <w:t>31 March 20</w:t>
      </w:r>
      <w:r w:rsidR="00953BDD">
        <w:t>2</w:t>
      </w:r>
      <w:r w:rsidR="004C1B51">
        <w:t>1</w:t>
      </w:r>
      <w:r w:rsidRPr="00EC06E7">
        <w:t xml:space="preserve"> and its Income and Expenditure </w:t>
      </w:r>
      <w:r w:rsidR="00C70D9C" w:rsidRPr="00EC06E7">
        <w:t xml:space="preserve">for the year ended </w:t>
      </w:r>
      <w:r w:rsidR="005B33E8">
        <w:t>31 March 20</w:t>
      </w:r>
      <w:r w:rsidR="00953BDD">
        <w:t>2</w:t>
      </w:r>
      <w:r w:rsidR="004C1B51">
        <w:t>1</w:t>
      </w:r>
      <w:r w:rsidRPr="00EC06E7">
        <w:t>.</w:t>
      </w:r>
    </w:p>
    <w:p w14:paraId="099D5140" w14:textId="77777777" w:rsidR="00C27765" w:rsidRPr="00EC06E7" w:rsidRDefault="00C27765" w:rsidP="00C27765"/>
    <w:p w14:paraId="7342BE18" w14:textId="77777777" w:rsidR="00C27765" w:rsidRDefault="00C27765" w:rsidP="00C27765"/>
    <w:p w14:paraId="6283813F" w14:textId="7555A49D" w:rsidR="00D364DB" w:rsidRDefault="00D364DB" w:rsidP="00C27765"/>
    <w:p w14:paraId="6A0248B1" w14:textId="77777777" w:rsidR="00445B45" w:rsidRDefault="00445B45" w:rsidP="00C27765"/>
    <w:p w14:paraId="74ABA356" w14:textId="77777777" w:rsidR="00445B45" w:rsidRDefault="00445B45" w:rsidP="00C27765"/>
    <w:p w14:paraId="4DBA1A5B" w14:textId="3B975DB1" w:rsidR="004C1B51" w:rsidRPr="008071CE" w:rsidRDefault="004C1B51" w:rsidP="004C1B51">
      <w:pPr>
        <w:rPr>
          <w:snapToGrid w:val="0"/>
          <w:lang w:eastAsia="en-US"/>
        </w:rPr>
      </w:pPr>
      <w:r>
        <w:rPr>
          <w:snapToGrid w:val="0"/>
          <w:lang w:eastAsia="en-US"/>
        </w:rPr>
        <w:t>Louise Mattin</w:t>
      </w:r>
      <w:r w:rsidR="00BF730A">
        <w:rPr>
          <w:snapToGrid w:val="0"/>
          <w:lang w:eastAsia="en-US"/>
        </w:rPr>
        <w:t>son</w:t>
      </w:r>
    </w:p>
    <w:p w14:paraId="7791E408" w14:textId="77777777" w:rsidR="004C1B51" w:rsidRPr="008071CE" w:rsidRDefault="004C1B51" w:rsidP="004C1B51">
      <w:pPr>
        <w:rPr>
          <w:snapToGrid w:val="0"/>
          <w:lang w:eastAsia="en-US"/>
        </w:rPr>
      </w:pPr>
      <w:r>
        <w:rPr>
          <w:snapToGrid w:val="0"/>
          <w:lang w:eastAsia="en-US"/>
        </w:rPr>
        <w:t>Chief Finance Officer/Section 151 Officer</w:t>
      </w:r>
    </w:p>
    <w:p w14:paraId="32C79DDB" w14:textId="77777777" w:rsidR="00445B45" w:rsidRPr="00445B45" w:rsidRDefault="00445B45" w:rsidP="00C27765">
      <w:pPr>
        <w:rPr>
          <w:sz w:val="16"/>
          <w:szCs w:val="16"/>
        </w:rPr>
      </w:pPr>
    </w:p>
    <w:p w14:paraId="2EFF9CCC" w14:textId="2CE75F74" w:rsidR="00C27765" w:rsidRPr="005B33E8" w:rsidRDefault="00C70D9C" w:rsidP="00C27765">
      <w:r w:rsidRPr="00EC06E7">
        <w:t>Date</w:t>
      </w:r>
      <w:r w:rsidR="004C1B51">
        <w:t xml:space="preserve">: </w:t>
      </w:r>
      <w:r w:rsidR="007F2F2C" w:rsidRPr="007F2F2C">
        <w:t>31 July 2021</w:t>
      </w:r>
    </w:p>
    <w:p w14:paraId="1F2F0777" w14:textId="77777777" w:rsidR="00583B7F" w:rsidRPr="00445B45" w:rsidRDefault="00583B7F" w:rsidP="00C27765">
      <w:pPr>
        <w:rPr>
          <w:sz w:val="16"/>
          <w:szCs w:val="16"/>
        </w:rPr>
      </w:pPr>
    </w:p>
    <w:p w14:paraId="6A3E3366" w14:textId="77777777" w:rsidR="00B46D78" w:rsidRPr="00EC06E7" w:rsidRDefault="00B46D78">
      <w:pPr>
        <w:rPr>
          <w:rFonts w:cs="Courier New"/>
          <w:szCs w:val="22"/>
        </w:rPr>
      </w:pPr>
      <w:r w:rsidRPr="00EC06E7">
        <w:rPr>
          <w:rFonts w:cs="Courier New"/>
          <w:szCs w:val="22"/>
        </w:rPr>
        <w:br w:type="page"/>
      </w:r>
    </w:p>
    <w:p w14:paraId="6F46C1B8" w14:textId="77777777" w:rsidR="008905CF" w:rsidRDefault="008905CF" w:rsidP="008905CF">
      <w:pPr>
        <w:pStyle w:val="Heading1"/>
      </w:pPr>
      <w:bookmarkStart w:id="16" w:name="_Toc58412123"/>
      <w:bookmarkStart w:id="17" w:name="_Toc77603770"/>
      <w:bookmarkStart w:id="18" w:name="_Ref454395844"/>
      <w:r>
        <w:t>CORE FINANCIAL STATEMENTS</w:t>
      </w:r>
      <w:bookmarkEnd w:id="16"/>
      <w:bookmarkEnd w:id="17"/>
    </w:p>
    <w:p w14:paraId="08829EBE" w14:textId="77777777" w:rsidR="008905CF" w:rsidRDefault="008905CF" w:rsidP="00DD549B"/>
    <w:p w14:paraId="16108BE9" w14:textId="77777777" w:rsidR="008905CF" w:rsidRPr="001B0A39" w:rsidRDefault="008905CF" w:rsidP="008905CF">
      <w:pPr>
        <w:pStyle w:val="Heading1"/>
        <w:rPr>
          <w:sz w:val="22"/>
          <w:szCs w:val="22"/>
        </w:rPr>
      </w:pPr>
      <w:bookmarkStart w:id="19" w:name="_Toc58412124"/>
      <w:bookmarkStart w:id="20" w:name="_Toc77603771"/>
      <w:r w:rsidRPr="001422EA">
        <w:t>Comprehensive Income and Expenditure Statement</w:t>
      </w:r>
      <w:bookmarkEnd w:id="18"/>
      <w:bookmarkEnd w:id="19"/>
      <w:bookmarkEnd w:id="20"/>
    </w:p>
    <w:p w14:paraId="13D4158E" w14:textId="77777777" w:rsidR="0085437C" w:rsidRPr="00EC06E7" w:rsidRDefault="0085437C">
      <w:pPr>
        <w:rPr>
          <w:rFonts w:cs="Courier New"/>
          <w:szCs w:val="22"/>
        </w:rPr>
      </w:pPr>
    </w:p>
    <w:p w14:paraId="4A4BACFF" w14:textId="1D792CB5" w:rsidR="003A24C8" w:rsidRDefault="003A24C8" w:rsidP="00AD389B">
      <w:pPr>
        <w:rPr>
          <w:rFonts w:cs="Courier New"/>
          <w:szCs w:val="22"/>
        </w:rPr>
      </w:pPr>
      <w:r w:rsidRPr="00EC06E7">
        <w:rPr>
          <w:rFonts w:cs="Courier New"/>
          <w:szCs w:val="22"/>
        </w:rPr>
        <w:t>This statement shows the accounting cost in the year of providing services in accordance with generally accepted accounting practices</w:t>
      </w:r>
      <w:r w:rsidR="004F5253" w:rsidRPr="00EC06E7">
        <w:rPr>
          <w:rFonts w:cs="Courier New"/>
          <w:szCs w:val="22"/>
        </w:rPr>
        <w:t>. This is not the amount to be funded from taxation, since authorities raise taxation to cover expenditure in accordance with regulations. The taxation position is shown in the Movement in Reserves Statement</w:t>
      </w:r>
      <w:r w:rsidR="007D2977" w:rsidRPr="00EC06E7">
        <w:rPr>
          <w:rFonts w:cs="Courier New"/>
          <w:szCs w:val="22"/>
        </w:rPr>
        <w:t>.</w:t>
      </w:r>
    </w:p>
    <w:p w14:paraId="4CB4D61F" w14:textId="50875035" w:rsidR="00BC6C5E" w:rsidRDefault="00BC6C5E" w:rsidP="00AD389B">
      <w:pPr>
        <w:rPr>
          <w:rFonts w:cs="Courier New"/>
          <w:szCs w:val="22"/>
        </w:rPr>
      </w:pPr>
    </w:p>
    <w:p w14:paraId="178360BB" w14:textId="4ABE874F" w:rsidR="00261843" w:rsidRDefault="004B1CDE">
      <w:pPr>
        <w:rPr>
          <w:rFonts w:cs="Courier New"/>
          <w:szCs w:val="22"/>
        </w:rPr>
      </w:pPr>
      <w:r>
        <w:rPr>
          <w:rFonts w:cs="Courier New"/>
          <w:szCs w:val="22"/>
        </w:rPr>
        <w:fldChar w:fldCharType="begin"/>
      </w:r>
      <w:r>
        <w:rPr>
          <w:rFonts w:cs="Courier New"/>
          <w:szCs w:val="22"/>
        </w:rPr>
        <w:instrText xml:space="preserve"> LINK Excel.Sheet.8 "\\\\alpha\\accounts$\\CLOSURE\\Closure 20-21\\04 SoA Working Papers\\00B1 CIES, EFA, Notes 8 &amp; 9\\CIES, EFA, Notes 8 &amp; 9 2020-21.xls!CIES Embedded Table!R2C1:R21C8" "" \a \p </w:instrText>
      </w:r>
      <w:r>
        <w:rPr>
          <w:rFonts w:cs="Courier New"/>
          <w:szCs w:val="22"/>
        </w:rPr>
        <w:fldChar w:fldCharType="separate"/>
      </w:r>
      <w:r w:rsidR="001C71EF">
        <w:rPr>
          <w:rFonts w:cs="Courier New"/>
          <w:szCs w:val="22"/>
        </w:rPr>
        <w:object w:dxaOrig="9849" w:dyaOrig="12209" w14:anchorId="3D16582B">
          <v:shape id="_x0000_i1026" type="#_x0000_t75" style="width:461.2pt;height:590.25pt" o:ole="">
            <v:imagedata r:id="rId53" o:title=""/>
            <o:lock v:ext="edit" aspectratio="f"/>
          </v:shape>
        </w:object>
      </w:r>
      <w:r>
        <w:rPr>
          <w:rFonts w:cs="Courier New"/>
          <w:szCs w:val="22"/>
        </w:rPr>
        <w:fldChar w:fldCharType="end"/>
      </w:r>
    </w:p>
    <w:p w14:paraId="262295BD" w14:textId="77777777" w:rsidR="00C70D9C" w:rsidRPr="00EC06E7" w:rsidRDefault="004F5253" w:rsidP="00196F8D">
      <w:pPr>
        <w:pStyle w:val="Heading1"/>
      </w:pPr>
      <w:r w:rsidRPr="00EC06E7">
        <w:rPr>
          <w:szCs w:val="22"/>
        </w:rPr>
        <w:br w:type="page"/>
      </w:r>
      <w:bookmarkStart w:id="21" w:name="_Ref482026798"/>
      <w:bookmarkStart w:id="22" w:name="_Ref482026818"/>
      <w:bookmarkStart w:id="23" w:name="_Ref482027054"/>
      <w:bookmarkStart w:id="24" w:name="_Ref482027055"/>
      <w:bookmarkStart w:id="25" w:name="_Toc77603772"/>
      <w:bookmarkStart w:id="26" w:name="_Ref454395852"/>
      <w:r w:rsidR="00C70D9C" w:rsidRPr="001422EA">
        <w:t>Movement in Reserves Statement</w:t>
      </w:r>
      <w:bookmarkEnd w:id="21"/>
      <w:bookmarkEnd w:id="22"/>
      <w:bookmarkEnd w:id="23"/>
      <w:bookmarkEnd w:id="24"/>
      <w:bookmarkEnd w:id="25"/>
    </w:p>
    <w:p w14:paraId="17D74928" w14:textId="77777777" w:rsidR="00C70D9C" w:rsidRPr="00EC06E7" w:rsidRDefault="00C70D9C" w:rsidP="00C70D9C"/>
    <w:p w14:paraId="391E40AC" w14:textId="77777777" w:rsidR="00C70D9C" w:rsidRPr="00EC06E7" w:rsidRDefault="00C70D9C" w:rsidP="00C70D9C">
      <w:pPr>
        <w:rPr>
          <w:rFonts w:cs="Arial"/>
          <w:szCs w:val="22"/>
        </w:rPr>
      </w:pPr>
      <w:r w:rsidRPr="00EC06E7">
        <w:rPr>
          <w:rFonts w:cs="Arial"/>
          <w:szCs w:val="22"/>
        </w:rPr>
        <w:t xml:space="preserve">This statement shows the movements in the year on the different reserves held by the </w:t>
      </w:r>
      <w:r w:rsidR="005124B6">
        <w:rPr>
          <w:rFonts w:cs="Arial"/>
          <w:szCs w:val="22"/>
        </w:rPr>
        <w:t>c</w:t>
      </w:r>
      <w:r w:rsidRPr="00EC06E7">
        <w:rPr>
          <w:rFonts w:cs="Arial"/>
          <w:szCs w:val="22"/>
        </w:rPr>
        <w:t>ouncil, analysed between those that are “usable” (available to fund expenditure or reduce local taxation), and other reserves.</w:t>
      </w:r>
    </w:p>
    <w:p w14:paraId="58A3E8B7" w14:textId="77777777" w:rsidR="00C70D9C" w:rsidRPr="00EC06E7" w:rsidRDefault="00C70D9C" w:rsidP="00C70D9C">
      <w:pPr>
        <w:rPr>
          <w:rFonts w:cs="Arial"/>
          <w:szCs w:val="22"/>
        </w:rPr>
      </w:pPr>
    </w:p>
    <w:p w14:paraId="23239357" w14:textId="77777777" w:rsidR="00C70D9C" w:rsidRPr="00EC06E7" w:rsidRDefault="00C70D9C" w:rsidP="00C70D9C">
      <w:pPr>
        <w:rPr>
          <w:rFonts w:cs="Courier New"/>
          <w:szCs w:val="22"/>
        </w:rPr>
      </w:pPr>
      <w:r w:rsidRPr="00EC06E7">
        <w:rPr>
          <w:rFonts w:cs="Arial"/>
          <w:szCs w:val="22"/>
        </w:rPr>
        <w:t xml:space="preserve">The line “(Surplus)/deficit on provision of services” shows the true economic cost of providing the authority’s services, as detailed in the Comprehensive Income and Expenditure Statement. </w:t>
      </w:r>
      <w:r w:rsidRPr="00EC06E7">
        <w:rPr>
          <w:rFonts w:cs="Courier New"/>
          <w:szCs w:val="22"/>
        </w:rPr>
        <w:t xml:space="preserve">For the purposes of council tax setting however, a series of statutory adjustments are then made. These adjustments are shown in total </w:t>
      </w:r>
      <w:proofErr w:type="gramStart"/>
      <w:r w:rsidRPr="00EC06E7">
        <w:rPr>
          <w:rFonts w:cs="Courier New"/>
          <w:szCs w:val="22"/>
        </w:rPr>
        <w:t>b</w:t>
      </w:r>
      <w:r w:rsidR="00D9604F">
        <w:rPr>
          <w:rFonts w:cs="Courier New"/>
          <w:szCs w:val="22"/>
        </w:rPr>
        <w:t>elow, and</w:t>
      </w:r>
      <w:proofErr w:type="gramEnd"/>
      <w:r w:rsidR="00D9604F">
        <w:rPr>
          <w:rFonts w:cs="Courier New"/>
          <w:szCs w:val="22"/>
        </w:rPr>
        <w:t xml:space="preserve"> are also detailed in N</w:t>
      </w:r>
      <w:r w:rsidRPr="00EC06E7">
        <w:rPr>
          <w:rFonts w:cs="Courier New"/>
          <w:szCs w:val="22"/>
        </w:rPr>
        <w:t>ote</w:t>
      </w:r>
      <w:r w:rsidR="0070131A" w:rsidRPr="00EC06E7">
        <w:rPr>
          <w:rFonts w:cs="Courier New"/>
          <w:szCs w:val="22"/>
        </w:rPr>
        <w:t xml:space="preserve"> </w:t>
      </w:r>
      <w:r w:rsidR="001C686D">
        <w:rPr>
          <w:rFonts w:cs="Courier New"/>
          <w:szCs w:val="22"/>
        </w:rPr>
        <w:t>1</w:t>
      </w:r>
      <w:r w:rsidR="006B188E">
        <w:rPr>
          <w:rFonts w:cs="Courier New"/>
          <w:szCs w:val="22"/>
        </w:rPr>
        <w:t>0</w:t>
      </w:r>
      <w:r w:rsidRPr="00EC06E7">
        <w:rPr>
          <w:rFonts w:cs="Courier New"/>
          <w:szCs w:val="22"/>
        </w:rPr>
        <w:t>.</w:t>
      </w:r>
    </w:p>
    <w:p w14:paraId="26D848CC" w14:textId="61D0DB5B" w:rsidR="00C70D9C" w:rsidRDefault="00C70D9C" w:rsidP="00C70D9C">
      <w:pPr>
        <w:rPr>
          <w:rFonts w:cs="Arial"/>
          <w:szCs w:val="22"/>
        </w:rPr>
      </w:pPr>
    </w:p>
    <w:p w14:paraId="247C2DC4" w14:textId="4F8A9F6A" w:rsidR="00967BA6" w:rsidRDefault="004B1CDE" w:rsidP="00C70D9C">
      <w:pPr>
        <w:rPr>
          <w:rFonts w:cs="Arial"/>
          <w:szCs w:val="22"/>
        </w:rPr>
      </w:pPr>
      <w:r>
        <w:rPr>
          <w:rFonts w:cs="Arial"/>
          <w:szCs w:val="22"/>
        </w:rPr>
        <w:fldChar w:fldCharType="begin"/>
      </w:r>
      <w:r>
        <w:rPr>
          <w:rFonts w:cs="Arial"/>
          <w:szCs w:val="22"/>
        </w:rPr>
        <w:instrText xml:space="preserve"> LINK Excel.Sheet.12 "\\\\alpha\\accounts$\\CLOSURE\\Closure 20-21\\04 SoA Working Papers\\00B2 MiRS\\MiRS SRBC 2020-21.xlsx!Embedded Table!R2C1:R15C7" "" \a \p </w:instrText>
      </w:r>
      <w:r>
        <w:rPr>
          <w:rFonts w:cs="Arial"/>
          <w:szCs w:val="22"/>
        </w:rPr>
        <w:fldChar w:fldCharType="separate"/>
      </w:r>
      <w:r w:rsidR="001C71EF">
        <w:rPr>
          <w:rFonts w:cs="Arial"/>
          <w:szCs w:val="22"/>
        </w:rPr>
        <w:object w:dxaOrig="9810" w:dyaOrig="7275" w14:anchorId="7C3363E7">
          <v:shape id="_x0000_i1027" type="#_x0000_t75" style="width:489.75pt;height:366.8pt" o:ole="">
            <v:imagedata r:id="rId54" o:title=""/>
            <o:lock v:ext="edit" aspectratio="f"/>
          </v:shape>
        </w:object>
      </w:r>
      <w:r>
        <w:rPr>
          <w:rFonts w:cs="Arial"/>
          <w:szCs w:val="22"/>
        </w:rPr>
        <w:fldChar w:fldCharType="end"/>
      </w:r>
    </w:p>
    <w:p w14:paraId="22EFA90B" w14:textId="5F34C2BE" w:rsidR="00967BA6" w:rsidRDefault="00967BA6" w:rsidP="00C70D9C">
      <w:pPr>
        <w:rPr>
          <w:rFonts w:cs="Arial"/>
          <w:szCs w:val="22"/>
        </w:rPr>
      </w:pPr>
    </w:p>
    <w:p w14:paraId="3418953F" w14:textId="77777777" w:rsidR="00C8635C" w:rsidRDefault="00C8635C" w:rsidP="00C70D9C">
      <w:pPr>
        <w:rPr>
          <w:rFonts w:cs="Arial"/>
          <w:szCs w:val="22"/>
        </w:rPr>
      </w:pPr>
    </w:p>
    <w:p w14:paraId="7DF6DB5D" w14:textId="77777777" w:rsidR="00B43C25" w:rsidRPr="00EC06E7" w:rsidRDefault="00B43C25" w:rsidP="00040ED6"/>
    <w:p w14:paraId="024A71A8" w14:textId="77777777" w:rsidR="00040ED6" w:rsidRPr="00D53BFC" w:rsidRDefault="00040ED6" w:rsidP="00040ED6">
      <w:pPr>
        <w:rPr>
          <w:rFonts w:cs="Courier New"/>
          <w:szCs w:val="22"/>
        </w:rPr>
      </w:pPr>
      <w:r w:rsidRPr="00EC06E7">
        <w:br w:type="page"/>
      </w:r>
    </w:p>
    <w:p w14:paraId="7CF6D8AC" w14:textId="77777777" w:rsidR="0085437C" w:rsidRPr="00EC06E7" w:rsidRDefault="004F5253" w:rsidP="00D37754">
      <w:pPr>
        <w:pStyle w:val="Heading1"/>
      </w:pPr>
      <w:bookmarkStart w:id="27" w:name="_Ref482026925"/>
      <w:bookmarkStart w:id="28" w:name="_Toc77603773"/>
      <w:r w:rsidRPr="001422EA">
        <w:t>Balance Sheet</w:t>
      </w:r>
      <w:bookmarkEnd w:id="26"/>
      <w:bookmarkEnd w:id="27"/>
      <w:bookmarkEnd w:id="28"/>
    </w:p>
    <w:p w14:paraId="24E349DB" w14:textId="77777777" w:rsidR="0044529D" w:rsidRPr="00EC06E7" w:rsidRDefault="0044529D" w:rsidP="00AD389B">
      <w:pPr>
        <w:rPr>
          <w:rFonts w:cs="Courier New"/>
          <w:szCs w:val="22"/>
        </w:rPr>
      </w:pPr>
    </w:p>
    <w:p w14:paraId="3E951B6B" w14:textId="77777777" w:rsidR="00D61C4B" w:rsidRPr="00EC06E7" w:rsidRDefault="00D61C4B" w:rsidP="00AD389B">
      <w:pPr>
        <w:rPr>
          <w:rFonts w:cs="Courier New"/>
          <w:szCs w:val="22"/>
        </w:rPr>
      </w:pPr>
      <w:r w:rsidRPr="00EC06E7">
        <w:rPr>
          <w:rFonts w:cs="Courier New"/>
          <w:szCs w:val="22"/>
        </w:rPr>
        <w:t>The Balance Sheet shows the value as at the Balance Sheet date of the assets and liabiliti</w:t>
      </w:r>
      <w:r w:rsidR="00DE0C89" w:rsidRPr="00EC06E7">
        <w:rPr>
          <w:rFonts w:cs="Courier New"/>
          <w:szCs w:val="22"/>
        </w:rPr>
        <w:t xml:space="preserve">es recognised by the authority.  </w:t>
      </w:r>
      <w:r w:rsidR="004839BF" w:rsidRPr="00EC06E7">
        <w:rPr>
          <w:rFonts w:cs="Courier New"/>
          <w:szCs w:val="22"/>
        </w:rPr>
        <w:t>It shows the</w:t>
      </w:r>
      <w:r w:rsidRPr="00EC06E7">
        <w:rPr>
          <w:rFonts w:cs="Courier New"/>
          <w:szCs w:val="22"/>
        </w:rPr>
        <w:t xml:space="preserve"> net assets of the authority </w:t>
      </w:r>
      <w:r w:rsidR="004839BF" w:rsidRPr="00EC06E7">
        <w:rPr>
          <w:rFonts w:cs="Courier New"/>
          <w:szCs w:val="22"/>
        </w:rPr>
        <w:t xml:space="preserve">which </w:t>
      </w:r>
      <w:r w:rsidRPr="00EC06E7">
        <w:rPr>
          <w:rFonts w:cs="Courier New"/>
          <w:szCs w:val="22"/>
        </w:rPr>
        <w:t>are matched by the reserves held.</w:t>
      </w:r>
      <w:r w:rsidR="00EE535C" w:rsidRPr="00EC06E7">
        <w:rPr>
          <w:rFonts w:cs="Courier New"/>
          <w:szCs w:val="22"/>
        </w:rPr>
        <w:t xml:space="preserve">  </w:t>
      </w:r>
      <w:r w:rsidR="004839BF" w:rsidRPr="00EC06E7">
        <w:rPr>
          <w:rFonts w:cs="Courier New"/>
          <w:szCs w:val="22"/>
        </w:rPr>
        <w:t>Reserves</w:t>
      </w:r>
      <w:r w:rsidRPr="00EC06E7">
        <w:rPr>
          <w:rFonts w:cs="Courier New"/>
          <w:szCs w:val="22"/>
        </w:rPr>
        <w:t xml:space="preserve"> are repo</w:t>
      </w:r>
      <w:r w:rsidR="00370E5B" w:rsidRPr="00EC06E7">
        <w:rPr>
          <w:rFonts w:cs="Courier New"/>
          <w:szCs w:val="22"/>
        </w:rPr>
        <w:t>rted in two categories. ‘Usable R</w:t>
      </w:r>
      <w:r w:rsidRPr="00EC06E7">
        <w:rPr>
          <w:rFonts w:cs="Courier New"/>
          <w:szCs w:val="22"/>
        </w:rPr>
        <w:t>eserves</w:t>
      </w:r>
      <w:r w:rsidR="00370E5B" w:rsidRPr="00EC06E7">
        <w:rPr>
          <w:rFonts w:cs="Courier New"/>
          <w:szCs w:val="22"/>
        </w:rPr>
        <w:t>’</w:t>
      </w:r>
      <w:r w:rsidRPr="00EC06E7">
        <w:rPr>
          <w:rFonts w:cs="Courier New"/>
          <w:szCs w:val="22"/>
        </w:rPr>
        <w:t xml:space="preserve"> </w:t>
      </w:r>
      <w:r w:rsidR="004839BF" w:rsidRPr="00EC06E7">
        <w:rPr>
          <w:rFonts w:cs="Courier New"/>
          <w:szCs w:val="22"/>
        </w:rPr>
        <w:t>includes reserves</w:t>
      </w:r>
      <w:r w:rsidRPr="00EC06E7">
        <w:rPr>
          <w:rFonts w:cs="Courier New"/>
          <w:szCs w:val="22"/>
        </w:rPr>
        <w:t xml:space="preserve"> available to provide services</w:t>
      </w:r>
      <w:r w:rsidR="004839BF" w:rsidRPr="00EC06E7">
        <w:rPr>
          <w:rFonts w:cs="Courier New"/>
          <w:szCs w:val="22"/>
        </w:rPr>
        <w:t xml:space="preserve"> and other reserves which may only be used to fund capital expen</w:t>
      </w:r>
      <w:r w:rsidR="00370E5B" w:rsidRPr="00EC06E7">
        <w:rPr>
          <w:rFonts w:cs="Courier New"/>
          <w:szCs w:val="22"/>
        </w:rPr>
        <w:t>diture or repay debt. ‘Unusable R</w:t>
      </w:r>
      <w:r w:rsidR="004839BF" w:rsidRPr="00EC06E7">
        <w:rPr>
          <w:rFonts w:cs="Courier New"/>
          <w:szCs w:val="22"/>
        </w:rPr>
        <w:t>eserves</w:t>
      </w:r>
      <w:r w:rsidR="00370E5B" w:rsidRPr="00EC06E7">
        <w:rPr>
          <w:rFonts w:cs="Courier New"/>
          <w:szCs w:val="22"/>
        </w:rPr>
        <w:t>’</w:t>
      </w:r>
      <w:r w:rsidR="004839BF" w:rsidRPr="00EC06E7">
        <w:rPr>
          <w:rFonts w:cs="Courier New"/>
          <w:szCs w:val="22"/>
        </w:rPr>
        <w:t xml:space="preserve"> fall into two categories. The first consists of the Revaluation Reserve which holds unrealised gains and losses in asset values. The second category holds amounts resulting from the “adjustments between</w:t>
      </w:r>
      <w:r w:rsidR="003536EC" w:rsidRPr="00EC06E7">
        <w:rPr>
          <w:rFonts w:cs="Courier New"/>
          <w:szCs w:val="22"/>
        </w:rPr>
        <w:t xml:space="preserve"> the</w:t>
      </w:r>
      <w:r w:rsidR="004839BF" w:rsidRPr="00EC06E7">
        <w:rPr>
          <w:rFonts w:cs="Courier New"/>
          <w:szCs w:val="22"/>
        </w:rPr>
        <w:t xml:space="preserve"> accounting basis and </w:t>
      </w:r>
      <w:r w:rsidR="003536EC" w:rsidRPr="00EC06E7">
        <w:rPr>
          <w:rFonts w:cs="Courier New"/>
          <w:szCs w:val="22"/>
        </w:rPr>
        <w:t xml:space="preserve">the </w:t>
      </w:r>
      <w:r w:rsidR="004839BF" w:rsidRPr="00EC06E7">
        <w:rPr>
          <w:rFonts w:cs="Courier New"/>
          <w:szCs w:val="22"/>
        </w:rPr>
        <w:t>funding basis”, as shown in the Movement in Reserves Statement</w:t>
      </w:r>
      <w:r w:rsidR="001743B1" w:rsidRPr="00EC06E7">
        <w:rPr>
          <w:rFonts w:cs="Courier New"/>
          <w:szCs w:val="22"/>
        </w:rPr>
        <w:t xml:space="preserve"> (</w:t>
      </w:r>
      <w:proofErr w:type="spellStart"/>
      <w:r w:rsidR="001743B1" w:rsidRPr="00EC06E7">
        <w:rPr>
          <w:rFonts w:cs="Courier New"/>
          <w:szCs w:val="22"/>
        </w:rPr>
        <w:t>MiRS</w:t>
      </w:r>
      <w:proofErr w:type="spellEnd"/>
      <w:r w:rsidR="001743B1" w:rsidRPr="00EC06E7">
        <w:rPr>
          <w:rFonts w:cs="Courier New"/>
          <w:szCs w:val="22"/>
        </w:rPr>
        <w:t>)</w:t>
      </w:r>
      <w:r w:rsidR="00EE535C" w:rsidRPr="00EC06E7">
        <w:rPr>
          <w:rFonts w:cs="Courier New"/>
          <w:szCs w:val="22"/>
        </w:rPr>
        <w:t>.</w:t>
      </w:r>
    </w:p>
    <w:p w14:paraId="7949AEEF" w14:textId="7C7CEFF0" w:rsidR="00725E01" w:rsidRDefault="00725E01">
      <w:pPr>
        <w:rPr>
          <w:rFonts w:cs="Courier New"/>
          <w:szCs w:val="22"/>
        </w:rPr>
      </w:pPr>
    </w:p>
    <w:p w14:paraId="600DB928" w14:textId="42658EF5" w:rsidR="00793F60" w:rsidRDefault="004626AD">
      <w:pPr>
        <w:rPr>
          <w:rFonts w:cs="Courier New"/>
          <w:szCs w:val="22"/>
        </w:rPr>
      </w:pPr>
      <w:r>
        <w:rPr>
          <w:rFonts w:cs="Courier New"/>
          <w:szCs w:val="22"/>
        </w:rPr>
        <w:fldChar w:fldCharType="begin"/>
      </w:r>
      <w:r>
        <w:rPr>
          <w:rFonts w:cs="Courier New"/>
          <w:szCs w:val="22"/>
        </w:rPr>
        <w:instrText xml:space="preserve"> LINK Excel.SheetBinaryMacroEnabled.12 "\\\\alpha\\accounts$\\CLOSURE\\Closure 20-21\\04 SoA Working Papers\\00B3 Balance Sheet\\Balance Sheet SRBC 2020-21.xlsb!Embedded Table!R2C1:R27C4" "" \a \p </w:instrText>
      </w:r>
      <w:r>
        <w:rPr>
          <w:rFonts w:cs="Courier New"/>
          <w:szCs w:val="22"/>
        </w:rPr>
        <w:fldChar w:fldCharType="separate"/>
      </w:r>
      <w:r w:rsidR="001C71EF">
        <w:rPr>
          <w:rFonts w:cs="Courier New"/>
          <w:szCs w:val="22"/>
        </w:rPr>
        <w:object w:dxaOrig="9509" w:dyaOrig="8991" w14:anchorId="59E63E4A">
          <v:shape id="_x0000_i1028" type="#_x0000_t75" style="width:439.45pt;height:460.55pt" o:ole="">
            <v:imagedata r:id="rId55" o:title=""/>
            <o:lock v:ext="edit" aspectratio="f"/>
          </v:shape>
        </w:object>
      </w:r>
      <w:r>
        <w:rPr>
          <w:rFonts w:cs="Courier New"/>
          <w:szCs w:val="22"/>
        </w:rPr>
        <w:fldChar w:fldCharType="end"/>
      </w:r>
    </w:p>
    <w:p w14:paraId="054F97AD" w14:textId="77777777" w:rsidR="00793F60" w:rsidRDefault="00793F60">
      <w:pPr>
        <w:rPr>
          <w:rFonts w:cs="Courier New"/>
          <w:szCs w:val="22"/>
        </w:rPr>
      </w:pPr>
    </w:p>
    <w:p w14:paraId="4E712C86" w14:textId="67585B93" w:rsidR="00787415" w:rsidRPr="00C84C84" w:rsidRDefault="000B6506" w:rsidP="00787415">
      <w:pPr>
        <w:rPr>
          <w:rFonts w:cs="Courier New"/>
          <w:szCs w:val="22"/>
        </w:rPr>
      </w:pPr>
      <w:r w:rsidRPr="00EC06E7">
        <w:rPr>
          <w:rFonts w:cs="Courier New"/>
          <w:szCs w:val="22"/>
        </w:rPr>
        <w:t>The un</w:t>
      </w:r>
      <w:r w:rsidR="00FC337B" w:rsidRPr="00EC06E7">
        <w:rPr>
          <w:rFonts w:cs="Courier New"/>
          <w:szCs w:val="22"/>
        </w:rPr>
        <w:t xml:space="preserve">audited accounts were </w:t>
      </w:r>
      <w:r w:rsidR="00AE4F6E" w:rsidRPr="00EC06E7">
        <w:rPr>
          <w:rFonts w:cs="Courier New"/>
          <w:szCs w:val="22"/>
        </w:rPr>
        <w:t>authorised for issue</w:t>
      </w:r>
      <w:r w:rsidR="00FC337B" w:rsidRPr="00EC06E7">
        <w:rPr>
          <w:rFonts w:cs="Courier New"/>
          <w:szCs w:val="22"/>
        </w:rPr>
        <w:t xml:space="preserve"> on </w:t>
      </w:r>
      <w:r w:rsidR="007F2F2C" w:rsidRPr="007F2F2C">
        <w:t>31 July 2021</w:t>
      </w:r>
      <w:r w:rsidR="00472013" w:rsidRPr="001422EA">
        <w:rPr>
          <w:rFonts w:cs="Courier New"/>
          <w:szCs w:val="22"/>
        </w:rPr>
        <w:t>.</w:t>
      </w:r>
    </w:p>
    <w:p w14:paraId="66C5E785" w14:textId="5354BAFB" w:rsidR="00993167" w:rsidRDefault="00993167" w:rsidP="00993167">
      <w:pPr>
        <w:rPr>
          <w:noProof/>
          <w:snapToGrid w:val="0"/>
          <w:lang w:eastAsia="en-US"/>
        </w:rPr>
      </w:pPr>
    </w:p>
    <w:p w14:paraId="74961BC0" w14:textId="44A06B69" w:rsidR="00093D53" w:rsidRDefault="00093D53" w:rsidP="00993167">
      <w:pPr>
        <w:rPr>
          <w:noProof/>
          <w:snapToGrid w:val="0"/>
          <w:lang w:eastAsia="en-US"/>
        </w:rPr>
      </w:pPr>
    </w:p>
    <w:p w14:paraId="594568D8" w14:textId="77777777" w:rsidR="00093D53" w:rsidRDefault="00093D53" w:rsidP="00993167"/>
    <w:p w14:paraId="15FD5154" w14:textId="4F43B3BA" w:rsidR="00093D53" w:rsidRPr="008071CE" w:rsidRDefault="00093D53" w:rsidP="00093D53">
      <w:pPr>
        <w:rPr>
          <w:snapToGrid w:val="0"/>
          <w:lang w:eastAsia="en-US"/>
        </w:rPr>
      </w:pPr>
      <w:r>
        <w:rPr>
          <w:snapToGrid w:val="0"/>
          <w:lang w:eastAsia="en-US"/>
        </w:rPr>
        <w:t>Louise Mattin</w:t>
      </w:r>
      <w:r w:rsidR="00520D03">
        <w:rPr>
          <w:snapToGrid w:val="0"/>
          <w:lang w:eastAsia="en-US"/>
        </w:rPr>
        <w:t>s</w:t>
      </w:r>
      <w:r>
        <w:rPr>
          <w:snapToGrid w:val="0"/>
          <w:lang w:eastAsia="en-US"/>
        </w:rPr>
        <w:t>on</w:t>
      </w:r>
    </w:p>
    <w:p w14:paraId="3225CCA6" w14:textId="3E10A2D0" w:rsidR="00093D53" w:rsidRPr="008071CE" w:rsidRDefault="00520D03" w:rsidP="00093D53">
      <w:pPr>
        <w:rPr>
          <w:snapToGrid w:val="0"/>
          <w:lang w:eastAsia="en-US"/>
        </w:rPr>
      </w:pPr>
      <w:r>
        <w:rPr>
          <w:snapToGrid w:val="0"/>
          <w:lang w:eastAsia="en-US"/>
        </w:rPr>
        <w:t>D</w:t>
      </w:r>
      <w:r w:rsidR="00093D53">
        <w:rPr>
          <w:snapToGrid w:val="0"/>
          <w:lang w:eastAsia="en-US"/>
        </w:rPr>
        <w:t>i</w:t>
      </w:r>
      <w:r>
        <w:rPr>
          <w:snapToGrid w:val="0"/>
          <w:lang w:eastAsia="en-US"/>
        </w:rPr>
        <w:t>r</w:t>
      </w:r>
      <w:r w:rsidR="00093D53">
        <w:rPr>
          <w:snapToGrid w:val="0"/>
          <w:lang w:eastAsia="en-US"/>
        </w:rPr>
        <w:t>e</w:t>
      </w:r>
      <w:r>
        <w:rPr>
          <w:snapToGrid w:val="0"/>
          <w:lang w:eastAsia="en-US"/>
        </w:rPr>
        <w:t>ctor</w:t>
      </w:r>
      <w:r w:rsidR="00093D53">
        <w:rPr>
          <w:snapToGrid w:val="0"/>
          <w:lang w:eastAsia="en-US"/>
        </w:rPr>
        <w:t xml:space="preserve"> </w:t>
      </w:r>
      <w:r>
        <w:rPr>
          <w:snapToGrid w:val="0"/>
          <w:lang w:eastAsia="en-US"/>
        </w:rPr>
        <w:t xml:space="preserve">of </w:t>
      </w:r>
      <w:r w:rsidR="00093D53">
        <w:rPr>
          <w:snapToGrid w:val="0"/>
          <w:lang w:eastAsia="en-US"/>
        </w:rPr>
        <w:t>Finance/Section 151 Officer</w:t>
      </w:r>
    </w:p>
    <w:p w14:paraId="088A4AB5" w14:textId="28056CF1" w:rsidR="00093D53" w:rsidRPr="005B33E8" w:rsidRDefault="00093D53" w:rsidP="00093D53">
      <w:r w:rsidRPr="00EC06E7">
        <w:t>Date</w:t>
      </w:r>
      <w:r>
        <w:t xml:space="preserve">: </w:t>
      </w:r>
      <w:r w:rsidR="007F2F2C" w:rsidRPr="007F2F2C">
        <w:t>31 July</w:t>
      </w:r>
      <w:r w:rsidRPr="007F2F2C">
        <w:t xml:space="preserve"> 2021</w:t>
      </w:r>
    </w:p>
    <w:p w14:paraId="2B42A186" w14:textId="77777777" w:rsidR="004F5253" w:rsidRPr="00EC06E7" w:rsidRDefault="00A87852" w:rsidP="00D37754">
      <w:pPr>
        <w:pStyle w:val="Heading1"/>
      </w:pPr>
      <w:r w:rsidRPr="00EC06E7">
        <w:rPr>
          <w:sz w:val="18"/>
          <w:szCs w:val="18"/>
        </w:rPr>
        <w:br w:type="page"/>
      </w:r>
      <w:bookmarkStart w:id="29" w:name="_Ref454395861"/>
      <w:bookmarkStart w:id="30" w:name="_Toc77603774"/>
      <w:r w:rsidRPr="001422EA">
        <w:t>Cash Flow Statement</w:t>
      </w:r>
      <w:bookmarkEnd w:id="29"/>
      <w:bookmarkEnd w:id="30"/>
    </w:p>
    <w:p w14:paraId="363B49F4" w14:textId="77777777" w:rsidR="00A87852" w:rsidRPr="00EC06E7" w:rsidRDefault="00A87852" w:rsidP="00AD389B">
      <w:pPr>
        <w:rPr>
          <w:rFonts w:cs="Courier New"/>
          <w:sz w:val="18"/>
          <w:szCs w:val="18"/>
        </w:rPr>
      </w:pPr>
    </w:p>
    <w:p w14:paraId="1B90D8EE" w14:textId="77777777" w:rsidR="009B10E0" w:rsidRPr="00EC06E7" w:rsidRDefault="009B10E0" w:rsidP="00AD389B">
      <w:pPr>
        <w:rPr>
          <w:rFonts w:cs="Courier New"/>
          <w:szCs w:val="22"/>
        </w:rPr>
      </w:pPr>
    </w:p>
    <w:p w14:paraId="1EDEDA49" w14:textId="77777777" w:rsidR="00A87852" w:rsidRPr="00EC06E7" w:rsidRDefault="00C0508D" w:rsidP="00AD389B">
      <w:pPr>
        <w:rPr>
          <w:rFonts w:cs="Courier New"/>
          <w:szCs w:val="22"/>
        </w:rPr>
      </w:pPr>
      <w:r w:rsidRPr="00EC06E7">
        <w:rPr>
          <w:rFonts w:cs="Courier New"/>
          <w:szCs w:val="22"/>
        </w:rPr>
        <w:t>T</w:t>
      </w:r>
      <w:r w:rsidR="00A87852" w:rsidRPr="00EC06E7">
        <w:rPr>
          <w:rFonts w:cs="Courier New"/>
          <w:szCs w:val="22"/>
        </w:rPr>
        <w:t>his shows the changes in cash and cash equivalents during the reporting period. It shows how cash and cash equivalents are generated and used by classifying cash flows into operating, investment and financing activities</w:t>
      </w:r>
      <w:r w:rsidRPr="00EC06E7">
        <w:rPr>
          <w:rFonts w:cs="Courier New"/>
          <w:szCs w:val="22"/>
        </w:rPr>
        <w:t>.</w:t>
      </w:r>
    </w:p>
    <w:p w14:paraId="6668E25B" w14:textId="292D2183" w:rsidR="00C0508D" w:rsidRDefault="00C0508D">
      <w:pPr>
        <w:rPr>
          <w:rFonts w:cs="Courier New"/>
          <w:szCs w:val="22"/>
        </w:rPr>
      </w:pPr>
    </w:p>
    <w:p w14:paraId="436B75A8" w14:textId="68801618" w:rsidR="005508BB" w:rsidRDefault="00305C3A">
      <w:pPr>
        <w:rPr>
          <w:rFonts w:cs="Courier New"/>
          <w:szCs w:val="22"/>
        </w:rPr>
      </w:pPr>
      <w:r>
        <w:rPr>
          <w:rFonts w:cs="Courier New"/>
          <w:szCs w:val="22"/>
        </w:rPr>
        <w:fldChar w:fldCharType="begin"/>
      </w:r>
      <w:r>
        <w:rPr>
          <w:rFonts w:cs="Courier New"/>
          <w:szCs w:val="22"/>
        </w:rPr>
        <w:instrText xml:space="preserve"> LINK Excel.Sheet.12 "\\\\alpha\\accounts$\\CLOSURE\\Closure 20-21\\04 SoA Working Papers\\00B4 Cash Flow Statement, Notes 26-28\\Cash Flow Statement SRBC 2020-21.xlsx!Embedded Table - Main Statement!R2C1:R13C4" "" \a \p </w:instrText>
      </w:r>
      <w:r>
        <w:rPr>
          <w:rFonts w:cs="Courier New"/>
          <w:szCs w:val="22"/>
        </w:rPr>
        <w:fldChar w:fldCharType="separate"/>
      </w:r>
      <w:r w:rsidR="001C71EF">
        <w:rPr>
          <w:rFonts w:cs="Courier New"/>
          <w:szCs w:val="22"/>
        </w:rPr>
        <w:object w:dxaOrig="9927" w:dyaOrig="7508" w14:anchorId="52E461E4">
          <v:shape id="_x0000_i1029" type="#_x0000_t75" style="width:489.75pt;height:381.75pt" o:ole="">
            <v:imagedata r:id="rId56" o:title=""/>
            <o:lock v:ext="edit" aspectratio="f"/>
          </v:shape>
        </w:object>
      </w:r>
      <w:r>
        <w:rPr>
          <w:rFonts w:cs="Courier New"/>
          <w:szCs w:val="22"/>
        </w:rPr>
        <w:fldChar w:fldCharType="end"/>
      </w:r>
    </w:p>
    <w:p w14:paraId="2D04034A" w14:textId="77777777" w:rsidR="005508BB" w:rsidRDefault="005508BB">
      <w:pPr>
        <w:rPr>
          <w:rFonts w:cs="Courier New"/>
          <w:szCs w:val="22"/>
        </w:rPr>
      </w:pPr>
    </w:p>
    <w:p w14:paraId="0FC9F7A3" w14:textId="77777777" w:rsidR="00E76B4E" w:rsidRPr="00EC06E7" w:rsidRDefault="00E76B4E" w:rsidP="00F81991">
      <w:pPr>
        <w:rPr>
          <w:rFonts w:cs="Courier New"/>
          <w:szCs w:val="22"/>
        </w:rPr>
      </w:pPr>
    </w:p>
    <w:p w14:paraId="522DE0A3" w14:textId="77777777" w:rsidR="00F773BA" w:rsidRPr="00EC06E7" w:rsidRDefault="007B3E07" w:rsidP="00D37754">
      <w:pPr>
        <w:pStyle w:val="Heading1"/>
      </w:pPr>
      <w:r w:rsidRPr="00EC06E7">
        <w:rPr>
          <w:szCs w:val="22"/>
        </w:rPr>
        <w:br w:type="page"/>
      </w:r>
      <w:bookmarkStart w:id="31" w:name="_Ref454395879"/>
      <w:bookmarkStart w:id="32" w:name="_Toc77603775"/>
      <w:r w:rsidR="00747091" w:rsidRPr="00EC06E7">
        <w:t>Notes to the Main Financial Statements</w:t>
      </w:r>
      <w:bookmarkEnd w:id="31"/>
      <w:bookmarkEnd w:id="32"/>
    </w:p>
    <w:p w14:paraId="450F9E70" w14:textId="77777777" w:rsidR="008705F1" w:rsidRPr="00EC06E7" w:rsidRDefault="008705F1" w:rsidP="007B3E07">
      <w:pPr>
        <w:tabs>
          <w:tab w:val="left" w:pos="360"/>
          <w:tab w:val="center" w:pos="4153"/>
          <w:tab w:val="right" w:pos="8306"/>
        </w:tabs>
        <w:spacing w:after="120"/>
        <w:rPr>
          <w:rFonts w:cs="Courier New"/>
          <w:b/>
        </w:rPr>
      </w:pPr>
    </w:p>
    <w:p w14:paraId="033E04A2" w14:textId="77777777" w:rsidR="009D7D16" w:rsidRDefault="009D7D16" w:rsidP="009D7D16">
      <w:pPr>
        <w:tabs>
          <w:tab w:val="left" w:pos="360"/>
          <w:tab w:val="center" w:pos="4153"/>
          <w:tab w:val="right" w:pos="8306"/>
        </w:tabs>
        <w:spacing w:after="120"/>
        <w:rPr>
          <w:rFonts w:cs="Courier New"/>
        </w:rPr>
      </w:pPr>
      <w:r w:rsidRPr="00EC06E7">
        <w:rPr>
          <w:rFonts w:cs="Courier New"/>
          <w:b/>
        </w:rPr>
        <w:t>NOTE:</w:t>
      </w:r>
      <w:r w:rsidRPr="00EC06E7">
        <w:rPr>
          <w:rFonts w:cs="Courier New"/>
        </w:rPr>
        <w:t xml:space="preserve"> values throughout these accounts are presented rounded to whole numbers (usually thousands or millions of pounds). Totals in supporting tables and notes may appear not to exactly match to the Core Financial Statements or other tables, due to rounding differences.</w:t>
      </w:r>
    </w:p>
    <w:p w14:paraId="7D447B70" w14:textId="77777777" w:rsidR="00BC55D5" w:rsidRPr="00601A77" w:rsidRDefault="00BC55D5" w:rsidP="00BC55D5"/>
    <w:p w14:paraId="4740678F" w14:textId="77777777" w:rsidR="00BC55D5" w:rsidRPr="001422EA" w:rsidRDefault="00BC55D5" w:rsidP="00E948BF">
      <w:pPr>
        <w:pStyle w:val="Heading2"/>
        <w:numPr>
          <w:ilvl w:val="3"/>
          <w:numId w:val="35"/>
        </w:numPr>
      </w:pPr>
      <w:bookmarkStart w:id="33" w:name="_Toc58412129"/>
      <w:bookmarkStart w:id="34" w:name="_Toc77603776"/>
      <w:r w:rsidRPr="001422EA">
        <w:t>Expenditure and Funding Analysis</w:t>
      </w:r>
      <w:bookmarkEnd w:id="33"/>
      <w:bookmarkEnd w:id="34"/>
    </w:p>
    <w:p w14:paraId="0CD1AAB3" w14:textId="77777777" w:rsidR="00BC55D5" w:rsidRPr="00C11FC3" w:rsidRDefault="00BC55D5" w:rsidP="00BC55D5"/>
    <w:p w14:paraId="628E4F05" w14:textId="77777777" w:rsidR="00BC55D5" w:rsidRPr="00EC06E7" w:rsidRDefault="00BC55D5" w:rsidP="00BC55D5">
      <w:pPr>
        <w:rPr>
          <w:rFonts w:cs="Arial"/>
          <w:szCs w:val="22"/>
        </w:rPr>
      </w:pPr>
      <w:r w:rsidRPr="00EC06E7">
        <w:rPr>
          <w:rFonts w:cs="Arial"/>
          <w:szCs w:val="22"/>
        </w:rPr>
        <w:t xml:space="preserve">The Expenditure and Funding Analysis Note, which is a note to the core financial statements, shows how annual expenditure is used and funded from resources (government grants, rents, council tax and business rates) by local authorities in comparison with those resources consumed or earned by authorities in accordance with generally accepted accounting practices. It also shows how this expenditure is allocated for decision making purposes between the </w:t>
      </w:r>
      <w:r>
        <w:rPr>
          <w:rFonts w:cs="Arial"/>
          <w:szCs w:val="22"/>
        </w:rPr>
        <w:t>Council</w:t>
      </w:r>
      <w:r w:rsidRPr="00EC06E7">
        <w:rPr>
          <w:rFonts w:cs="Arial"/>
          <w:szCs w:val="22"/>
        </w:rPr>
        <w:t>’s directorates.</w:t>
      </w:r>
    </w:p>
    <w:p w14:paraId="087A634A" w14:textId="77777777" w:rsidR="00BC55D5" w:rsidRPr="00EC06E7" w:rsidRDefault="00BC55D5" w:rsidP="00BC55D5">
      <w:pPr>
        <w:rPr>
          <w:rFonts w:cs="Arial"/>
          <w:szCs w:val="22"/>
        </w:rPr>
      </w:pPr>
    </w:p>
    <w:p w14:paraId="5A3FB3A5" w14:textId="77777777" w:rsidR="00BC55D5" w:rsidRPr="00EC06E7" w:rsidRDefault="00BC55D5" w:rsidP="00BC55D5">
      <w:pPr>
        <w:rPr>
          <w:rFonts w:cs="Arial"/>
          <w:szCs w:val="22"/>
        </w:rPr>
      </w:pPr>
      <w:r w:rsidRPr="00EC06E7">
        <w:rPr>
          <w:rFonts w:cs="Arial"/>
          <w:szCs w:val="22"/>
        </w:rPr>
        <w:t>Income and expenditure accounted for under generally accepted accounting practices is presented more fully in the Comprehensive Income and Expenditure Statement (CIES). More information on the adjustments between expenditure charged to the General Fu</w:t>
      </w:r>
      <w:r>
        <w:rPr>
          <w:rFonts w:cs="Arial"/>
          <w:szCs w:val="22"/>
        </w:rPr>
        <w:t>nd and the CIES is provided in N</w:t>
      </w:r>
      <w:r w:rsidRPr="00EC06E7">
        <w:rPr>
          <w:rFonts w:cs="Arial"/>
          <w:szCs w:val="22"/>
        </w:rPr>
        <w:t xml:space="preserve">otes </w:t>
      </w:r>
      <w:r>
        <w:rPr>
          <w:rFonts w:cs="Arial"/>
          <w:szCs w:val="22"/>
        </w:rPr>
        <w:t xml:space="preserve">8 </w:t>
      </w:r>
      <w:r w:rsidRPr="00EC06E7">
        <w:rPr>
          <w:rFonts w:cs="Arial"/>
          <w:szCs w:val="22"/>
        </w:rPr>
        <w:t xml:space="preserve">and </w:t>
      </w:r>
      <w:r>
        <w:rPr>
          <w:rFonts w:cs="Arial"/>
          <w:szCs w:val="22"/>
        </w:rPr>
        <w:t>10</w:t>
      </w:r>
      <w:r w:rsidRPr="00EC06E7">
        <w:rPr>
          <w:rFonts w:cs="Arial"/>
          <w:szCs w:val="22"/>
        </w:rPr>
        <w:t>.</w:t>
      </w:r>
    </w:p>
    <w:p w14:paraId="58DBAFC2" w14:textId="122D7818" w:rsidR="00BC55D5" w:rsidRDefault="00BC55D5" w:rsidP="00175C9B"/>
    <w:p w14:paraId="7564FE57" w14:textId="6637FD1F" w:rsidR="00BC6C5E" w:rsidRDefault="00022D44" w:rsidP="00175C9B">
      <w:r>
        <w:fldChar w:fldCharType="begin"/>
      </w:r>
      <w:r>
        <w:instrText xml:space="preserve"> LINK Excel.Sheet.8 "\\\\alpha\\accounts$\\CLOSURE\\Closure 20-21\\04 SoA Working Papers\\00B1 CIES, EFA, Notes 8 &amp; 9\\CIES, EFA, Notes 8 &amp; 9 2020-21.xls!Note 1 EFA Embedded Table!R2C1:R18C7" "" \a \p </w:instrText>
      </w:r>
      <w:r>
        <w:fldChar w:fldCharType="separate"/>
      </w:r>
      <w:r w:rsidR="001C71EF">
        <w:object w:dxaOrig="9783" w:dyaOrig="9365" w14:anchorId="0B745AFA">
          <v:shape id="_x0000_i1030" type="#_x0000_t75" style="width:453.75pt;height:489.75pt" o:ole="">
            <v:imagedata r:id="rId57" o:title=""/>
            <o:lock v:ext="edit" aspectratio="f"/>
          </v:shape>
        </w:object>
      </w:r>
      <w:r>
        <w:fldChar w:fldCharType="end"/>
      </w:r>
    </w:p>
    <w:p w14:paraId="0FD0FE0D" w14:textId="77777777" w:rsidR="00BC6C5E" w:rsidRDefault="00BC6C5E" w:rsidP="00175C9B"/>
    <w:p w14:paraId="31B33A5B" w14:textId="77777777" w:rsidR="00BC55D5" w:rsidRDefault="00BC55D5" w:rsidP="00BC55D5">
      <w:pPr>
        <w:tabs>
          <w:tab w:val="left" w:pos="360"/>
          <w:tab w:val="center" w:pos="4153"/>
          <w:tab w:val="right" w:pos="8306"/>
        </w:tabs>
        <w:rPr>
          <w:rFonts w:cs="Courier New"/>
        </w:rPr>
      </w:pPr>
    </w:p>
    <w:p w14:paraId="43D2932B" w14:textId="77777777" w:rsidR="007B3E07" w:rsidRPr="001422EA" w:rsidRDefault="006E1448" w:rsidP="004E5A07">
      <w:pPr>
        <w:pStyle w:val="Heading2"/>
      </w:pPr>
      <w:bookmarkStart w:id="35" w:name="_Ref483390677"/>
      <w:bookmarkStart w:id="36" w:name="_Ref483390690"/>
      <w:bookmarkStart w:id="37" w:name="_Toc483390967"/>
      <w:bookmarkStart w:id="38" w:name="_Toc77603777"/>
      <w:r w:rsidRPr="001422EA">
        <w:t>Accounting Policies</w:t>
      </w:r>
      <w:bookmarkEnd w:id="35"/>
      <w:bookmarkEnd w:id="36"/>
      <w:bookmarkEnd w:id="37"/>
      <w:bookmarkEnd w:id="38"/>
    </w:p>
    <w:p w14:paraId="0064B7DC" w14:textId="77777777" w:rsidR="008F0A66" w:rsidRPr="00EC06E7" w:rsidRDefault="008F0A66" w:rsidP="00321217">
      <w:pPr>
        <w:rPr>
          <w:lang w:eastAsia="en-US"/>
        </w:rPr>
      </w:pPr>
    </w:p>
    <w:p w14:paraId="32EE213B" w14:textId="77777777" w:rsidR="00CC2543" w:rsidRPr="00EC06E7" w:rsidRDefault="00CC2543" w:rsidP="00CC2543">
      <w:pPr>
        <w:tabs>
          <w:tab w:val="left" w:pos="360"/>
          <w:tab w:val="center" w:pos="4153"/>
          <w:tab w:val="right" w:pos="8306"/>
        </w:tabs>
        <w:spacing w:after="120"/>
        <w:rPr>
          <w:rFonts w:cs="Arial"/>
          <w:b/>
          <w:szCs w:val="22"/>
          <w:lang w:eastAsia="en-US"/>
        </w:rPr>
      </w:pPr>
      <w:bookmarkStart w:id="39" w:name="_Hlk66956746"/>
      <w:r w:rsidRPr="00EC06E7">
        <w:rPr>
          <w:rFonts w:cs="Arial"/>
          <w:b/>
          <w:szCs w:val="22"/>
          <w:lang w:eastAsia="en-US"/>
        </w:rPr>
        <w:t>General Principles</w:t>
      </w:r>
    </w:p>
    <w:p w14:paraId="747D91A6" w14:textId="70C313FE" w:rsidR="00CC2543" w:rsidRPr="00EC06E7" w:rsidRDefault="00CC2543" w:rsidP="00CC2543">
      <w:pPr>
        <w:tabs>
          <w:tab w:val="right" w:pos="8306"/>
        </w:tabs>
        <w:rPr>
          <w:rFonts w:cs="Arial"/>
          <w:szCs w:val="22"/>
          <w:lang w:eastAsia="en-US"/>
        </w:rPr>
      </w:pPr>
      <w:r w:rsidRPr="00EC06E7">
        <w:rPr>
          <w:rFonts w:cs="Arial"/>
          <w:szCs w:val="22"/>
          <w:lang w:eastAsia="en-US"/>
        </w:rPr>
        <w:t xml:space="preserve">The Statement of Accounts summarises the </w:t>
      </w:r>
      <w:r w:rsidR="005124B6">
        <w:rPr>
          <w:rFonts w:cs="Arial"/>
          <w:szCs w:val="22"/>
          <w:lang w:eastAsia="en-US"/>
        </w:rPr>
        <w:t>c</w:t>
      </w:r>
      <w:r w:rsidRPr="00EC06E7">
        <w:rPr>
          <w:rFonts w:cs="Arial"/>
          <w:szCs w:val="22"/>
          <w:lang w:eastAsia="en-US"/>
        </w:rPr>
        <w:t xml:space="preserve">ouncil’s transactions for the </w:t>
      </w:r>
      <w:r w:rsidR="00AE5BE2">
        <w:rPr>
          <w:rFonts w:cs="Arial"/>
          <w:szCs w:val="22"/>
          <w:lang w:eastAsia="en-US"/>
        </w:rPr>
        <w:t>2020</w:t>
      </w:r>
      <w:r w:rsidR="00C0361B">
        <w:rPr>
          <w:rFonts w:cs="Arial"/>
          <w:szCs w:val="22"/>
          <w:lang w:eastAsia="en-US"/>
        </w:rPr>
        <w:t>/21</w:t>
      </w:r>
      <w:r w:rsidRPr="00EC06E7">
        <w:rPr>
          <w:rFonts w:cs="Arial"/>
          <w:szCs w:val="22"/>
          <w:lang w:eastAsia="en-US"/>
        </w:rPr>
        <w:t xml:space="preserve"> financial year and its position at the year end of </w:t>
      </w:r>
      <w:r w:rsidR="00AE5BE2">
        <w:rPr>
          <w:rFonts w:cs="Arial"/>
          <w:szCs w:val="22"/>
          <w:lang w:eastAsia="en-US"/>
        </w:rPr>
        <w:t>31 March 202</w:t>
      </w:r>
      <w:r w:rsidR="00530FC2">
        <w:rPr>
          <w:rFonts w:cs="Arial"/>
          <w:szCs w:val="22"/>
          <w:lang w:eastAsia="en-US"/>
        </w:rPr>
        <w:t>1</w:t>
      </w:r>
      <w:r w:rsidRPr="00EC06E7">
        <w:rPr>
          <w:rFonts w:cs="Arial"/>
          <w:szCs w:val="22"/>
          <w:lang w:eastAsia="en-US"/>
        </w:rPr>
        <w:t xml:space="preserve">. The </w:t>
      </w:r>
      <w:r w:rsidR="005124B6">
        <w:rPr>
          <w:rFonts w:cs="Arial"/>
          <w:szCs w:val="22"/>
          <w:lang w:eastAsia="en-US"/>
        </w:rPr>
        <w:t>c</w:t>
      </w:r>
      <w:r w:rsidRPr="00EC06E7">
        <w:rPr>
          <w:rFonts w:cs="Arial"/>
          <w:szCs w:val="22"/>
          <w:lang w:eastAsia="en-US"/>
        </w:rPr>
        <w:t xml:space="preserve">ouncil is required to prepare an annual Statement of Accounts by the Accounts and Audit (England) Regulations 2015 which require the accounts to be prepared in accordance with proper accounting practices. These practices primarily comprise the Chartered Institute of Public Finance and Accountancy </w:t>
      </w:r>
      <w:r w:rsidR="00AE5BE2">
        <w:rPr>
          <w:rFonts w:cs="Arial"/>
          <w:szCs w:val="22"/>
          <w:lang w:eastAsia="en-US"/>
        </w:rPr>
        <w:t>2020</w:t>
      </w:r>
      <w:r w:rsidR="00C0361B">
        <w:rPr>
          <w:rFonts w:cs="Arial"/>
          <w:szCs w:val="22"/>
          <w:lang w:eastAsia="en-US"/>
        </w:rPr>
        <w:t>/21</w:t>
      </w:r>
      <w:r w:rsidRPr="00EC06E7">
        <w:rPr>
          <w:rFonts w:cs="Arial"/>
          <w:szCs w:val="22"/>
          <w:lang w:eastAsia="en-US"/>
        </w:rPr>
        <w:t xml:space="preserve"> Code of Practice on Local Authority Accounting in the United Kingdom (the Code), supported by International Financial Reporting Standards (IFRS). </w:t>
      </w:r>
    </w:p>
    <w:p w14:paraId="104984E5" w14:textId="77777777" w:rsidR="00CC2543" w:rsidRPr="00EC06E7" w:rsidRDefault="00CC2543" w:rsidP="00CC2543">
      <w:pPr>
        <w:tabs>
          <w:tab w:val="right" w:pos="8306"/>
        </w:tabs>
        <w:rPr>
          <w:rFonts w:cs="Arial"/>
          <w:szCs w:val="22"/>
          <w:lang w:eastAsia="en-US"/>
        </w:rPr>
      </w:pPr>
    </w:p>
    <w:p w14:paraId="6F7BF4C5" w14:textId="77777777" w:rsidR="00CC2543" w:rsidRPr="00EC06E7" w:rsidRDefault="00CC2543" w:rsidP="00392027">
      <w:pPr>
        <w:tabs>
          <w:tab w:val="left" w:pos="360"/>
          <w:tab w:val="center" w:pos="4153"/>
          <w:tab w:val="right" w:pos="8306"/>
        </w:tabs>
        <w:rPr>
          <w:rFonts w:cs="Arial"/>
          <w:szCs w:val="22"/>
          <w:lang w:eastAsia="en-US"/>
        </w:rPr>
      </w:pPr>
      <w:r w:rsidRPr="00EC06E7">
        <w:rPr>
          <w:rFonts w:cs="Arial"/>
          <w:szCs w:val="22"/>
          <w:lang w:eastAsia="en-US"/>
        </w:rPr>
        <w:t>The accounting convention adopted in the Statement of Accounts is principally historical cost, modified by the revaluation of certain categories of non-current assets and financial instruments.</w:t>
      </w:r>
    </w:p>
    <w:p w14:paraId="016A1086" w14:textId="77777777" w:rsidR="00CC2543" w:rsidRPr="00EC06E7" w:rsidRDefault="00CC2543" w:rsidP="00392027">
      <w:pPr>
        <w:tabs>
          <w:tab w:val="left" w:pos="360"/>
          <w:tab w:val="center" w:pos="4153"/>
          <w:tab w:val="right" w:pos="8306"/>
        </w:tabs>
        <w:rPr>
          <w:rFonts w:cs="Arial"/>
          <w:szCs w:val="22"/>
          <w:lang w:eastAsia="en-US"/>
        </w:rPr>
      </w:pPr>
    </w:p>
    <w:p w14:paraId="5D0887F8" w14:textId="77777777" w:rsidR="00BC55D5" w:rsidRDefault="00BC55D5">
      <w:pPr>
        <w:jc w:val="left"/>
        <w:rPr>
          <w:rFonts w:cs="Arial"/>
          <w:b/>
          <w:szCs w:val="22"/>
          <w:lang w:eastAsia="en-US"/>
        </w:rPr>
      </w:pPr>
      <w:r>
        <w:rPr>
          <w:rFonts w:cs="Arial"/>
          <w:b/>
          <w:szCs w:val="22"/>
          <w:lang w:eastAsia="en-US"/>
        </w:rPr>
        <w:br w:type="page"/>
      </w:r>
    </w:p>
    <w:p w14:paraId="2B552424" w14:textId="77777777" w:rsidR="00CC2543" w:rsidRPr="00EC06E7" w:rsidRDefault="00CC2543" w:rsidP="00392027">
      <w:pPr>
        <w:tabs>
          <w:tab w:val="left" w:pos="360"/>
          <w:tab w:val="center" w:pos="4153"/>
          <w:tab w:val="right" w:pos="8306"/>
        </w:tabs>
        <w:spacing w:after="120"/>
        <w:rPr>
          <w:rFonts w:cs="Arial"/>
          <w:b/>
          <w:szCs w:val="22"/>
          <w:lang w:eastAsia="en-US"/>
        </w:rPr>
      </w:pPr>
      <w:r w:rsidRPr="00EC06E7">
        <w:rPr>
          <w:rFonts w:cs="Arial"/>
          <w:b/>
          <w:szCs w:val="22"/>
          <w:lang w:eastAsia="en-US"/>
        </w:rPr>
        <w:t>Accruals of Income and Expenditure</w:t>
      </w:r>
      <w:r>
        <w:rPr>
          <w:rFonts w:cs="Arial"/>
          <w:b/>
          <w:szCs w:val="22"/>
          <w:lang w:eastAsia="en-US"/>
        </w:rPr>
        <w:t xml:space="preserve"> (Revenue Recognition)</w:t>
      </w:r>
    </w:p>
    <w:p w14:paraId="7C583F5C" w14:textId="77777777" w:rsidR="00CC2543" w:rsidRPr="00EC06E7" w:rsidRDefault="00CC2543" w:rsidP="00392027">
      <w:pPr>
        <w:tabs>
          <w:tab w:val="left" w:pos="360"/>
        </w:tabs>
        <w:rPr>
          <w:szCs w:val="20"/>
          <w:lang w:eastAsia="en-US"/>
        </w:rPr>
      </w:pPr>
      <w:r w:rsidRPr="00EC06E7">
        <w:rPr>
          <w:szCs w:val="20"/>
          <w:lang w:eastAsia="en-US"/>
        </w:rPr>
        <w:t xml:space="preserve">The Income and Costs of the </w:t>
      </w:r>
      <w:r w:rsidR="005124B6">
        <w:rPr>
          <w:szCs w:val="20"/>
          <w:lang w:eastAsia="en-US"/>
        </w:rPr>
        <w:t>c</w:t>
      </w:r>
      <w:r w:rsidRPr="00EC06E7">
        <w:rPr>
          <w:szCs w:val="20"/>
          <w:lang w:eastAsia="en-US"/>
        </w:rPr>
        <w:t>ouncil are accounted for in the period to which they relate, regardless of when the cash is paid or received. In particular:</w:t>
      </w:r>
    </w:p>
    <w:p w14:paraId="608394CC" w14:textId="77777777" w:rsidR="00CC2543" w:rsidRPr="007453D2" w:rsidRDefault="00CC2543" w:rsidP="00E948BF">
      <w:pPr>
        <w:pStyle w:val="ListParagraph"/>
        <w:numPr>
          <w:ilvl w:val="0"/>
          <w:numId w:val="22"/>
        </w:numPr>
        <w:tabs>
          <w:tab w:val="left" w:pos="360"/>
        </w:tabs>
        <w:rPr>
          <w:szCs w:val="20"/>
          <w:lang w:eastAsia="en-US"/>
        </w:rPr>
      </w:pPr>
      <w:r w:rsidRPr="007453D2">
        <w:rPr>
          <w:szCs w:val="20"/>
          <w:lang w:eastAsia="en-US"/>
        </w:rPr>
        <w:t>Revenue from contracts with service recipients, whether for services or the provision of goods, is recognised when (or as) the goods or services are transferred to the service recipient in accordance with the performance obligations in the contract.</w:t>
      </w:r>
    </w:p>
    <w:p w14:paraId="32F03100" w14:textId="77777777" w:rsidR="00CC2543" w:rsidRPr="00EC06E7" w:rsidRDefault="00CC2543" w:rsidP="00E948BF">
      <w:pPr>
        <w:pStyle w:val="ListParagraph"/>
        <w:numPr>
          <w:ilvl w:val="0"/>
          <w:numId w:val="22"/>
        </w:numPr>
        <w:tabs>
          <w:tab w:val="left" w:pos="360"/>
        </w:tabs>
        <w:rPr>
          <w:szCs w:val="20"/>
          <w:lang w:eastAsia="en-US"/>
        </w:rPr>
      </w:pPr>
      <w:r w:rsidRPr="007453D2">
        <w:rPr>
          <w:szCs w:val="20"/>
          <w:lang w:eastAsia="en-US"/>
        </w:rPr>
        <w:t>Revenue from Council Tax and Business Rates is measured at the full amount</w:t>
      </w:r>
      <w:r w:rsidRPr="0027775A">
        <w:rPr>
          <w:szCs w:val="20"/>
          <w:lang w:eastAsia="en-US"/>
        </w:rPr>
        <w:t xml:space="preserve"> receivable (net of impairment losses) as they are non-contractual, non-exchange transactions.  </w:t>
      </w:r>
      <w:r w:rsidRPr="00EC06E7">
        <w:rPr>
          <w:szCs w:val="20"/>
          <w:lang w:eastAsia="en-US"/>
        </w:rPr>
        <w:t>Revenue from non-exchange transactions shall be recognised when it is probable that the economic benefits or service potential associated with the transaction will flow to the authority, and the amount of the revenue can be measured reliably.</w:t>
      </w:r>
    </w:p>
    <w:p w14:paraId="43948D24" w14:textId="77777777" w:rsidR="00CC2543" w:rsidRPr="00EC06E7" w:rsidRDefault="00CC2543" w:rsidP="00E948BF">
      <w:pPr>
        <w:pStyle w:val="ListParagraph"/>
        <w:numPr>
          <w:ilvl w:val="0"/>
          <w:numId w:val="22"/>
        </w:numPr>
        <w:tabs>
          <w:tab w:val="left" w:pos="360"/>
        </w:tabs>
        <w:rPr>
          <w:szCs w:val="20"/>
          <w:lang w:eastAsia="en-US"/>
        </w:rPr>
      </w:pPr>
      <w:r w:rsidRPr="00EC06E7">
        <w:rPr>
          <w:szCs w:val="20"/>
          <w:lang w:eastAsia="en-US"/>
        </w:rPr>
        <w:t>Supplies are recorded as expenditure when they are consumed – where there is a gap between the date supplies are received and their consumption, they are carried as inventories on the Balance Sheet.</w:t>
      </w:r>
    </w:p>
    <w:p w14:paraId="34F76423" w14:textId="77777777" w:rsidR="00CC2543" w:rsidRPr="00EC06E7" w:rsidRDefault="00CC2543" w:rsidP="00E948BF">
      <w:pPr>
        <w:pStyle w:val="ListParagraph"/>
        <w:numPr>
          <w:ilvl w:val="0"/>
          <w:numId w:val="22"/>
        </w:numPr>
        <w:tabs>
          <w:tab w:val="left" w:pos="360"/>
        </w:tabs>
        <w:rPr>
          <w:szCs w:val="20"/>
          <w:lang w:eastAsia="en-US"/>
        </w:rPr>
      </w:pPr>
      <w:r w:rsidRPr="00EC06E7">
        <w:rPr>
          <w:szCs w:val="20"/>
          <w:lang w:eastAsia="en-US"/>
        </w:rPr>
        <w:t>Expenses in relation to services received (including services provided by employees) are recorded as expenditure when the services are received rather than when payments are made.</w:t>
      </w:r>
    </w:p>
    <w:p w14:paraId="11C96630" w14:textId="77777777" w:rsidR="00CC2543" w:rsidRPr="00EC06E7" w:rsidRDefault="00CC2543" w:rsidP="00E948BF">
      <w:pPr>
        <w:pStyle w:val="ListParagraph"/>
        <w:numPr>
          <w:ilvl w:val="0"/>
          <w:numId w:val="22"/>
        </w:numPr>
        <w:tabs>
          <w:tab w:val="left" w:pos="360"/>
        </w:tabs>
        <w:rPr>
          <w:szCs w:val="20"/>
          <w:lang w:eastAsia="en-US"/>
        </w:rPr>
      </w:pPr>
      <w:r w:rsidRPr="00EC06E7">
        <w:rPr>
          <w:szCs w:val="20"/>
          <w:lang w:eastAsia="en-US"/>
        </w:rPr>
        <w:t xml:space="preserve">Interest receivable on investments and payable on borrowings is accounted for respectively as income and expenditure </w:t>
      </w:r>
      <w:proofErr w:type="gramStart"/>
      <w:r w:rsidRPr="00EC06E7">
        <w:rPr>
          <w:szCs w:val="20"/>
          <w:lang w:eastAsia="en-US"/>
        </w:rPr>
        <w:t>on the basis of</w:t>
      </w:r>
      <w:proofErr w:type="gramEnd"/>
      <w:r w:rsidRPr="00EC06E7">
        <w:rPr>
          <w:szCs w:val="20"/>
          <w:lang w:eastAsia="en-US"/>
        </w:rPr>
        <w:t xml:space="preserve"> the effective interest rate for the relevant financial instrument rather than the cash flows fixed or determined by the contract.</w:t>
      </w:r>
    </w:p>
    <w:p w14:paraId="7662003F" w14:textId="77777777" w:rsidR="00CC2543" w:rsidRPr="00EC06E7" w:rsidRDefault="00CC2543" w:rsidP="00E948BF">
      <w:pPr>
        <w:pStyle w:val="ListParagraph"/>
        <w:numPr>
          <w:ilvl w:val="0"/>
          <w:numId w:val="22"/>
        </w:numPr>
        <w:tabs>
          <w:tab w:val="left" w:pos="360"/>
        </w:tabs>
        <w:rPr>
          <w:szCs w:val="20"/>
          <w:lang w:eastAsia="en-US"/>
        </w:rPr>
      </w:pPr>
      <w:r w:rsidRPr="00EC06E7">
        <w:rPr>
          <w:szCs w:val="20"/>
          <w:lang w:eastAsia="en-US"/>
        </w:rPr>
        <w:t>Where revenue and expenditure have been recognised but cash has not been received or paid, a debtor or creditor for the relevant amount is recorded in the Balance Sheet. Where debts may not be settled, the balance of debtors is written down and a charge made to revenue for the income that might not be collected.</w:t>
      </w:r>
    </w:p>
    <w:p w14:paraId="28B075A9" w14:textId="77777777" w:rsidR="00CC2543" w:rsidRPr="00EC06E7" w:rsidRDefault="00CC2543" w:rsidP="00392027">
      <w:pPr>
        <w:rPr>
          <w:szCs w:val="20"/>
          <w:lang w:eastAsia="en-US"/>
        </w:rPr>
      </w:pPr>
    </w:p>
    <w:p w14:paraId="25CB8E44" w14:textId="77777777" w:rsidR="00CC2543" w:rsidRPr="007453D2" w:rsidRDefault="00CC2543" w:rsidP="00392027">
      <w:pPr>
        <w:spacing w:after="120"/>
        <w:rPr>
          <w:rFonts w:cs="Arial"/>
          <w:b/>
          <w:szCs w:val="22"/>
          <w:lang w:eastAsia="en-US"/>
        </w:rPr>
      </w:pPr>
      <w:r w:rsidRPr="007453D2">
        <w:rPr>
          <w:rFonts w:cs="Arial"/>
          <w:b/>
          <w:szCs w:val="22"/>
          <w:lang w:eastAsia="en-US"/>
        </w:rPr>
        <w:t>Cash and Cash Equivalents</w:t>
      </w:r>
    </w:p>
    <w:p w14:paraId="0D1D856C" w14:textId="77777777" w:rsidR="00CC2543" w:rsidRPr="007453D2" w:rsidRDefault="00CC2543" w:rsidP="00392027">
      <w:pPr>
        <w:tabs>
          <w:tab w:val="left" w:pos="360"/>
          <w:tab w:val="center" w:pos="4153"/>
          <w:tab w:val="right" w:pos="8306"/>
        </w:tabs>
        <w:rPr>
          <w:rFonts w:cs="Arial"/>
          <w:szCs w:val="22"/>
          <w:lang w:eastAsia="en-US"/>
        </w:rPr>
      </w:pPr>
      <w:r w:rsidRPr="007453D2">
        <w:rPr>
          <w:rFonts w:cs="Arial"/>
          <w:szCs w:val="22"/>
          <w:lang w:eastAsia="en-US"/>
        </w:rPr>
        <w:t>Cash and Cash Equivalents are shown net of bank overdrafts that are repayable on demand.</w:t>
      </w:r>
    </w:p>
    <w:p w14:paraId="409434FC" w14:textId="77777777" w:rsidR="00CC2543" w:rsidRPr="007453D2" w:rsidRDefault="00CC2543" w:rsidP="00E948BF">
      <w:pPr>
        <w:pStyle w:val="ListParagraph"/>
        <w:numPr>
          <w:ilvl w:val="0"/>
          <w:numId w:val="30"/>
        </w:numPr>
        <w:tabs>
          <w:tab w:val="left" w:pos="360"/>
          <w:tab w:val="center" w:pos="4153"/>
          <w:tab w:val="right" w:pos="8306"/>
        </w:tabs>
        <w:jc w:val="left"/>
        <w:rPr>
          <w:rFonts w:cs="Arial"/>
          <w:szCs w:val="22"/>
          <w:lang w:eastAsia="en-US"/>
        </w:rPr>
      </w:pPr>
      <w:r w:rsidRPr="007453D2">
        <w:rPr>
          <w:rFonts w:cs="Arial"/>
          <w:szCs w:val="22"/>
          <w:lang w:eastAsia="en-US"/>
        </w:rPr>
        <w:t xml:space="preserve">Cash consists of cash in hand and deposits repayable without penalty on notice of not more than 24 hours. </w:t>
      </w:r>
    </w:p>
    <w:p w14:paraId="10C17C98" w14:textId="77777777" w:rsidR="00CC2543" w:rsidRPr="007453D2" w:rsidRDefault="00CC2543" w:rsidP="00E948BF">
      <w:pPr>
        <w:pStyle w:val="ListParagraph"/>
        <w:numPr>
          <w:ilvl w:val="0"/>
          <w:numId w:val="30"/>
        </w:numPr>
        <w:tabs>
          <w:tab w:val="left" w:pos="360"/>
          <w:tab w:val="center" w:pos="4153"/>
          <w:tab w:val="right" w:pos="8306"/>
        </w:tabs>
        <w:jc w:val="left"/>
        <w:rPr>
          <w:rFonts w:cs="Arial"/>
          <w:szCs w:val="22"/>
          <w:lang w:eastAsia="en-US"/>
        </w:rPr>
      </w:pPr>
      <w:r w:rsidRPr="007453D2">
        <w:rPr>
          <w:rFonts w:cs="Arial"/>
          <w:szCs w:val="22"/>
          <w:lang w:eastAsia="en-US"/>
        </w:rPr>
        <w:t>Cash Equivalents consist of highly liquid investments which mature in less than three months</w:t>
      </w:r>
      <w:r w:rsidRPr="007453D2">
        <w:rPr>
          <w:szCs w:val="20"/>
          <w:lang w:eastAsia="en-US"/>
        </w:rPr>
        <w:t xml:space="preserve"> from the date of acquisition and that are readily convertible to known amounts of cash with insignificant risk of change in value</w:t>
      </w:r>
      <w:r w:rsidRPr="007453D2">
        <w:rPr>
          <w:rFonts w:cs="Arial"/>
          <w:szCs w:val="22"/>
          <w:lang w:eastAsia="en-US"/>
        </w:rPr>
        <w:t>.</w:t>
      </w:r>
    </w:p>
    <w:p w14:paraId="69D58CE9" w14:textId="77777777" w:rsidR="00CC2543" w:rsidRPr="007453D2" w:rsidRDefault="00CC2543" w:rsidP="00392027">
      <w:pPr>
        <w:tabs>
          <w:tab w:val="left" w:pos="360"/>
          <w:tab w:val="center" w:pos="4153"/>
          <w:tab w:val="right" w:pos="8306"/>
        </w:tabs>
        <w:rPr>
          <w:rFonts w:cs="Arial"/>
          <w:szCs w:val="22"/>
          <w:lang w:eastAsia="en-US"/>
        </w:rPr>
      </w:pPr>
    </w:p>
    <w:p w14:paraId="408BC19A" w14:textId="77777777" w:rsidR="00CC2543" w:rsidRPr="007453D2" w:rsidRDefault="00CC2543" w:rsidP="00392027">
      <w:pPr>
        <w:spacing w:after="120"/>
        <w:rPr>
          <w:rFonts w:cs="Arial"/>
          <w:b/>
          <w:szCs w:val="22"/>
          <w:lang w:eastAsia="en-US"/>
        </w:rPr>
      </w:pPr>
      <w:r w:rsidRPr="007453D2">
        <w:rPr>
          <w:rFonts w:cs="Arial"/>
          <w:b/>
          <w:szCs w:val="22"/>
          <w:lang w:eastAsia="en-US"/>
        </w:rPr>
        <w:t>Charges to Revenue for Non-Current Assets</w:t>
      </w:r>
    </w:p>
    <w:p w14:paraId="4C8F0D8E" w14:textId="77777777" w:rsidR="00CC2543" w:rsidRPr="00EC06E7" w:rsidRDefault="00CC2543" w:rsidP="00392027">
      <w:pPr>
        <w:rPr>
          <w:szCs w:val="20"/>
          <w:lang w:eastAsia="en-US"/>
        </w:rPr>
      </w:pPr>
      <w:r w:rsidRPr="007453D2">
        <w:rPr>
          <w:szCs w:val="20"/>
          <w:lang w:eastAsia="en-US"/>
        </w:rPr>
        <w:t>Services, support services and trading accounts are debited with depreciation charges, revaluation and impairment losses in excess of accumulated revaluation gains, and</w:t>
      </w:r>
      <w:r w:rsidRPr="00EC06E7">
        <w:rPr>
          <w:szCs w:val="20"/>
          <w:lang w:eastAsia="en-US"/>
        </w:rPr>
        <w:t xml:space="preserve"> amortisation charges in respect of intangible assets.</w:t>
      </w:r>
    </w:p>
    <w:p w14:paraId="2707EDE8" w14:textId="77777777" w:rsidR="00CC2543" w:rsidRPr="00EC06E7" w:rsidRDefault="00CC2543" w:rsidP="00392027">
      <w:pPr>
        <w:rPr>
          <w:szCs w:val="20"/>
          <w:lang w:eastAsia="en-US"/>
        </w:rPr>
      </w:pPr>
    </w:p>
    <w:p w14:paraId="763EB7A4" w14:textId="77777777" w:rsidR="00CC2543" w:rsidRPr="00EC06E7" w:rsidRDefault="00CC2543" w:rsidP="00392027">
      <w:pPr>
        <w:rPr>
          <w:szCs w:val="20"/>
          <w:lang w:eastAsia="en-US"/>
        </w:rPr>
      </w:pPr>
      <w:r w:rsidRPr="00EC06E7">
        <w:rPr>
          <w:szCs w:val="20"/>
          <w:lang w:eastAsia="en-US"/>
        </w:rPr>
        <w:t xml:space="preserve">The Authority is not required to raise council tax to meet these charges. Instead it </w:t>
      </w:r>
      <w:proofErr w:type="gramStart"/>
      <w:r w:rsidRPr="00EC06E7">
        <w:rPr>
          <w:szCs w:val="20"/>
          <w:lang w:eastAsia="en-US"/>
        </w:rPr>
        <w:t>has to</w:t>
      </w:r>
      <w:proofErr w:type="gramEnd"/>
      <w:r w:rsidRPr="00EC06E7">
        <w:rPr>
          <w:szCs w:val="20"/>
          <w:lang w:eastAsia="en-US"/>
        </w:rPr>
        <w:t xml:space="preserve"> make an annual contribution from revenue towards the reduction in its overall borrowing requirement</w:t>
      </w:r>
      <w:r>
        <w:rPr>
          <w:szCs w:val="20"/>
          <w:lang w:eastAsia="en-US"/>
        </w:rPr>
        <w:t xml:space="preserve"> </w:t>
      </w:r>
      <w:r w:rsidRPr="003002A8">
        <w:rPr>
          <w:szCs w:val="20"/>
          <w:lang w:eastAsia="en-US"/>
        </w:rPr>
        <w:t>equal to an amount calculated on a prudent basis determined by the Authority in accordance with statutory guidance</w:t>
      </w:r>
      <w:r w:rsidRPr="006A7123">
        <w:rPr>
          <w:szCs w:val="20"/>
          <w:lang w:eastAsia="en-US"/>
        </w:rPr>
        <w:t xml:space="preserve">. </w:t>
      </w:r>
      <w:r w:rsidRPr="001F1035">
        <w:rPr>
          <w:szCs w:val="20"/>
          <w:lang w:eastAsia="en-US"/>
        </w:rPr>
        <w:t>Depreciation, revaluation and impairment losses and amortisation are therefore</w:t>
      </w:r>
      <w:r>
        <w:rPr>
          <w:szCs w:val="20"/>
          <w:lang w:eastAsia="en-US"/>
        </w:rPr>
        <w:t xml:space="preserve"> </w:t>
      </w:r>
      <w:r w:rsidRPr="001F1035">
        <w:rPr>
          <w:szCs w:val="20"/>
          <w:lang w:eastAsia="en-US"/>
        </w:rPr>
        <w:t xml:space="preserve">replaced by the contribution </w:t>
      </w:r>
      <w:r>
        <w:rPr>
          <w:szCs w:val="20"/>
          <w:lang w:eastAsia="en-US"/>
        </w:rPr>
        <w:t>in the General Fund Balance (the Minimum Revenue Provision)</w:t>
      </w:r>
      <w:r w:rsidRPr="001F1035">
        <w:rPr>
          <w:szCs w:val="20"/>
          <w:lang w:eastAsia="en-US"/>
        </w:rPr>
        <w:t>, by way of an adjusting transaction with the Capital Adjustment</w:t>
      </w:r>
      <w:r>
        <w:rPr>
          <w:szCs w:val="20"/>
          <w:lang w:eastAsia="en-US"/>
        </w:rPr>
        <w:t xml:space="preserve"> </w:t>
      </w:r>
      <w:r w:rsidRPr="001F1035">
        <w:rPr>
          <w:szCs w:val="20"/>
          <w:lang w:eastAsia="en-US"/>
        </w:rPr>
        <w:t>Account in the Movement in Reserves Statement for the difference between the two</w:t>
      </w:r>
      <w:r>
        <w:rPr>
          <w:szCs w:val="20"/>
          <w:lang w:eastAsia="en-US"/>
        </w:rPr>
        <w:t>.</w:t>
      </w:r>
    </w:p>
    <w:p w14:paraId="5F181107" w14:textId="77777777" w:rsidR="00CC2543" w:rsidRPr="00EC06E7" w:rsidRDefault="00CC2543" w:rsidP="00392027">
      <w:pPr>
        <w:rPr>
          <w:rFonts w:cs="Arial"/>
          <w:b/>
          <w:szCs w:val="22"/>
          <w:lang w:eastAsia="en-US"/>
        </w:rPr>
      </w:pPr>
    </w:p>
    <w:p w14:paraId="39521C86" w14:textId="77777777" w:rsidR="00CC2543" w:rsidRPr="0027775A" w:rsidRDefault="00CC2543" w:rsidP="00392027">
      <w:pPr>
        <w:spacing w:after="120"/>
        <w:rPr>
          <w:rFonts w:cs="Arial"/>
          <w:b/>
          <w:szCs w:val="22"/>
          <w:lang w:eastAsia="en-US"/>
        </w:rPr>
      </w:pPr>
      <w:r w:rsidRPr="0027775A">
        <w:rPr>
          <w:rFonts w:cs="Arial"/>
          <w:b/>
          <w:szCs w:val="22"/>
          <w:lang w:eastAsia="en-US"/>
        </w:rPr>
        <w:t xml:space="preserve">Council Tax and Non-Domestic Rates </w:t>
      </w:r>
    </w:p>
    <w:p w14:paraId="1E1D187F" w14:textId="77777777" w:rsidR="00CC2543" w:rsidRPr="0027775A" w:rsidRDefault="00CC2543" w:rsidP="00392027">
      <w:pPr>
        <w:rPr>
          <w:szCs w:val="20"/>
          <w:lang w:eastAsia="en-US"/>
        </w:rPr>
      </w:pPr>
      <w:r w:rsidRPr="0027775A">
        <w:rPr>
          <w:szCs w:val="20"/>
          <w:lang w:eastAsia="en-US"/>
        </w:rPr>
        <w:t xml:space="preserve">Billing authorities such as South </w:t>
      </w:r>
      <w:proofErr w:type="spellStart"/>
      <w:r w:rsidRPr="0027775A">
        <w:rPr>
          <w:szCs w:val="20"/>
          <w:lang w:eastAsia="en-US"/>
        </w:rPr>
        <w:t>Ribble</w:t>
      </w:r>
      <w:proofErr w:type="spellEnd"/>
      <w:r w:rsidRPr="0027775A">
        <w:rPr>
          <w:szCs w:val="20"/>
          <w:lang w:eastAsia="en-US"/>
        </w:rPr>
        <w:t xml:space="preserve"> Borough Council act as agents, collecting council tax and non-domestic rates (NDR) on behalf of the major preceptors (including government for NDR) and, as principals, collecting council tax and NDR for themselves. Billing authorities are required by statute to maintain a separate fund (i.e. the Collection Fund) for the collection and distribution of amounts due in respect of council tax and NDR. Under the legislative framework for the Collection Fund, billing authorities, major preceptors and central government share proportionately the risks and rewards that the amount of council tax and NDR collected could be less or more than predicted.</w:t>
      </w:r>
      <w:r>
        <w:rPr>
          <w:szCs w:val="20"/>
          <w:lang w:eastAsia="en-US"/>
        </w:rPr>
        <w:t xml:space="preserve"> </w:t>
      </w:r>
    </w:p>
    <w:p w14:paraId="5D41957B" w14:textId="77777777" w:rsidR="00CC2543" w:rsidRPr="0027775A" w:rsidRDefault="00CC2543" w:rsidP="00392027">
      <w:pPr>
        <w:spacing w:after="120"/>
        <w:rPr>
          <w:rFonts w:cs="Arial"/>
          <w:b/>
          <w:szCs w:val="22"/>
          <w:lang w:eastAsia="en-US"/>
        </w:rPr>
      </w:pPr>
    </w:p>
    <w:p w14:paraId="38106541" w14:textId="77777777" w:rsidR="00CC2543" w:rsidRPr="0027775A" w:rsidRDefault="00CC2543" w:rsidP="00392027">
      <w:pPr>
        <w:spacing w:after="120"/>
        <w:rPr>
          <w:rFonts w:cs="Arial"/>
          <w:b/>
          <w:szCs w:val="22"/>
          <w:lang w:eastAsia="en-US"/>
        </w:rPr>
      </w:pPr>
      <w:r w:rsidRPr="0027775A">
        <w:rPr>
          <w:rFonts w:cs="Arial"/>
          <w:b/>
          <w:szCs w:val="22"/>
          <w:lang w:eastAsia="en-US"/>
        </w:rPr>
        <w:t>Accounting for Council Tax and National Non-Domestic Rates</w:t>
      </w:r>
    </w:p>
    <w:p w14:paraId="680932B9" w14:textId="77777777" w:rsidR="00CC2543" w:rsidRPr="0027775A" w:rsidRDefault="00CC2543" w:rsidP="00392027">
      <w:pPr>
        <w:rPr>
          <w:szCs w:val="20"/>
          <w:lang w:eastAsia="en-US"/>
        </w:rPr>
      </w:pPr>
      <w:r w:rsidRPr="0027775A">
        <w:rPr>
          <w:szCs w:val="20"/>
          <w:lang w:eastAsia="en-US"/>
        </w:rPr>
        <w:t>The council tax and NDR income included in the Comprehensive Income and Expenditure Statement is the authority’s share of accrued income for the year. However, regulations determine the amount of council tax and NDR that must be included in the authority’s General Fund. Therefore, the difference between the income included in the Comprehensive Income and Expenditure Statement and the amount required by regulation to be credited to the General Fund is taken to the Collection Fund Adjustment Account and included as a reconciling item in the Movement in Reserves Statement.</w:t>
      </w:r>
    </w:p>
    <w:p w14:paraId="43EBC151" w14:textId="77777777" w:rsidR="00CC2543" w:rsidRPr="0027775A" w:rsidRDefault="00CC2543" w:rsidP="00392027">
      <w:pPr>
        <w:rPr>
          <w:szCs w:val="20"/>
          <w:lang w:eastAsia="en-US"/>
        </w:rPr>
      </w:pPr>
    </w:p>
    <w:p w14:paraId="46641FA9" w14:textId="77777777" w:rsidR="00CC2543" w:rsidRDefault="00CC2543" w:rsidP="00392027">
      <w:pPr>
        <w:rPr>
          <w:szCs w:val="20"/>
          <w:lang w:eastAsia="en-US"/>
        </w:rPr>
      </w:pPr>
      <w:r w:rsidRPr="0027775A">
        <w:rPr>
          <w:szCs w:val="20"/>
          <w:lang w:eastAsia="en-US"/>
        </w:rPr>
        <w:t>The Balance Sheet includes the authority’s share of the end of year balances in respect of council tax and NDR relating to arrears, impairment allowances for doubtful debts, overpayments and prepayments and appeals.</w:t>
      </w:r>
    </w:p>
    <w:p w14:paraId="0A1F6B11" w14:textId="77777777" w:rsidR="00CC2543" w:rsidRPr="0027775A" w:rsidRDefault="00CC2543" w:rsidP="00392027">
      <w:pPr>
        <w:rPr>
          <w:szCs w:val="20"/>
          <w:lang w:eastAsia="en-US"/>
        </w:rPr>
      </w:pPr>
    </w:p>
    <w:p w14:paraId="725B2864" w14:textId="77777777" w:rsidR="00CC2543" w:rsidRPr="00EC06E7" w:rsidRDefault="00CC2543" w:rsidP="00392027">
      <w:pPr>
        <w:spacing w:after="120"/>
        <w:rPr>
          <w:rFonts w:cs="Arial"/>
          <w:b/>
          <w:szCs w:val="22"/>
          <w:lang w:eastAsia="en-US"/>
        </w:rPr>
      </w:pPr>
      <w:r w:rsidRPr="00EC06E7">
        <w:rPr>
          <w:rFonts w:cs="Arial"/>
          <w:b/>
          <w:szCs w:val="22"/>
          <w:lang w:eastAsia="en-US"/>
        </w:rPr>
        <w:t>Contingent Assets and Liabilities</w:t>
      </w:r>
    </w:p>
    <w:p w14:paraId="2E296D87" w14:textId="77777777" w:rsidR="00CC2543" w:rsidRPr="00EC06E7" w:rsidRDefault="00CC2543" w:rsidP="00392027">
      <w:pPr>
        <w:rPr>
          <w:rFonts w:cs="Courier New"/>
          <w:szCs w:val="22"/>
        </w:rPr>
      </w:pPr>
      <w:r w:rsidRPr="00EC06E7">
        <w:rPr>
          <w:rFonts w:cs="Courier New"/>
          <w:szCs w:val="22"/>
        </w:rPr>
        <w:t xml:space="preserve">These are assets and liabilities arising from past events the existence of which will only be confirmed by future events not wholly within the </w:t>
      </w:r>
      <w:r w:rsidR="005124B6">
        <w:rPr>
          <w:rFonts w:cs="Courier New"/>
          <w:szCs w:val="22"/>
        </w:rPr>
        <w:t>c</w:t>
      </w:r>
      <w:r w:rsidRPr="00EC06E7">
        <w:rPr>
          <w:rFonts w:cs="Courier New"/>
          <w:szCs w:val="22"/>
        </w:rPr>
        <w:t xml:space="preserve">ouncil’s control. They are disclosed in the notes to the main financial statements. See </w:t>
      </w:r>
      <w:r>
        <w:rPr>
          <w:rFonts w:cs="Courier New"/>
          <w:szCs w:val="22"/>
        </w:rPr>
        <w:t>Note 38 to the accounts.</w:t>
      </w:r>
    </w:p>
    <w:p w14:paraId="065BAEC9" w14:textId="77777777" w:rsidR="00CC2543" w:rsidRPr="00EC06E7" w:rsidRDefault="00CC2543" w:rsidP="00392027">
      <w:pPr>
        <w:rPr>
          <w:szCs w:val="20"/>
          <w:lang w:eastAsia="en-US"/>
        </w:rPr>
      </w:pPr>
    </w:p>
    <w:p w14:paraId="064D073A" w14:textId="77777777" w:rsidR="00CC2543" w:rsidRPr="00EC06E7" w:rsidRDefault="00CC2543" w:rsidP="00392027">
      <w:pPr>
        <w:spacing w:after="120"/>
        <w:rPr>
          <w:rFonts w:cs="Arial"/>
          <w:b/>
          <w:szCs w:val="22"/>
          <w:lang w:eastAsia="en-US"/>
        </w:rPr>
      </w:pPr>
      <w:r w:rsidRPr="00EC06E7">
        <w:rPr>
          <w:rFonts w:cs="Arial"/>
          <w:b/>
          <w:szCs w:val="22"/>
          <w:lang w:eastAsia="en-US"/>
        </w:rPr>
        <w:t>Exceptional Items</w:t>
      </w:r>
    </w:p>
    <w:p w14:paraId="541AE402" w14:textId="77777777" w:rsidR="00CC2543" w:rsidRPr="00EC06E7" w:rsidRDefault="00CC2543" w:rsidP="00392027">
      <w:pPr>
        <w:rPr>
          <w:szCs w:val="20"/>
          <w:lang w:eastAsia="en-US"/>
        </w:rPr>
      </w:pPr>
      <w:r w:rsidRPr="00EC06E7">
        <w:rPr>
          <w:szCs w:val="20"/>
          <w:lang w:eastAsia="en-US"/>
        </w:rPr>
        <w:t xml:space="preserve">When items of income or expense are material, their nature and amount is disclosed separately, either on the face of the Comprehensive Income and Expenditure Statement, or in the </w:t>
      </w:r>
      <w:r w:rsidRPr="00EC06E7">
        <w:rPr>
          <w:rFonts w:cs="Courier New"/>
          <w:szCs w:val="22"/>
        </w:rPr>
        <w:t>notes to the main financial statements</w:t>
      </w:r>
      <w:r w:rsidRPr="00EC06E7">
        <w:rPr>
          <w:szCs w:val="20"/>
          <w:lang w:eastAsia="en-US"/>
        </w:rPr>
        <w:t>, depending on their significance.</w:t>
      </w:r>
    </w:p>
    <w:p w14:paraId="26A9F373" w14:textId="77777777" w:rsidR="00CC2543" w:rsidRPr="00EC06E7" w:rsidRDefault="00CC2543" w:rsidP="00392027">
      <w:pPr>
        <w:rPr>
          <w:szCs w:val="20"/>
          <w:lang w:eastAsia="en-US"/>
        </w:rPr>
      </w:pPr>
    </w:p>
    <w:p w14:paraId="0A550A1D" w14:textId="77777777" w:rsidR="00CC2543" w:rsidRPr="00EC06E7" w:rsidRDefault="00CC2543" w:rsidP="00392027">
      <w:pPr>
        <w:spacing w:after="120"/>
        <w:rPr>
          <w:rFonts w:cs="Arial"/>
          <w:b/>
          <w:szCs w:val="22"/>
          <w:lang w:eastAsia="en-US"/>
        </w:rPr>
      </w:pPr>
      <w:r w:rsidRPr="00EC06E7">
        <w:rPr>
          <w:rFonts w:cs="Arial"/>
          <w:b/>
          <w:szCs w:val="22"/>
          <w:lang w:eastAsia="en-US"/>
        </w:rPr>
        <w:t>Employee Benefits</w:t>
      </w:r>
    </w:p>
    <w:p w14:paraId="7B71A52B" w14:textId="77777777" w:rsidR="00CC2543" w:rsidRPr="00EC06E7" w:rsidRDefault="00CC2543" w:rsidP="00392027">
      <w:pPr>
        <w:rPr>
          <w:szCs w:val="20"/>
          <w:u w:val="single"/>
          <w:lang w:eastAsia="en-US"/>
        </w:rPr>
      </w:pPr>
      <w:r w:rsidRPr="00EC06E7">
        <w:rPr>
          <w:szCs w:val="20"/>
          <w:u w:val="single"/>
          <w:lang w:eastAsia="en-US"/>
        </w:rPr>
        <w:t>Benefits payable during employment</w:t>
      </w:r>
    </w:p>
    <w:p w14:paraId="51DA4A05" w14:textId="77777777" w:rsidR="00CC2543" w:rsidRPr="00EC06E7" w:rsidRDefault="00CC2543" w:rsidP="00392027">
      <w:pPr>
        <w:rPr>
          <w:szCs w:val="20"/>
          <w:lang w:eastAsia="en-US"/>
        </w:rPr>
      </w:pPr>
      <w:r w:rsidRPr="0027775A">
        <w:rPr>
          <w:szCs w:val="20"/>
          <w:lang w:eastAsia="en-US"/>
        </w:rPr>
        <w:t>Short-term employee benefits are those due to be settled wholly within 12 months of the year-end. They include such benefits as wages and salaries, paid annual leave and paid sick leave, bonuses and non-monetary benefits for current employees and are recognised as an expense for services in the year in which employees render service to the authority. An accrual is made for the cost of holiday entitlements (or any form of leave, e.g. time off in lieu) earned by employees but not taken before the year-end which employees can carry forward into the next financial year. The accrual is made at the wage and salary rates applicable in the following accounting year, being the period in which the employee takes the benefit. The accrual is charged to Surplus or Deficit on the Provision of Services, but then reversed out through the Movement in Reserves Statement so that holiday entitlements are charged to revenue in the financial year in which the holiday absence occ</w:t>
      </w:r>
      <w:r>
        <w:rPr>
          <w:szCs w:val="20"/>
          <w:lang w:eastAsia="en-US"/>
        </w:rPr>
        <w:t>urs</w:t>
      </w:r>
      <w:r w:rsidRPr="0027775A">
        <w:rPr>
          <w:szCs w:val="20"/>
          <w:lang w:eastAsia="en-US"/>
        </w:rPr>
        <w:t>.</w:t>
      </w:r>
    </w:p>
    <w:p w14:paraId="3E569522" w14:textId="77777777" w:rsidR="00CC2543" w:rsidRPr="00EC06E7" w:rsidRDefault="00CC2543" w:rsidP="00392027">
      <w:pPr>
        <w:rPr>
          <w:szCs w:val="20"/>
          <w:lang w:eastAsia="en-US"/>
        </w:rPr>
      </w:pPr>
    </w:p>
    <w:p w14:paraId="1AA401BC" w14:textId="77777777" w:rsidR="00CC2543" w:rsidRPr="00EC06E7" w:rsidRDefault="00CC2543" w:rsidP="00392027">
      <w:pPr>
        <w:rPr>
          <w:szCs w:val="20"/>
          <w:lang w:eastAsia="en-US"/>
        </w:rPr>
      </w:pPr>
      <w:r w:rsidRPr="00EC06E7">
        <w:rPr>
          <w:szCs w:val="20"/>
          <w:u w:val="single"/>
          <w:lang w:eastAsia="en-US"/>
        </w:rPr>
        <w:t>Termination benefits</w:t>
      </w:r>
      <w:r w:rsidRPr="00EC06E7">
        <w:rPr>
          <w:szCs w:val="20"/>
          <w:lang w:eastAsia="en-US"/>
        </w:rPr>
        <w:t xml:space="preserve"> </w:t>
      </w:r>
    </w:p>
    <w:p w14:paraId="20E34E9C" w14:textId="77777777" w:rsidR="00CC2543" w:rsidRPr="00EC06E7" w:rsidRDefault="00CC2543" w:rsidP="00392027">
      <w:pPr>
        <w:rPr>
          <w:szCs w:val="20"/>
          <w:lang w:eastAsia="en-US"/>
        </w:rPr>
      </w:pPr>
      <w:r w:rsidRPr="00EC06E7">
        <w:rPr>
          <w:szCs w:val="20"/>
          <w:lang w:eastAsia="en-US"/>
        </w:rPr>
        <w:t xml:space="preserve">These are amounts payable as a result of a decision to terminate an officer’s employment before the normal retirement date, or a decision to accept voluntary redundancy. The costs are recognised when the </w:t>
      </w:r>
      <w:r w:rsidR="005124B6">
        <w:rPr>
          <w:szCs w:val="20"/>
          <w:lang w:eastAsia="en-US"/>
        </w:rPr>
        <w:t>c</w:t>
      </w:r>
      <w:r w:rsidRPr="00EC06E7">
        <w:rPr>
          <w:szCs w:val="20"/>
          <w:lang w:eastAsia="en-US"/>
        </w:rPr>
        <w:t xml:space="preserve">ouncil commits itself to terminate the employment of an officer or group of </w:t>
      </w:r>
      <w:proofErr w:type="gramStart"/>
      <w:r w:rsidRPr="00EC06E7">
        <w:rPr>
          <w:szCs w:val="20"/>
          <w:lang w:eastAsia="en-US"/>
        </w:rPr>
        <w:t>officers, or</w:t>
      </w:r>
      <w:proofErr w:type="gramEnd"/>
      <w:r w:rsidRPr="00EC06E7">
        <w:rPr>
          <w:szCs w:val="20"/>
          <w:lang w:eastAsia="en-US"/>
        </w:rPr>
        <w:t xml:space="preserve"> makes an offer to encourage voluntary redundancy. The charge is made to the relevant service line in the Comprehensive Income and Expenditure Statement.</w:t>
      </w:r>
    </w:p>
    <w:p w14:paraId="4B4B6AD2" w14:textId="77777777" w:rsidR="00CC2543" w:rsidRPr="00EC06E7" w:rsidRDefault="00CC2543" w:rsidP="00392027">
      <w:pPr>
        <w:rPr>
          <w:szCs w:val="20"/>
          <w:lang w:eastAsia="en-US"/>
        </w:rPr>
      </w:pPr>
    </w:p>
    <w:p w14:paraId="274DE450" w14:textId="77777777" w:rsidR="00CC2543" w:rsidRPr="009744E5" w:rsidRDefault="00CC2543" w:rsidP="00392027">
      <w:pPr>
        <w:rPr>
          <w:szCs w:val="20"/>
          <w:lang w:eastAsia="en-US"/>
        </w:rPr>
      </w:pPr>
      <w:r w:rsidRPr="00EC06E7">
        <w:rPr>
          <w:szCs w:val="20"/>
          <w:u w:val="single"/>
          <w:lang w:eastAsia="en-US"/>
        </w:rPr>
        <w:t>Post-</w:t>
      </w:r>
      <w:r w:rsidRPr="009744E5">
        <w:rPr>
          <w:szCs w:val="20"/>
          <w:u w:val="single"/>
          <w:lang w:eastAsia="en-US"/>
        </w:rPr>
        <w:t>Employment Benefits</w:t>
      </w:r>
    </w:p>
    <w:p w14:paraId="723CABB9" w14:textId="77777777" w:rsidR="00CC2543" w:rsidRPr="00EC06E7" w:rsidRDefault="00CC2543" w:rsidP="00392027">
      <w:pPr>
        <w:rPr>
          <w:szCs w:val="20"/>
          <w:lang w:eastAsia="en-US"/>
        </w:rPr>
      </w:pPr>
      <w:r w:rsidRPr="009744E5">
        <w:rPr>
          <w:szCs w:val="20"/>
          <w:lang w:eastAsia="en-US"/>
        </w:rPr>
        <w:t>Employees who are members of the Local Government Pension Scheme which provides defined benefits to those</w:t>
      </w:r>
      <w:r>
        <w:rPr>
          <w:szCs w:val="20"/>
          <w:lang w:eastAsia="en-US"/>
        </w:rPr>
        <w:t xml:space="preserve"> </w:t>
      </w:r>
      <w:r w:rsidRPr="00EC06E7">
        <w:rPr>
          <w:szCs w:val="20"/>
          <w:lang w:eastAsia="en-US"/>
        </w:rPr>
        <w:t>members</w:t>
      </w:r>
      <w:r w:rsidR="00E65025">
        <w:rPr>
          <w:szCs w:val="20"/>
          <w:lang w:eastAsia="en-US"/>
        </w:rPr>
        <w:t>.</w:t>
      </w:r>
      <w:r w:rsidRPr="00EC06E7">
        <w:rPr>
          <w:szCs w:val="20"/>
          <w:lang w:eastAsia="en-US"/>
        </w:rPr>
        <w:t xml:space="preserve"> Full details of transactions are given in</w:t>
      </w:r>
      <w:r>
        <w:rPr>
          <w:szCs w:val="20"/>
          <w:lang w:eastAsia="en-US"/>
        </w:rPr>
        <w:t xml:space="preserve"> Note 37 to the accounts</w:t>
      </w:r>
      <w:r w:rsidRPr="00EC06E7">
        <w:rPr>
          <w:szCs w:val="20"/>
          <w:lang w:eastAsia="en-US"/>
        </w:rPr>
        <w:t>. The following notes explain the methodology.</w:t>
      </w:r>
    </w:p>
    <w:p w14:paraId="1C94D02B" w14:textId="77777777" w:rsidR="00CC2543" w:rsidRPr="00EC06E7" w:rsidRDefault="00CC2543" w:rsidP="00392027">
      <w:pPr>
        <w:rPr>
          <w:szCs w:val="20"/>
          <w:u w:val="dash"/>
          <w:lang w:eastAsia="en-US"/>
        </w:rPr>
      </w:pPr>
    </w:p>
    <w:p w14:paraId="1402D41F" w14:textId="77777777" w:rsidR="00CC2543" w:rsidRPr="00EC06E7" w:rsidRDefault="00CC2543" w:rsidP="00392027">
      <w:pPr>
        <w:rPr>
          <w:szCs w:val="20"/>
          <w:lang w:eastAsia="en-US"/>
        </w:rPr>
      </w:pPr>
      <w:r w:rsidRPr="00EC06E7">
        <w:rPr>
          <w:szCs w:val="20"/>
          <w:lang w:eastAsia="en-US"/>
        </w:rPr>
        <w:t>The liabilities of the fund attributable to the Authority are included in the Balance Sheet on an actuarial basis using the projected unit method – i.e. an assessment of the future payments that will be made in relation to retirement benefits earned to date by employees, based on assumptions about mortality rates, employee turnover rates etc. and projections of earnings for current employees.</w:t>
      </w:r>
    </w:p>
    <w:p w14:paraId="4B905C36" w14:textId="77777777" w:rsidR="00CC2543" w:rsidRPr="00EC06E7" w:rsidRDefault="00CC2543" w:rsidP="00392027">
      <w:pPr>
        <w:rPr>
          <w:szCs w:val="20"/>
          <w:lang w:eastAsia="en-US"/>
        </w:rPr>
      </w:pPr>
    </w:p>
    <w:p w14:paraId="7C2E713C" w14:textId="77777777" w:rsidR="00CC2543" w:rsidRPr="00EC06E7" w:rsidRDefault="00CC2543" w:rsidP="00392027">
      <w:pPr>
        <w:rPr>
          <w:szCs w:val="20"/>
          <w:lang w:eastAsia="en-US"/>
        </w:rPr>
      </w:pPr>
      <w:r w:rsidRPr="00EC06E7">
        <w:rPr>
          <w:szCs w:val="20"/>
          <w:lang w:eastAsia="en-US"/>
        </w:rPr>
        <w:t>Liabilities are discounted to their value at current prices, using</w:t>
      </w:r>
      <w:r>
        <w:rPr>
          <w:szCs w:val="20"/>
          <w:lang w:eastAsia="en-US"/>
        </w:rPr>
        <w:t xml:space="preserve"> a discount rate for the year </w:t>
      </w:r>
      <w:r w:rsidRPr="00EC06E7">
        <w:rPr>
          <w:szCs w:val="20"/>
          <w:lang w:eastAsia="en-US"/>
        </w:rPr>
        <w:t>(based on the indicative rate of return on high quality corporate bonds).</w:t>
      </w:r>
    </w:p>
    <w:p w14:paraId="1CBB0109" w14:textId="77777777" w:rsidR="00CC2543" w:rsidRPr="00EC06E7" w:rsidRDefault="00CC2543" w:rsidP="00392027">
      <w:pPr>
        <w:rPr>
          <w:szCs w:val="20"/>
          <w:lang w:eastAsia="en-US"/>
        </w:rPr>
      </w:pPr>
    </w:p>
    <w:p w14:paraId="4D238206" w14:textId="77777777" w:rsidR="00CC2543" w:rsidRPr="00EC06E7" w:rsidRDefault="00CC2543" w:rsidP="00392027">
      <w:pPr>
        <w:rPr>
          <w:szCs w:val="20"/>
          <w:lang w:eastAsia="en-US"/>
        </w:rPr>
      </w:pPr>
      <w:r w:rsidRPr="00EC06E7">
        <w:rPr>
          <w:szCs w:val="20"/>
          <w:lang w:eastAsia="en-US"/>
        </w:rPr>
        <w:t>The assets of the fund attributable to the Authority are included in the Balance Sheet at their fair value:</w:t>
      </w:r>
    </w:p>
    <w:p w14:paraId="663FEC28" w14:textId="77777777" w:rsidR="00CC2543" w:rsidRPr="00EC06E7" w:rsidRDefault="00CC2543" w:rsidP="00E948BF">
      <w:pPr>
        <w:pStyle w:val="ListParagraph"/>
        <w:numPr>
          <w:ilvl w:val="5"/>
          <w:numId w:val="18"/>
        </w:numPr>
        <w:rPr>
          <w:szCs w:val="20"/>
          <w:lang w:eastAsia="en-US"/>
        </w:rPr>
      </w:pPr>
      <w:r w:rsidRPr="00EC06E7">
        <w:rPr>
          <w:szCs w:val="20"/>
          <w:lang w:eastAsia="en-US"/>
        </w:rPr>
        <w:t>quoted securities – current bid price</w:t>
      </w:r>
    </w:p>
    <w:p w14:paraId="3D539B6A" w14:textId="77777777" w:rsidR="00CC2543" w:rsidRPr="00EC06E7" w:rsidRDefault="00CC2543" w:rsidP="00E948BF">
      <w:pPr>
        <w:pStyle w:val="ListParagraph"/>
        <w:numPr>
          <w:ilvl w:val="5"/>
          <w:numId w:val="18"/>
        </w:numPr>
        <w:rPr>
          <w:szCs w:val="20"/>
          <w:lang w:eastAsia="en-US"/>
        </w:rPr>
      </w:pPr>
      <w:r w:rsidRPr="00EC06E7">
        <w:rPr>
          <w:szCs w:val="20"/>
          <w:lang w:eastAsia="en-US"/>
        </w:rPr>
        <w:t>unquoted securities – professional estimate</w:t>
      </w:r>
    </w:p>
    <w:p w14:paraId="4B7E0607" w14:textId="77777777" w:rsidR="00CC2543" w:rsidRPr="00EC06E7" w:rsidRDefault="00CC2543" w:rsidP="00E948BF">
      <w:pPr>
        <w:pStyle w:val="ListParagraph"/>
        <w:numPr>
          <w:ilvl w:val="5"/>
          <w:numId w:val="18"/>
        </w:numPr>
        <w:rPr>
          <w:szCs w:val="20"/>
          <w:lang w:eastAsia="en-US"/>
        </w:rPr>
      </w:pPr>
      <w:r w:rsidRPr="00EC06E7">
        <w:rPr>
          <w:szCs w:val="20"/>
          <w:lang w:eastAsia="en-US"/>
        </w:rPr>
        <w:t>unitised securities – current bid price</w:t>
      </w:r>
    </w:p>
    <w:p w14:paraId="3CBA1030" w14:textId="77777777" w:rsidR="00CC2543" w:rsidRPr="00EC06E7" w:rsidRDefault="00CC2543" w:rsidP="00E948BF">
      <w:pPr>
        <w:pStyle w:val="ListParagraph"/>
        <w:numPr>
          <w:ilvl w:val="5"/>
          <w:numId w:val="18"/>
        </w:numPr>
        <w:rPr>
          <w:szCs w:val="20"/>
          <w:lang w:eastAsia="en-US"/>
        </w:rPr>
      </w:pPr>
      <w:r w:rsidRPr="00EC06E7">
        <w:rPr>
          <w:szCs w:val="20"/>
          <w:lang w:eastAsia="en-US"/>
        </w:rPr>
        <w:t>property – market value</w:t>
      </w:r>
    </w:p>
    <w:p w14:paraId="490BCC84" w14:textId="77777777" w:rsidR="00CC2543" w:rsidRPr="00EC06E7" w:rsidRDefault="00CC2543" w:rsidP="00392027">
      <w:pPr>
        <w:rPr>
          <w:szCs w:val="20"/>
          <w:lang w:eastAsia="en-US"/>
        </w:rPr>
      </w:pPr>
    </w:p>
    <w:p w14:paraId="64B1BDF1" w14:textId="77777777" w:rsidR="00CC2543" w:rsidRPr="00EC06E7" w:rsidRDefault="00CC2543" w:rsidP="00392027">
      <w:pPr>
        <w:rPr>
          <w:szCs w:val="20"/>
          <w:lang w:eastAsia="en-US"/>
        </w:rPr>
      </w:pPr>
      <w:r w:rsidRPr="00EC06E7">
        <w:rPr>
          <w:szCs w:val="20"/>
          <w:lang w:eastAsia="en-US"/>
        </w:rPr>
        <w:t>The change in net pension liability is analysed into the following components:</w:t>
      </w:r>
    </w:p>
    <w:p w14:paraId="11D0A62A" w14:textId="77777777" w:rsidR="00CC2543" w:rsidRPr="00EC06E7" w:rsidRDefault="00CC2543" w:rsidP="00392027">
      <w:pPr>
        <w:rPr>
          <w:szCs w:val="20"/>
          <w:lang w:eastAsia="en-US"/>
        </w:rPr>
      </w:pPr>
    </w:p>
    <w:p w14:paraId="0C83440C" w14:textId="77777777" w:rsidR="00CC2543" w:rsidRPr="00EC06E7" w:rsidRDefault="00CC2543" w:rsidP="00392027">
      <w:pPr>
        <w:rPr>
          <w:szCs w:val="20"/>
          <w:lang w:eastAsia="en-US"/>
        </w:rPr>
      </w:pPr>
      <w:r w:rsidRPr="00EC06E7">
        <w:rPr>
          <w:szCs w:val="20"/>
          <w:lang w:eastAsia="en-US"/>
        </w:rPr>
        <w:t>Service cost comprising:</w:t>
      </w:r>
    </w:p>
    <w:p w14:paraId="22D628F9" w14:textId="77777777" w:rsidR="00CC2543" w:rsidRPr="00EC06E7" w:rsidRDefault="00CC2543" w:rsidP="00392027">
      <w:pPr>
        <w:pStyle w:val="ListParagraph"/>
        <w:numPr>
          <w:ilvl w:val="0"/>
          <w:numId w:val="10"/>
        </w:numPr>
        <w:rPr>
          <w:szCs w:val="20"/>
          <w:lang w:eastAsia="en-US"/>
        </w:rPr>
      </w:pPr>
      <w:r w:rsidRPr="00EC06E7">
        <w:rPr>
          <w:szCs w:val="20"/>
          <w:lang w:eastAsia="en-US"/>
        </w:rPr>
        <w:t>current service cost – the increase in liabilities as a result of years of service earned this year – allocated in the Comprehensive Income and Expenditure Statement to the services for which the employees worked;</w:t>
      </w:r>
    </w:p>
    <w:p w14:paraId="0CEE9D2B" w14:textId="77777777" w:rsidR="00CC2543" w:rsidRPr="00EC06E7" w:rsidRDefault="00CC2543" w:rsidP="00392027">
      <w:pPr>
        <w:pStyle w:val="ListParagraph"/>
        <w:numPr>
          <w:ilvl w:val="0"/>
          <w:numId w:val="10"/>
        </w:numPr>
        <w:rPr>
          <w:szCs w:val="20"/>
          <w:lang w:eastAsia="en-US"/>
        </w:rPr>
      </w:pPr>
      <w:r w:rsidRPr="00EC06E7">
        <w:rPr>
          <w:szCs w:val="20"/>
          <w:lang w:eastAsia="en-US"/>
        </w:rPr>
        <w:t>past service cost – the increase in liabilities as a result of a scheme amendment or curtailment whose effect relates to years of service earned in earlier years will be debited to the Surplus or Deficit on the Provision of Services in the Comprehensive Income and Expenditure Statement as part of Non-Distributed Costs;</w:t>
      </w:r>
    </w:p>
    <w:p w14:paraId="391043C0" w14:textId="77777777" w:rsidR="00CC2543" w:rsidRPr="00EC06E7" w:rsidRDefault="00CC2543" w:rsidP="00392027">
      <w:pPr>
        <w:pStyle w:val="ListParagraph"/>
        <w:numPr>
          <w:ilvl w:val="0"/>
          <w:numId w:val="10"/>
        </w:numPr>
        <w:rPr>
          <w:szCs w:val="20"/>
          <w:lang w:eastAsia="en-US"/>
        </w:rPr>
      </w:pPr>
      <w:r w:rsidRPr="00EC06E7">
        <w:rPr>
          <w:szCs w:val="20"/>
          <w:lang w:eastAsia="en-US"/>
        </w:rPr>
        <w:t xml:space="preserve">net interest on the net defined benefit liability i.e. net interest expense for the </w:t>
      </w:r>
      <w:r w:rsidR="005124B6">
        <w:rPr>
          <w:szCs w:val="20"/>
          <w:lang w:eastAsia="en-US"/>
        </w:rPr>
        <w:t>c</w:t>
      </w:r>
      <w:r w:rsidRPr="00EC06E7">
        <w:rPr>
          <w:szCs w:val="20"/>
          <w:lang w:eastAsia="en-US"/>
        </w:rPr>
        <w:t>ouncil - the change during the period in the net defined benefit liability that arises from the passage of time charged to the Financing and Investment Income and Expenditure line of the Comprehensive Income and Expenditure Statement. This is calculated by applying the discount rate used to measure the defined benefit obligation at the beginning of the period to the net defined benefit liability at the beginning of the period, taking into account any changes in the net defined benefit liability during the period as a result of contribution and benefit payments;</w:t>
      </w:r>
    </w:p>
    <w:p w14:paraId="40040161" w14:textId="77777777" w:rsidR="00CC2543" w:rsidRPr="00EC06E7" w:rsidRDefault="00CC2543" w:rsidP="00392027">
      <w:pPr>
        <w:rPr>
          <w:szCs w:val="20"/>
          <w:lang w:eastAsia="en-US"/>
        </w:rPr>
      </w:pPr>
    </w:p>
    <w:p w14:paraId="74B5BDE7" w14:textId="77777777" w:rsidR="00CC2543" w:rsidRPr="00EC06E7" w:rsidRDefault="00CC2543" w:rsidP="00392027">
      <w:pPr>
        <w:rPr>
          <w:szCs w:val="20"/>
          <w:lang w:eastAsia="en-US"/>
        </w:rPr>
      </w:pPr>
      <w:r w:rsidRPr="00EC06E7">
        <w:rPr>
          <w:szCs w:val="20"/>
          <w:lang w:eastAsia="en-US"/>
        </w:rPr>
        <w:t>Re-measurement comprising:</w:t>
      </w:r>
    </w:p>
    <w:p w14:paraId="7B4334AF" w14:textId="77777777" w:rsidR="00CC2543" w:rsidRPr="00EC06E7" w:rsidRDefault="00CC2543" w:rsidP="00392027">
      <w:pPr>
        <w:pStyle w:val="ListParagraph"/>
        <w:numPr>
          <w:ilvl w:val="0"/>
          <w:numId w:val="11"/>
        </w:numPr>
        <w:rPr>
          <w:szCs w:val="20"/>
          <w:lang w:eastAsia="en-US"/>
        </w:rPr>
      </w:pPr>
      <w:r w:rsidRPr="00EC06E7">
        <w:rPr>
          <w:szCs w:val="20"/>
          <w:lang w:eastAsia="en-US"/>
        </w:rPr>
        <w:t>the return on plan assets – excluding amounts included in net interest on the net defined benefit liability – charged to the Pensions Reserve as Other Comprehensive Income and Expenditure;</w:t>
      </w:r>
    </w:p>
    <w:p w14:paraId="5C4921D2" w14:textId="77777777" w:rsidR="00CC2543" w:rsidRPr="00EC06E7" w:rsidRDefault="00CC2543" w:rsidP="00392027">
      <w:pPr>
        <w:pStyle w:val="ListParagraph"/>
        <w:numPr>
          <w:ilvl w:val="0"/>
          <w:numId w:val="11"/>
        </w:numPr>
        <w:rPr>
          <w:szCs w:val="20"/>
          <w:lang w:eastAsia="en-US"/>
        </w:rPr>
      </w:pPr>
      <w:r w:rsidRPr="00EC06E7">
        <w:rPr>
          <w:szCs w:val="20"/>
          <w:lang w:eastAsia="en-US"/>
        </w:rPr>
        <w:t>actuarial gains and losses – changes in the net pensions liability that arise because events have not coincided with assumptions made at the last actuarial valuation or because the actuaries have updated their assumptions – charged to the Pensions Reserve as Other Comprehensive Income and Expenditure.</w:t>
      </w:r>
    </w:p>
    <w:p w14:paraId="7CA3660E" w14:textId="77777777" w:rsidR="00CC2543" w:rsidRPr="00EC06E7" w:rsidRDefault="00CC2543" w:rsidP="00392027">
      <w:pPr>
        <w:rPr>
          <w:szCs w:val="20"/>
          <w:lang w:eastAsia="en-US"/>
        </w:rPr>
      </w:pPr>
    </w:p>
    <w:p w14:paraId="238F0F17" w14:textId="77777777" w:rsidR="00CC2543" w:rsidRPr="00EC06E7" w:rsidRDefault="00CC2543" w:rsidP="00392027">
      <w:pPr>
        <w:rPr>
          <w:szCs w:val="20"/>
          <w:lang w:eastAsia="en-US"/>
        </w:rPr>
      </w:pPr>
      <w:r w:rsidRPr="00EC06E7">
        <w:rPr>
          <w:szCs w:val="20"/>
          <w:lang w:eastAsia="en-US"/>
        </w:rPr>
        <w:t>Contributions paid to the pension fund:</w:t>
      </w:r>
    </w:p>
    <w:p w14:paraId="42429D54" w14:textId="77777777" w:rsidR="00CC2543" w:rsidRPr="00EC06E7" w:rsidRDefault="00CC2543" w:rsidP="00392027">
      <w:pPr>
        <w:pStyle w:val="ListParagraph"/>
        <w:numPr>
          <w:ilvl w:val="0"/>
          <w:numId w:val="12"/>
        </w:numPr>
        <w:rPr>
          <w:szCs w:val="20"/>
          <w:lang w:eastAsia="en-US"/>
        </w:rPr>
      </w:pPr>
      <w:r w:rsidRPr="00EC06E7">
        <w:rPr>
          <w:szCs w:val="20"/>
          <w:lang w:eastAsia="en-US"/>
        </w:rPr>
        <w:t>cash paid as employer’s contributions to the pension fund in settlement of liabilities; not accounted for as an expense</w:t>
      </w:r>
    </w:p>
    <w:p w14:paraId="109A6D4B" w14:textId="77777777" w:rsidR="00CC2543" w:rsidRPr="00EC06E7" w:rsidRDefault="00CC2543" w:rsidP="00392027">
      <w:pPr>
        <w:rPr>
          <w:szCs w:val="20"/>
          <w:lang w:eastAsia="en-US"/>
        </w:rPr>
      </w:pPr>
    </w:p>
    <w:p w14:paraId="0F5F9E8E" w14:textId="77777777" w:rsidR="00CC2543" w:rsidRPr="00EC06E7" w:rsidRDefault="00CC2543" w:rsidP="00392027">
      <w:pPr>
        <w:rPr>
          <w:szCs w:val="20"/>
          <w:lang w:eastAsia="en-US"/>
        </w:rPr>
      </w:pPr>
      <w:r w:rsidRPr="00EC06E7">
        <w:rPr>
          <w:szCs w:val="20"/>
          <w:lang w:eastAsia="en-US"/>
        </w:rPr>
        <w:t xml:space="preserve">In relation to retirement benefits, statutory provisions require the General Fund Balance to be charged with the amount payable by the </w:t>
      </w:r>
      <w:r w:rsidR="005124B6">
        <w:rPr>
          <w:szCs w:val="20"/>
          <w:lang w:eastAsia="en-US"/>
        </w:rPr>
        <w:t>c</w:t>
      </w:r>
      <w:r w:rsidRPr="00EC06E7">
        <w:rPr>
          <w:szCs w:val="20"/>
          <w:lang w:eastAsia="en-US"/>
        </w:rPr>
        <w:t>ouncil to the pension fund or directly to pensioners in the year, not the amount calculated according to the relevant accounting standards. In the Movement in Reserves Statement, this means that there are appropriations to and from the Pensions Reserve to remove the notional debits and credits for retirement benefits and replace them with debits for the cash paid to the pension fund and pensioners and any such amounts payable but unpaid at the year-end. The negative balance that arises on the Pensions Reserve thereby measures the beneficial impact to the General Fund of being required to account for retirement benefits on the basis of cash flows rather than as benefits are earned by employees.</w:t>
      </w:r>
    </w:p>
    <w:p w14:paraId="62526BED" w14:textId="77777777" w:rsidR="00CC2543" w:rsidRPr="00EC06E7" w:rsidRDefault="00CC2543" w:rsidP="00392027">
      <w:pPr>
        <w:rPr>
          <w:szCs w:val="20"/>
          <w:u w:val="single"/>
          <w:lang w:eastAsia="en-US"/>
        </w:rPr>
      </w:pPr>
    </w:p>
    <w:p w14:paraId="0F0341BC" w14:textId="77777777" w:rsidR="00CC2543" w:rsidRPr="00EC06E7" w:rsidRDefault="00CC2543" w:rsidP="00392027">
      <w:pPr>
        <w:rPr>
          <w:szCs w:val="20"/>
          <w:u w:val="single"/>
          <w:lang w:eastAsia="en-US"/>
        </w:rPr>
      </w:pPr>
      <w:r w:rsidRPr="00EC06E7">
        <w:rPr>
          <w:szCs w:val="20"/>
          <w:u w:val="single"/>
          <w:lang w:eastAsia="en-US"/>
        </w:rPr>
        <w:t>Discretionary Benefits</w:t>
      </w:r>
    </w:p>
    <w:p w14:paraId="0AFD8C96" w14:textId="77777777" w:rsidR="00CC2543" w:rsidRPr="00EC06E7" w:rsidRDefault="00CC2543" w:rsidP="00392027">
      <w:pPr>
        <w:rPr>
          <w:szCs w:val="20"/>
          <w:lang w:eastAsia="en-US"/>
        </w:rPr>
      </w:pPr>
      <w:r w:rsidRPr="00EC06E7">
        <w:rPr>
          <w:szCs w:val="20"/>
          <w:lang w:eastAsia="en-US"/>
        </w:rPr>
        <w:t>The Authority also has restricted powers to make discretionary awards of retirement benefits in the event of early retirements. Any liabilities thus arising are accrued in the year of the decision to make the award and accounted for using the same policies as are applied to the Local Government Pension Scheme.</w:t>
      </w:r>
    </w:p>
    <w:p w14:paraId="3C070E50" w14:textId="77777777" w:rsidR="00CC2543" w:rsidRDefault="00CC2543" w:rsidP="00392027">
      <w:pPr>
        <w:rPr>
          <w:szCs w:val="20"/>
          <w:lang w:eastAsia="en-US"/>
        </w:rPr>
      </w:pPr>
    </w:p>
    <w:p w14:paraId="4E3DDD5B" w14:textId="77777777" w:rsidR="00F814A1" w:rsidRDefault="00F814A1">
      <w:pPr>
        <w:jc w:val="left"/>
        <w:rPr>
          <w:rFonts w:cs="Arial"/>
          <w:b/>
          <w:szCs w:val="22"/>
          <w:lang w:eastAsia="en-US"/>
        </w:rPr>
      </w:pPr>
      <w:r>
        <w:rPr>
          <w:rFonts w:cs="Arial"/>
          <w:b/>
          <w:szCs w:val="22"/>
          <w:lang w:eastAsia="en-US"/>
        </w:rPr>
        <w:br w:type="page"/>
      </w:r>
    </w:p>
    <w:p w14:paraId="75BCF943" w14:textId="72C36D1D" w:rsidR="00CC2543" w:rsidRPr="00EC06E7" w:rsidRDefault="00CC2543" w:rsidP="00392027">
      <w:pPr>
        <w:spacing w:after="120"/>
        <w:rPr>
          <w:rFonts w:cs="Arial"/>
          <w:b/>
          <w:szCs w:val="22"/>
          <w:lang w:eastAsia="en-US"/>
        </w:rPr>
      </w:pPr>
      <w:r w:rsidRPr="00EC06E7">
        <w:rPr>
          <w:rFonts w:cs="Arial"/>
          <w:b/>
          <w:szCs w:val="22"/>
          <w:lang w:eastAsia="en-US"/>
        </w:rPr>
        <w:t>Events after the Reporting Period</w:t>
      </w:r>
    </w:p>
    <w:p w14:paraId="6DB37640" w14:textId="77777777" w:rsidR="00CC2543" w:rsidRPr="00EC06E7" w:rsidRDefault="00CC2543" w:rsidP="00392027">
      <w:pPr>
        <w:rPr>
          <w:rFonts w:cs="Courier New"/>
          <w:szCs w:val="22"/>
        </w:rPr>
      </w:pPr>
      <w:r w:rsidRPr="00EC06E7">
        <w:rPr>
          <w:rFonts w:cs="Courier New"/>
          <w:szCs w:val="22"/>
        </w:rPr>
        <w:t>Where an event occurs after the Balance Sheet date and it provides evidence of conditions that existed at the Balance Sheet date, the amounts recognised in the Statement of Accounts is adjusted.</w:t>
      </w:r>
    </w:p>
    <w:p w14:paraId="18CC5948" w14:textId="77777777" w:rsidR="00CC2543" w:rsidRPr="00EC06E7" w:rsidRDefault="00CC2543" w:rsidP="00392027">
      <w:pPr>
        <w:rPr>
          <w:rFonts w:cs="Courier New"/>
          <w:szCs w:val="22"/>
        </w:rPr>
      </w:pPr>
    </w:p>
    <w:p w14:paraId="7289E583" w14:textId="77777777" w:rsidR="00CC2543" w:rsidRDefault="00CC2543" w:rsidP="00392027">
      <w:pPr>
        <w:rPr>
          <w:rFonts w:cs="Courier New"/>
          <w:szCs w:val="22"/>
        </w:rPr>
      </w:pPr>
      <w:r w:rsidRPr="00EC06E7">
        <w:rPr>
          <w:rFonts w:cs="Courier New"/>
          <w:szCs w:val="22"/>
        </w:rPr>
        <w:t>Where an event that occurs after the Balance Sheet date is indicative of conditions that arose after the Balance Sheet date, the amounts recognised in the Statement of Accounts are not adjusted. The “non-adjusting event”, and an estimate of the financial effect, is however disclosed in the notes to the main financial statements.</w:t>
      </w:r>
    </w:p>
    <w:p w14:paraId="2F36C1EF" w14:textId="77777777" w:rsidR="00CC2543" w:rsidRDefault="00CC2543" w:rsidP="00392027">
      <w:pPr>
        <w:rPr>
          <w:rFonts w:cs="Courier New"/>
          <w:szCs w:val="22"/>
        </w:rPr>
      </w:pPr>
    </w:p>
    <w:p w14:paraId="62BAC4AA" w14:textId="77777777" w:rsidR="00CC2543" w:rsidRPr="00EC06E7" w:rsidRDefault="00CC2543" w:rsidP="00392027">
      <w:pPr>
        <w:rPr>
          <w:rFonts w:cs="Courier New"/>
          <w:szCs w:val="22"/>
        </w:rPr>
      </w:pPr>
      <w:r w:rsidRPr="0027775A">
        <w:rPr>
          <w:rFonts w:cs="Courier New"/>
          <w:szCs w:val="22"/>
        </w:rPr>
        <w:t>Events taking place after the date of authorisation for issue are not reflect</w:t>
      </w:r>
      <w:r>
        <w:rPr>
          <w:rFonts w:cs="Courier New"/>
          <w:szCs w:val="22"/>
        </w:rPr>
        <w:t>ed in the Statement of Accounts</w:t>
      </w:r>
      <w:r w:rsidRPr="0027775A">
        <w:rPr>
          <w:rFonts w:cs="Courier New"/>
          <w:szCs w:val="22"/>
        </w:rPr>
        <w:t>.</w:t>
      </w:r>
    </w:p>
    <w:p w14:paraId="32179B9B" w14:textId="77777777" w:rsidR="00CC2543" w:rsidRPr="00EC06E7" w:rsidRDefault="00CC2543" w:rsidP="00392027">
      <w:pPr>
        <w:rPr>
          <w:rFonts w:cs="Arial"/>
          <w:b/>
          <w:szCs w:val="22"/>
          <w:lang w:eastAsia="en-US"/>
        </w:rPr>
      </w:pPr>
    </w:p>
    <w:p w14:paraId="4EB947B9" w14:textId="77777777" w:rsidR="00CC2543" w:rsidRDefault="00CC2543" w:rsidP="00392027">
      <w:pPr>
        <w:spacing w:after="120"/>
        <w:rPr>
          <w:rFonts w:cs="Arial"/>
          <w:b/>
          <w:szCs w:val="22"/>
          <w:lang w:eastAsia="en-US"/>
        </w:rPr>
      </w:pPr>
      <w:r w:rsidRPr="00EC06E7">
        <w:rPr>
          <w:rFonts w:cs="Arial"/>
          <w:b/>
          <w:szCs w:val="22"/>
          <w:lang w:eastAsia="en-US"/>
        </w:rPr>
        <w:t xml:space="preserve">Financial </w:t>
      </w:r>
      <w:r>
        <w:rPr>
          <w:rFonts w:cs="Arial"/>
          <w:b/>
          <w:szCs w:val="22"/>
          <w:lang w:eastAsia="en-US"/>
        </w:rPr>
        <w:t>Instruments</w:t>
      </w:r>
    </w:p>
    <w:p w14:paraId="350169D0" w14:textId="77777777" w:rsidR="00CC2543" w:rsidRPr="0027775A" w:rsidRDefault="00CC2543" w:rsidP="00392027">
      <w:pPr>
        <w:rPr>
          <w:szCs w:val="20"/>
          <w:u w:val="single"/>
          <w:lang w:eastAsia="en-US"/>
        </w:rPr>
      </w:pPr>
      <w:r w:rsidRPr="0027775A">
        <w:rPr>
          <w:szCs w:val="20"/>
          <w:u w:val="single"/>
          <w:lang w:eastAsia="en-US"/>
        </w:rPr>
        <w:t>Financial Liabilities</w:t>
      </w:r>
    </w:p>
    <w:p w14:paraId="12450FBB" w14:textId="463BC352" w:rsidR="00CC2543" w:rsidRPr="00EC06E7" w:rsidRDefault="00CC2543" w:rsidP="00392027">
      <w:pPr>
        <w:rPr>
          <w:rFonts w:cs="Arial"/>
          <w:szCs w:val="22"/>
          <w:lang w:eastAsia="en-US"/>
        </w:rPr>
      </w:pPr>
      <w:r w:rsidRPr="00EC06E7">
        <w:rPr>
          <w:rFonts w:cs="Arial"/>
          <w:szCs w:val="22"/>
          <w:lang w:eastAsia="en-US"/>
        </w:rPr>
        <w:t xml:space="preserve">Borrowings are initially measured at fair value and carried at their amortised cost.  The annual charge to the </w:t>
      </w:r>
      <w:r w:rsidRPr="00EC06E7">
        <w:rPr>
          <w:rFonts w:cs="Courier New"/>
          <w:szCs w:val="22"/>
        </w:rPr>
        <w:t>Comprehensive Income and Expenditure Statement</w:t>
      </w:r>
      <w:r w:rsidRPr="00EC06E7">
        <w:rPr>
          <w:rFonts w:cs="Arial"/>
          <w:szCs w:val="22"/>
          <w:lang w:eastAsia="en-US"/>
        </w:rPr>
        <w:t xml:space="preserve"> (CIES) is based on the carrying amount multiplied by the effective rate of interest. The amount presented in the </w:t>
      </w:r>
      <w:r>
        <w:rPr>
          <w:rFonts w:cs="Arial"/>
          <w:szCs w:val="22"/>
          <w:lang w:eastAsia="en-US"/>
        </w:rPr>
        <w:t>B</w:t>
      </w:r>
      <w:r w:rsidRPr="00EC06E7">
        <w:rPr>
          <w:rFonts w:cs="Arial"/>
          <w:szCs w:val="22"/>
          <w:lang w:eastAsia="en-US"/>
        </w:rPr>
        <w:t xml:space="preserve">alance </w:t>
      </w:r>
      <w:r>
        <w:rPr>
          <w:rFonts w:cs="Arial"/>
          <w:szCs w:val="22"/>
          <w:lang w:eastAsia="en-US"/>
        </w:rPr>
        <w:t>S</w:t>
      </w:r>
      <w:r w:rsidRPr="00EC06E7">
        <w:rPr>
          <w:rFonts w:cs="Arial"/>
          <w:szCs w:val="22"/>
          <w:lang w:eastAsia="en-US"/>
        </w:rPr>
        <w:t>heet is the outstanding principal payable plus interest accrued at 31 March</w:t>
      </w:r>
      <w:r w:rsidR="00530FC2">
        <w:rPr>
          <w:rFonts w:cs="Arial"/>
          <w:szCs w:val="22"/>
          <w:lang w:eastAsia="en-US"/>
        </w:rPr>
        <w:t xml:space="preserve"> 2021</w:t>
      </w:r>
      <w:r w:rsidRPr="00EC06E7">
        <w:rPr>
          <w:rFonts w:cs="Arial"/>
          <w:szCs w:val="22"/>
          <w:lang w:eastAsia="en-US"/>
        </w:rPr>
        <w:t>.</w:t>
      </w:r>
    </w:p>
    <w:p w14:paraId="7E793120" w14:textId="77777777" w:rsidR="00CC2543" w:rsidRPr="00EC06E7" w:rsidRDefault="00CC2543" w:rsidP="00392027">
      <w:pPr>
        <w:rPr>
          <w:rFonts w:cs="Arial"/>
          <w:szCs w:val="22"/>
          <w:lang w:eastAsia="en-US"/>
        </w:rPr>
      </w:pPr>
    </w:p>
    <w:p w14:paraId="0A5EA1AC" w14:textId="77777777" w:rsidR="00CC2543" w:rsidRPr="007453D2" w:rsidRDefault="00CC2543" w:rsidP="00392027">
      <w:pPr>
        <w:rPr>
          <w:rFonts w:cs="Courier New"/>
          <w:szCs w:val="22"/>
        </w:rPr>
      </w:pPr>
      <w:r w:rsidRPr="007453D2">
        <w:rPr>
          <w:rFonts w:cs="Arial"/>
          <w:szCs w:val="22"/>
          <w:lang w:eastAsia="en-US"/>
        </w:rPr>
        <w:t xml:space="preserve">Gains or losses on premature redemption are charged to the </w:t>
      </w:r>
      <w:r w:rsidRPr="007453D2">
        <w:rPr>
          <w:rFonts w:cs="Courier New"/>
          <w:szCs w:val="22"/>
        </w:rPr>
        <w:t>Comprehensive Income and Expenditure Statement</w:t>
      </w:r>
      <w:r w:rsidRPr="007453D2">
        <w:rPr>
          <w:rFonts w:cs="Arial"/>
          <w:szCs w:val="22"/>
          <w:lang w:eastAsia="en-US"/>
        </w:rPr>
        <w:t xml:space="preserve"> unless they are the result of a restructure that involves the modification or exchange of existing instruments, in which case they are added to the amortised cost and charged over the life of the modified or exchanged loan. Where charged to the </w:t>
      </w:r>
      <w:r w:rsidRPr="007453D2">
        <w:rPr>
          <w:rFonts w:cs="Courier New"/>
          <w:szCs w:val="22"/>
        </w:rPr>
        <w:t>Comprehensive Income and Expenditure Statement</w:t>
      </w:r>
      <w:r w:rsidRPr="007453D2">
        <w:rPr>
          <w:rFonts w:cs="Arial"/>
          <w:szCs w:val="22"/>
          <w:lang w:eastAsia="en-US"/>
        </w:rPr>
        <w:t>, regulations require discounts to be amortised over the shorter of the life of the original loan or ten years. Greater discretion applies to premia, they can be amortised over the life of the original or replacement loan, or a shorter period. A transfer is done from the General Fund Balance to the Financial Instruments Adjustment Account to give effect to these regulations.</w:t>
      </w:r>
    </w:p>
    <w:p w14:paraId="6B6CFF80" w14:textId="77777777" w:rsidR="00CC2543" w:rsidRPr="007453D2" w:rsidRDefault="00CC2543" w:rsidP="00392027">
      <w:pPr>
        <w:rPr>
          <w:rFonts w:cs="Arial"/>
          <w:szCs w:val="22"/>
          <w:lang w:eastAsia="en-US"/>
        </w:rPr>
      </w:pPr>
    </w:p>
    <w:p w14:paraId="4F92BE4C" w14:textId="77777777" w:rsidR="00CC2543" w:rsidRPr="007453D2" w:rsidRDefault="00CC2543" w:rsidP="00392027">
      <w:pPr>
        <w:rPr>
          <w:szCs w:val="20"/>
          <w:u w:val="single"/>
          <w:lang w:eastAsia="en-US"/>
        </w:rPr>
      </w:pPr>
      <w:r w:rsidRPr="007453D2">
        <w:rPr>
          <w:szCs w:val="20"/>
          <w:u w:val="single"/>
          <w:lang w:eastAsia="en-US"/>
        </w:rPr>
        <w:t>Financial Assets</w:t>
      </w:r>
    </w:p>
    <w:p w14:paraId="4B9B398F" w14:textId="77777777" w:rsidR="00CC2543" w:rsidRPr="007453D2" w:rsidRDefault="00CC2543" w:rsidP="00392027">
      <w:pPr>
        <w:rPr>
          <w:szCs w:val="20"/>
          <w:u w:val="single"/>
          <w:lang w:eastAsia="en-US"/>
        </w:rPr>
      </w:pPr>
    </w:p>
    <w:p w14:paraId="1CFBF586" w14:textId="6AFF507C" w:rsidR="00CC2543" w:rsidRPr="00EC06E7" w:rsidRDefault="00CC2543" w:rsidP="00392027">
      <w:pPr>
        <w:rPr>
          <w:szCs w:val="20"/>
          <w:lang w:eastAsia="en-US"/>
        </w:rPr>
      </w:pPr>
      <w:r w:rsidRPr="007453D2">
        <w:rPr>
          <w:szCs w:val="20"/>
          <w:lang w:eastAsia="en-US"/>
        </w:rPr>
        <w:t>Financial assets measured at amortised cost are initially measured at fair value and carried at amortised cost. The annual credit to the Financing and Investment Income and Expenditure line in the Comprehensive Income</w:t>
      </w:r>
      <w:r w:rsidRPr="00EC06E7">
        <w:rPr>
          <w:szCs w:val="20"/>
          <w:lang w:eastAsia="en-US"/>
        </w:rPr>
        <w:t xml:space="preserve"> and Expenditure Statement is based on the carrying amount multiplied by the effective rate of interest. The amount presented in the </w:t>
      </w:r>
      <w:r>
        <w:rPr>
          <w:szCs w:val="20"/>
          <w:lang w:eastAsia="en-US"/>
        </w:rPr>
        <w:t>B</w:t>
      </w:r>
      <w:r w:rsidRPr="00EC06E7">
        <w:rPr>
          <w:szCs w:val="20"/>
          <w:lang w:eastAsia="en-US"/>
        </w:rPr>
        <w:t xml:space="preserve">alance </w:t>
      </w:r>
      <w:r>
        <w:rPr>
          <w:szCs w:val="20"/>
          <w:lang w:eastAsia="en-US"/>
        </w:rPr>
        <w:t>S</w:t>
      </w:r>
      <w:r w:rsidRPr="00EC06E7">
        <w:rPr>
          <w:szCs w:val="20"/>
          <w:lang w:eastAsia="en-US"/>
        </w:rPr>
        <w:t>heet is the outstanding principal receivable plus interest accrued at 31 March</w:t>
      </w:r>
      <w:r w:rsidR="00530FC2">
        <w:rPr>
          <w:szCs w:val="20"/>
          <w:lang w:eastAsia="en-US"/>
        </w:rPr>
        <w:t xml:space="preserve"> 2021</w:t>
      </w:r>
      <w:r w:rsidRPr="00EC06E7">
        <w:rPr>
          <w:szCs w:val="20"/>
          <w:lang w:eastAsia="en-US"/>
        </w:rPr>
        <w:t>.</w:t>
      </w:r>
    </w:p>
    <w:p w14:paraId="0906CF9A" w14:textId="77777777" w:rsidR="00CC2543" w:rsidRPr="00EC06E7" w:rsidRDefault="00CC2543" w:rsidP="00392027">
      <w:pPr>
        <w:rPr>
          <w:szCs w:val="20"/>
          <w:lang w:eastAsia="en-US"/>
        </w:rPr>
      </w:pPr>
    </w:p>
    <w:p w14:paraId="65570A14" w14:textId="77777777" w:rsidR="00CC2543" w:rsidRPr="009A4D91" w:rsidRDefault="00CC2543" w:rsidP="00392027">
      <w:pPr>
        <w:rPr>
          <w:rFonts w:cs="Courier New"/>
          <w:szCs w:val="22"/>
        </w:rPr>
      </w:pPr>
      <w:r w:rsidRPr="009A4D91">
        <w:rPr>
          <w:rFonts w:cs="FS Lola"/>
          <w:color w:val="000000"/>
          <w:szCs w:val="22"/>
        </w:rPr>
        <w:t xml:space="preserve">The authority recognises expected credit losses on </w:t>
      </w:r>
      <w:proofErr w:type="gramStart"/>
      <w:r w:rsidRPr="009A4D91">
        <w:rPr>
          <w:rFonts w:cs="FS Lola"/>
          <w:color w:val="000000"/>
          <w:szCs w:val="22"/>
        </w:rPr>
        <w:t>all of</w:t>
      </w:r>
      <w:proofErr w:type="gramEnd"/>
      <w:r w:rsidRPr="009A4D91">
        <w:rPr>
          <w:rFonts w:cs="FS Lola"/>
          <w:color w:val="000000"/>
          <w:szCs w:val="22"/>
        </w:rPr>
        <w:t xml:space="preserve"> its financial assets measured at amortised cost, either on a 12-month or lifetime basis. The expected credit loss model also applies to lease receivables and contract assets. Only lifetime losses are recognised for trade receivables (debtors) held by the authority. Where a financial asset measured at amortised cost is identified as being subject to an expected credit loss, this shall be recognised as an impairment and the loss charged to Financing and Investment Income and Expenditure in </w:t>
      </w:r>
      <w:r w:rsidRPr="009A4D91">
        <w:rPr>
          <w:szCs w:val="22"/>
          <w:lang w:eastAsia="en-US"/>
        </w:rPr>
        <w:t>the Comprehensive Income and Expenditure Statement.</w:t>
      </w:r>
    </w:p>
    <w:p w14:paraId="572A97E0" w14:textId="77777777" w:rsidR="00CC2543" w:rsidRPr="00664D02" w:rsidRDefault="00CC2543" w:rsidP="00392027">
      <w:pPr>
        <w:rPr>
          <w:rFonts w:cs="Courier New"/>
          <w:szCs w:val="22"/>
        </w:rPr>
      </w:pPr>
    </w:p>
    <w:p w14:paraId="18115AD2" w14:textId="77777777" w:rsidR="00CC2543" w:rsidRPr="00EC06E7" w:rsidRDefault="00CC2543" w:rsidP="00392027">
      <w:pPr>
        <w:spacing w:after="120"/>
        <w:rPr>
          <w:rFonts w:cs="Arial"/>
          <w:b/>
          <w:szCs w:val="22"/>
          <w:lang w:eastAsia="en-US"/>
        </w:rPr>
      </w:pPr>
      <w:r w:rsidRPr="00664D02">
        <w:rPr>
          <w:rFonts w:cs="Arial"/>
          <w:b/>
          <w:szCs w:val="22"/>
          <w:lang w:eastAsia="en-US"/>
        </w:rPr>
        <w:t>Going Concern</w:t>
      </w:r>
    </w:p>
    <w:p w14:paraId="6CD5FA16" w14:textId="77777777" w:rsidR="00CC2543" w:rsidRPr="00EC06E7" w:rsidRDefault="00CC2543" w:rsidP="00392027">
      <w:pPr>
        <w:rPr>
          <w:szCs w:val="20"/>
          <w:lang w:eastAsia="en-US"/>
        </w:rPr>
      </w:pPr>
      <w:r w:rsidRPr="00EC06E7">
        <w:rPr>
          <w:szCs w:val="20"/>
          <w:lang w:eastAsia="en-US"/>
        </w:rPr>
        <w:t xml:space="preserve">The accounts have been prepared on the assumption that the </w:t>
      </w:r>
      <w:r w:rsidR="005124B6">
        <w:rPr>
          <w:szCs w:val="20"/>
          <w:lang w:eastAsia="en-US"/>
        </w:rPr>
        <w:t>c</w:t>
      </w:r>
      <w:r w:rsidRPr="00EC06E7">
        <w:rPr>
          <w:szCs w:val="20"/>
          <w:lang w:eastAsia="en-US"/>
        </w:rPr>
        <w:t>ouncil will continue in existence for the foreseeable future.</w:t>
      </w:r>
      <w:r w:rsidRPr="0027775A">
        <w:t xml:space="preserve"> </w:t>
      </w:r>
      <w:r w:rsidRPr="0027775A">
        <w:rPr>
          <w:szCs w:val="20"/>
          <w:lang w:eastAsia="en-US"/>
        </w:rPr>
        <w:t>Transfers of services under combinations of public sector bodies (such as local government reorganisation) do not negate the presumption of going concern.</w:t>
      </w:r>
    </w:p>
    <w:p w14:paraId="67E808FD" w14:textId="77777777" w:rsidR="00CC2543" w:rsidRPr="00EC06E7" w:rsidRDefault="00CC2543" w:rsidP="00392027">
      <w:pPr>
        <w:tabs>
          <w:tab w:val="left" w:pos="360"/>
          <w:tab w:val="center" w:pos="4153"/>
          <w:tab w:val="right" w:pos="8306"/>
        </w:tabs>
        <w:spacing w:after="120"/>
        <w:rPr>
          <w:rFonts w:cs="Arial"/>
          <w:b/>
          <w:szCs w:val="22"/>
          <w:lang w:eastAsia="en-US"/>
        </w:rPr>
      </w:pPr>
    </w:p>
    <w:p w14:paraId="4BADBA6F" w14:textId="77777777" w:rsidR="00CC2543" w:rsidRPr="00EC06E7" w:rsidRDefault="00CC2543" w:rsidP="00392027">
      <w:pPr>
        <w:spacing w:after="120"/>
        <w:rPr>
          <w:rFonts w:cs="Arial"/>
          <w:b/>
          <w:szCs w:val="22"/>
          <w:lang w:eastAsia="en-US"/>
        </w:rPr>
      </w:pPr>
      <w:r w:rsidRPr="00EC06E7">
        <w:rPr>
          <w:rFonts w:cs="Arial"/>
          <w:b/>
          <w:szCs w:val="22"/>
          <w:lang w:eastAsia="en-US"/>
        </w:rPr>
        <w:t>Government Grants and Other Contributions</w:t>
      </w:r>
    </w:p>
    <w:p w14:paraId="62D61D12" w14:textId="77777777" w:rsidR="00CC2543" w:rsidRPr="00EC06E7" w:rsidRDefault="00CC2543" w:rsidP="00392027">
      <w:pPr>
        <w:rPr>
          <w:rFonts w:cs="Courier New"/>
          <w:szCs w:val="22"/>
        </w:rPr>
      </w:pPr>
      <w:r w:rsidRPr="00EC06E7">
        <w:rPr>
          <w:rFonts w:cs="Courier New"/>
          <w:szCs w:val="22"/>
        </w:rPr>
        <w:t xml:space="preserve">Government grants and other contributions for both revenue and capital purposes are accounted for on an accruals basis and recognised in the accounts when the conditions for their receipt have been complied with. If compliance has not been achieved, cash received is held on the Balance Sheet as a </w:t>
      </w:r>
      <w:proofErr w:type="gramStart"/>
      <w:r w:rsidRPr="00EC06E7">
        <w:rPr>
          <w:rFonts w:cs="Courier New"/>
          <w:szCs w:val="22"/>
        </w:rPr>
        <w:t>long term</w:t>
      </w:r>
      <w:proofErr w:type="gramEnd"/>
      <w:r w:rsidRPr="00EC06E7">
        <w:rPr>
          <w:rFonts w:cs="Courier New"/>
          <w:szCs w:val="22"/>
        </w:rPr>
        <w:t xml:space="preserve"> creditor.</w:t>
      </w:r>
    </w:p>
    <w:p w14:paraId="4B263932" w14:textId="77777777" w:rsidR="00CC2543" w:rsidRPr="00EC06E7" w:rsidRDefault="00CC2543" w:rsidP="00392027">
      <w:pPr>
        <w:rPr>
          <w:rFonts w:cs="Courier New"/>
          <w:szCs w:val="22"/>
        </w:rPr>
      </w:pPr>
    </w:p>
    <w:p w14:paraId="146CFE18" w14:textId="77777777" w:rsidR="00CC2543" w:rsidRPr="00EC06E7" w:rsidRDefault="00CC2543" w:rsidP="00392027">
      <w:pPr>
        <w:rPr>
          <w:rFonts w:cs="Arial"/>
          <w:szCs w:val="22"/>
          <w:lang w:eastAsia="en-US"/>
        </w:rPr>
      </w:pPr>
      <w:r w:rsidRPr="00EC06E7">
        <w:rPr>
          <w:rFonts w:cs="Arial"/>
          <w:szCs w:val="22"/>
          <w:lang w:eastAsia="en-US"/>
        </w:rPr>
        <w:t xml:space="preserve">The postings in the Comprehensive Income and Expenditure Statement relating to capital grants and contributions are reversed out of the General Fund balance in the Movement in Reserves Statement. If the monies have not been </w:t>
      </w:r>
      <w:proofErr w:type="gramStart"/>
      <w:r w:rsidRPr="00EC06E7">
        <w:rPr>
          <w:rFonts w:cs="Arial"/>
          <w:szCs w:val="22"/>
          <w:lang w:eastAsia="en-US"/>
        </w:rPr>
        <w:t>used</w:t>
      </w:r>
      <w:proofErr w:type="gramEnd"/>
      <w:r w:rsidRPr="00EC06E7">
        <w:rPr>
          <w:rFonts w:cs="Arial"/>
          <w:szCs w:val="22"/>
          <w:lang w:eastAsia="en-US"/>
        </w:rPr>
        <w:t xml:space="preserve"> they are credited to the Grants Unapplied Reserve. If they have been applied to fund capital </w:t>
      </w:r>
      <w:proofErr w:type="gramStart"/>
      <w:r w:rsidRPr="00EC06E7">
        <w:rPr>
          <w:rFonts w:cs="Arial"/>
          <w:szCs w:val="22"/>
          <w:lang w:eastAsia="en-US"/>
        </w:rPr>
        <w:t>expenditure</w:t>
      </w:r>
      <w:proofErr w:type="gramEnd"/>
      <w:r w:rsidRPr="00EC06E7">
        <w:rPr>
          <w:rFonts w:cs="Arial"/>
          <w:szCs w:val="22"/>
          <w:lang w:eastAsia="en-US"/>
        </w:rPr>
        <w:t xml:space="preserve"> they are credited to the Capital Adjustment Account.</w:t>
      </w:r>
    </w:p>
    <w:p w14:paraId="345CAAC6" w14:textId="77777777" w:rsidR="00CC2543" w:rsidRPr="00EC06E7" w:rsidRDefault="00CC2543" w:rsidP="00392027">
      <w:pPr>
        <w:rPr>
          <w:szCs w:val="20"/>
          <w:lang w:eastAsia="en-US"/>
        </w:rPr>
      </w:pPr>
    </w:p>
    <w:p w14:paraId="62102F6A" w14:textId="77777777" w:rsidR="00CC2543" w:rsidRPr="00EC06E7" w:rsidRDefault="00CC2543" w:rsidP="00392027">
      <w:pPr>
        <w:rPr>
          <w:szCs w:val="20"/>
          <w:u w:val="single"/>
          <w:lang w:eastAsia="en-US"/>
        </w:rPr>
      </w:pPr>
      <w:r w:rsidRPr="00EC06E7">
        <w:rPr>
          <w:szCs w:val="20"/>
          <w:u w:val="single"/>
          <w:lang w:eastAsia="en-US"/>
        </w:rPr>
        <w:t>Community Infrastructure Levy</w:t>
      </w:r>
    </w:p>
    <w:p w14:paraId="21F7EC45" w14:textId="77777777" w:rsidR="00CC2543" w:rsidRPr="00EC06E7" w:rsidRDefault="00CC2543" w:rsidP="00392027">
      <w:pPr>
        <w:rPr>
          <w:szCs w:val="20"/>
          <w:lang w:eastAsia="en-US"/>
        </w:rPr>
      </w:pPr>
    </w:p>
    <w:p w14:paraId="3F2FE916" w14:textId="77777777" w:rsidR="00CC2543" w:rsidRPr="00EC06E7" w:rsidRDefault="00CC2543" w:rsidP="00392027">
      <w:pPr>
        <w:rPr>
          <w:szCs w:val="20"/>
          <w:lang w:eastAsia="en-US"/>
        </w:rPr>
      </w:pPr>
      <w:r>
        <w:rPr>
          <w:szCs w:val="20"/>
          <w:lang w:eastAsia="en-US"/>
        </w:rPr>
        <w:t>The A</w:t>
      </w:r>
      <w:r w:rsidRPr="00EC06E7">
        <w:rPr>
          <w:szCs w:val="20"/>
          <w:lang w:eastAsia="en-US"/>
        </w:rPr>
        <w:t xml:space="preserve">uthority has elected to charge a Community Infrastructure Levy (CIL). The levy will be charged on new builds with appropriate planning consent. The Authority charges for and collects the levy, which is a planning charge. The levy income will be used to fund </w:t>
      </w:r>
      <w:proofErr w:type="gramStart"/>
      <w:r w:rsidRPr="00EC06E7">
        <w:rPr>
          <w:szCs w:val="20"/>
          <w:lang w:eastAsia="en-US"/>
        </w:rPr>
        <w:t>a number of</w:t>
      </w:r>
      <w:proofErr w:type="gramEnd"/>
      <w:r w:rsidRPr="00EC06E7">
        <w:rPr>
          <w:szCs w:val="20"/>
          <w:lang w:eastAsia="en-US"/>
        </w:rPr>
        <w:t xml:space="preserve"> infrastructure projects to support the development of the area. CIL received is limited by regulations. It is therefore recognised at the commencement date of the development in the Comprehensive Income and Expenditure Statement in accordance with the above core accounting policy for grants and contributions. CIL charges will be largely to fund capital expenditure with a small proportion used to fund revenue.</w:t>
      </w:r>
    </w:p>
    <w:p w14:paraId="2C0DB88D" w14:textId="77777777" w:rsidR="00CC2543" w:rsidRPr="00EC06E7" w:rsidRDefault="00CC2543" w:rsidP="00392027">
      <w:pPr>
        <w:rPr>
          <w:szCs w:val="20"/>
          <w:lang w:eastAsia="en-US"/>
        </w:rPr>
      </w:pPr>
    </w:p>
    <w:p w14:paraId="7E3621C9" w14:textId="77777777" w:rsidR="00CC2543" w:rsidRPr="00EC06E7" w:rsidRDefault="00CC2543" w:rsidP="00392027">
      <w:pPr>
        <w:spacing w:after="120"/>
        <w:rPr>
          <w:rFonts w:cs="Arial"/>
          <w:b/>
          <w:szCs w:val="22"/>
          <w:lang w:eastAsia="en-US"/>
        </w:rPr>
      </w:pPr>
      <w:r w:rsidRPr="00EC06E7">
        <w:rPr>
          <w:rFonts w:cs="Arial"/>
          <w:b/>
          <w:szCs w:val="22"/>
          <w:lang w:eastAsia="en-US"/>
        </w:rPr>
        <w:t>Intangible assets</w:t>
      </w:r>
    </w:p>
    <w:p w14:paraId="7DBB2848" w14:textId="23A94C37" w:rsidR="00CC2543" w:rsidRPr="00EC06E7" w:rsidRDefault="00CC2543" w:rsidP="00392027">
      <w:pPr>
        <w:tabs>
          <w:tab w:val="left" w:pos="360"/>
        </w:tabs>
        <w:rPr>
          <w:rFonts w:cs="Courier New"/>
          <w:szCs w:val="22"/>
        </w:rPr>
      </w:pPr>
      <w:r w:rsidRPr="0054405C">
        <w:rPr>
          <w:rFonts w:cs="Courier New"/>
          <w:szCs w:val="22"/>
        </w:rPr>
        <w:t xml:space="preserve">Expenditure on assets that do not have physical substance but are identifiable and controlled by the </w:t>
      </w:r>
      <w:r w:rsidR="005124B6">
        <w:rPr>
          <w:rFonts w:cs="Courier New"/>
          <w:szCs w:val="22"/>
        </w:rPr>
        <w:t>c</w:t>
      </w:r>
      <w:r w:rsidRPr="0054405C">
        <w:rPr>
          <w:rFonts w:cs="Courier New"/>
          <w:szCs w:val="22"/>
        </w:rPr>
        <w:t xml:space="preserve">ouncil (e.g. software licences), is capitalised at cost if it is expected that future economic benefits or service potential will flow to the </w:t>
      </w:r>
      <w:r w:rsidR="005124B6">
        <w:rPr>
          <w:rFonts w:cs="Courier New"/>
          <w:szCs w:val="22"/>
        </w:rPr>
        <w:t>c</w:t>
      </w:r>
      <w:r w:rsidRPr="0054405C">
        <w:rPr>
          <w:rFonts w:cs="Courier New"/>
          <w:szCs w:val="22"/>
        </w:rPr>
        <w:t>ouncil for more than one financial year. Internally generated assets are capitalised where it is demonstra</w:t>
      </w:r>
      <w:r w:rsidR="005124B6">
        <w:rPr>
          <w:rFonts w:cs="Courier New"/>
          <w:szCs w:val="22"/>
        </w:rPr>
        <w:t>t</w:t>
      </w:r>
      <w:r w:rsidRPr="0054405C">
        <w:rPr>
          <w:rFonts w:cs="Courier New"/>
          <w:szCs w:val="22"/>
        </w:rPr>
        <w:t>e</w:t>
      </w:r>
      <w:r w:rsidR="003C2871">
        <w:rPr>
          <w:rFonts w:cs="Courier New"/>
          <w:szCs w:val="22"/>
        </w:rPr>
        <w:t>d</w:t>
      </w:r>
      <w:r w:rsidRPr="0054405C">
        <w:rPr>
          <w:rFonts w:cs="Courier New"/>
          <w:szCs w:val="22"/>
        </w:rPr>
        <w:t xml:space="preserve"> that these will generate future economic benefits or service potential for the </w:t>
      </w:r>
      <w:r w:rsidR="005124B6">
        <w:rPr>
          <w:rFonts w:cs="Courier New"/>
          <w:szCs w:val="22"/>
        </w:rPr>
        <w:t>c</w:t>
      </w:r>
      <w:r w:rsidRPr="0054405C">
        <w:rPr>
          <w:rFonts w:cs="Courier New"/>
          <w:szCs w:val="22"/>
        </w:rPr>
        <w:t>ouncil.</w:t>
      </w:r>
    </w:p>
    <w:p w14:paraId="10055390" w14:textId="77777777" w:rsidR="00CC2543" w:rsidRPr="00EC06E7" w:rsidRDefault="00CC2543" w:rsidP="00392027">
      <w:pPr>
        <w:tabs>
          <w:tab w:val="left" w:pos="360"/>
        </w:tabs>
        <w:rPr>
          <w:rFonts w:cs="Courier New"/>
          <w:szCs w:val="22"/>
        </w:rPr>
      </w:pPr>
    </w:p>
    <w:p w14:paraId="3763631A" w14:textId="77777777" w:rsidR="00CC2543" w:rsidRPr="00EC06E7" w:rsidRDefault="00CC2543" w:rsidP="00392027">
      <w:pPr>
        <w:tabs>
          <w:tab w:val="left" w:pos="360"/>
        </w:tabs>
        <w:rPr>
          <w:rFonts w:cs="Arial"/>
          <w:szCs w:val="22"/>
          <w:lang w:eastAsia="en-US"/>
        </w:rPr>
      </w:pPr>
      <w:r w:rsidRPr="00EC06E7">
        <w:rPr>
          <w:rFonts w:cs="Courier New"/>
          <w:szCs w:val="22"/>
        </w:rPr>
        <w:t xml:space="preserve">The cost is amortised over the economic life to reflect the pattern of consumption. </w:t>
      </w:r>
      <w:r w:rsidRPr="00EC06E7">
        <w:rPr>
          <w:rFonts w:cs="Arial"/>
          <w:szCs w:val="22"/>
          <w:lang w:eastAsia="en-US"/>
        </w:rPr>
        <w:t>The charge is made to the relevant service line in the Comprehensive Income and Expenditure Statement.</w:t>
      </w:r>
    </w:p>
    <w:p w14:paraId="7ADDA13A" w14:textId="77777777" w:rsidR="00CC2543" w:rsidRPr="00EC06E7" w:rsidRDefault="00CC2543" w:rsidP="00392027">
      <w:pPr>
        <w:tabs>
          <w:tab w:val="left" w:pos="360"/>
        </w:tabs>
        <w:rPr>
          <w:rFonts w:cs="Arial"/>
          <w:szCs w:val="22"/>
          <w:lang w:eastAsia="en-US"/>
        </w:rPr>
      </w:pPr>
    </w:p>
    <w:p w14:paraId="237F2489" w14:textId="77777777" w:rsidR="00CC2543" w:rsidRDefault="00CC2543" w:rsidP="00392027">
      <w:pPr>
        <w:tabs>
          <w:tab w:val="left" w:pos="360"/>
        </w:tabs>
        <w:rPr>
          <w:rFonts w:cs="Arial"/>
          <w:szCs w:val="22"/>
          <w:lang w:eastAsia="en-US"/>
        </w:rPr>
      </w:pPr>
      <w:r w:rsidRPr="00EC06E7">
        <w:rPr>
          <w:rFonts w:cs="Arial"/>
          <w:szCs w:val="22"/>
          <w:lang w:eastAsia="en-US"/>
        </w:rPr>
        <w:t>The postings in the Comprehensive Income and Expenditure Statement are reversed from the General Fund balance in the Movement in Reserves Statement and charged to the Capital Adjustment Account.</w:t>
      </w:r>
    </w:p>
    <w:p w14:paraId="5FA955FD" w14:textId="77777777" w:rsidR="00CC2543" w:rsidRDefault="00CC2543" w:rsidP="00392027">
      <w:pPr>
        <w:tabs>
          <w:tab w:val="left" w:pos="360"/>
        </w:tabs>
        <w:rPr>
          <w:rFonts w:cs="Arial"/>
          <w:szCs w:val="22"/>
          <w:lang w:eastAsia="en-US"/>
        </w:rPr>
      </w:pPr>
    </w:p>
    <w:p w14:paraId="7E54A9EA" w14:textId="77777777" w:rsidR="00CC2543" w:rsidRPr="0027775A" w:rsidRDefault="00CC2543" w:rsidP="00392027">
      <w:pPr>
        <w:spacing w:after="120"/>
        <w:rPr>
          <w:rFonts w:cs="Arial"/>
          <w:b/>
          <w:szCs w:val="22"/>
          <w:lang w:eastAsia="en-US"/>
        </w:rPr>
      </w:pPr>
      <w:r w:rsidRPr="0027775A">
        <w:rPr>
          <w:rFonts w:cs="Arial"/>
          <w:b/>
          <w:szCs w:val="22"/>
          <w:lang w:eastAsia="en-US"/>
        </w:rPr>
        <w:t xml:space="preserve">Inventories and </w:t>
      </w:r>
      <w:proofErr w:type="gramStart"/>
      <w:r w:rsidRPr="0027775A">
        <w:rPr>
          <w:rFonts w:cs="Arial"/>
          <w:b/>
          <w:szCs w:val="22"/>
          <w:lang w:eastAsia="en-US"/>
        </w:rPr>
        <w:t>Long term</w:t>
      </w:r>
      <w:proofErr w:type="gramEnd"/>
      <w:r w:rsidRPr="0027775A">
        <w:rPr>
          <w:rFonts w:cs="Arial"/>
          <w:b/>
          <w:szCs w:val="22"/>
          <w:lang w:eastAsia="en-US"/>
        </w:rPr>
        <w:t xml:space="preserve"> Contracts </w:t>
      </w:r>
    </w:p>
    <w:p w14:paraId="11078280" w14:textId="77777777" w:rsidR="00CC2543" w:rsidRDefault="00CC2543" w:rsidP="00392027">
      <w:pPr>
        <w:tabs>
          <w:tab w:val="left" w:pos="360"/>
        </w:tabs>
        <w:rPr>
          <w:rFonts w:cs="Courier New"/>
          <w:szCs w:val="22"/>
        </w:rPr>
      </w:pPr>
      <w:r w:rsidRPr="0027775A">
        <w:rPr>
          <w:rFonts w:cs="Courier New"/>
          <w:szCs w:val="22"/>
        </w:rPr>
        <w:t xml:space="preserve">Inventories are included in the Balance Sheet at the lower of cost and net realisable value. The cost of inventories is assigned using the First </w:t>
      </w:r>
      <w:proofErr w:type="gramStart"/>
      <w:r w:rsidRPr="0027775A">
        <w:rPr>
          <w:rFonts w:cs="Courier New"/>
          <w:szCs w:val="22"/>
        </w:rPr>
        <w:t>In</w:t>
      </w:r>
      <w:proofErr w:type="gramEnd"/>
      <w:r w:rsidRPr="0027775A">
        <w:rPr>
          <w:rFonts w:cs="Courier New"/>
          <w:szCs w:val="22"/>
        </w:rPr>
        <w:t xml:space="preserve"> First Out (FIFO) costing formula. Long term contracts are accounted for </w:t>
      </w:r>
      <w:proofErr w:type="gramStart"/>
      <w:r w:rsidRPr="0027775A">
        <w:rPr>
          <w:rFonts w:cs="Courier New"/>
          <w:szCs w:val="22"/>
        </w:rPr>
        <w:t>on the basis of</w:t>
      </w:r>
      <w:proofErr w:type="gramEnd"/>
      <w:r w:rsidRPr="0027775A">
        <w:rPr>
          <w:rFonts w:cs="Courier New"/>
          <w:szCs w:val="22"/>
        </w:rPr>
        <w:t xml:space="preserve"> charging the Surplus or Deficit on the Provision of Services with the value of works and services received under the contract during the financial year.</w:t>
      </w:r>
    </w:p>
    <w:p w14:paraId="68263227" w14:textId="77777777" w:rsidR="00CC2543" w:rsidRPr="0027775A" w:rsidRDefault="00CC2543" w:rsidP="00392027">
      <w:pPr>
        <w:tabs>
          <w:tab w:val="left" w:pos="360"/>
        </w:tabs>
        <w:rPr>
          <w:rFonts w:cs="Courier New"/>
          <w:szCs w:val="22"/>
        </w:rPr>
      </w:pPr>
    </w:p>
    <w:p w14:paraId="1C5EF137" w14:textId="77777777" w:rsidR="00CC2543" w:rsidRPr="00EC06E7" w:rsidRDefault="00CC2543" w:rsidP="00392027">
      <w:pPr>
        <w:spacing w:after="120"/>
        <w:rPr>
          <w:rFonts w:cs="Arial"/>
          <w:b/>
          <w:szCs w:val="22"/>
          <w:lang w:eastAsia="en-US"/>
        </w:rPr>
      </w:pPr>
      <w:r w:rsidRPr="00EC06E7">
        <w:rPr>
          <w:rFonts w:cs="Arial"/>
          <w:b/>
          <w:szCs w:val="22"/>
          <w:lang w:eastAsia="en-US"/>
        </w:rPr>
        <w:t>Investment Properties</w:t>
      </w:r>
    </w:p>
    <w:p w14:paraId="015885CE" w14:textId="77777777" w:rsidR="00CC2543" w:rsidRPr="00EC06E7" w:rsidRDefault="00CC2543" w:rsidP="00392027">
      <w:pPr>
        <w:rPr>
          <w:szCs w:val="20"/>
          <w:lang w:eastAsia="en-US"/>
        </w:rPr>
      </w:pPr>
      <w:r w:rsidRPr="00EC06E7">
        <w:rPr>
          <w:szCs w:val="20"/>
          <w:lang w:eastAsia="en-US"/>
        </w:rPr>
        <w:t>Investment properties are those held solely to earn rentals or for capital appreciation. They are measured initially at cost and subsequently at fair value. Valuations are provided by Royal Institution of Chartered Surveyors (RICS)-qualified valuers, are on the basis recommended by CIPFA, and accord with the Statement of Asset Valuation Principles and Guidance Notes issued by the RICS.  They are not depreciated but are re-valued annually. Gains and losses on revaluation are posted to the Financing and Investment Income and Expenditure line in the Comprehensive Income and Expenditure Statement. The same treatment is applied to gains and losses on disposal. Gains and losses on revaluation and disposal are not permitted by statute to impact on the council tax. A reversal is therefore done between the General Fund Balance and the Capital Adjustment Account (or, in the case of sale proceeds exceeding £10,000</w:t>
      </w:r>
      <w:r>
        <w:rPr>
          <w:szCs w:val="20"/>
          <w:lang w:eastAsia="en-US"/>
        </w:rPr>
        <w:t>,</w:t>
      </w:r>
      <w:r w:rsidRPr="00EC06E7">
        <w:rPr>
          <w:szCs w:val="20"/>
          <w:lang w:eastAsia="en-US"/>
        </w:rPr>
        <w:t xml:space="preserve"> to the Capital Receipts Reserve</w:t>
      </w:r>
      <w:r>
        <w:rPr>
          <w:szCs w:val="20"/>
          <w:lang w:eastAsia="en-US"/>
        </w:rPr>
        <w:t>)</w:t>
      </w:r>
      <w:r w:rsidRPr="00EC06E7">
        <w:rPr>
          <w:szCs w:val="20"/>
          <w:lang w:eastAsia="en-US"/>
        </w:rPr>
        <w:t>.</w:t>
      </w:r>
    </w:p>
    <w:p w14:paraId="3C11D381" w14:textId="77777777" w:rsidR="00CC2543" w:rsidRPr="00EC06E7" w:rsidRDefault="00CC2543" w:rsidP="00392027">
      <w:pPr>
        <w:rPr>
          <w:szCs w:val="20"/>
          <w:lang w:eastAsia="en-US"/>
        </w:rPr>
      </w:pPr>
    </w:p>
    <w:p w14:paraId="12EBC107" w14:textId="77777777" w:rsidR="00CC2543" w:rsidRPr="00EC06E7" w:rsidRDefault="00CC2543" w:rsidP="00392027">
      <w:pPr>
        <w:rPr>
          <w:szCs w:val="20"/>
          <w:lang w:eastAsia="en-US"/>
        </w:rPr>
      </w:pPr>
      <w:r w:rsidRPr="0054405C">
        <w:rPr>
          <w:szCs w:val="20"/>
          <w:lang w:eastAsia="en-US"/>
        </w:rPr>
        <w:t>Operating income</w:t>
      </w:r>
      <w:r w:rsidRPr="00EC06E7">
        <w:rPr>
          <w:szCs w:val="20"/>
          <w:lang w:eastAsia="en-US"/>
        </w:rPr>
        <w:t xml:space="preserve"> and expenditure from investment properties are charged to the Financing and Investment Income and Expenditure line in the Comprehensive Income and Expenditure Statement.</w:t>
      </w:r>
    </w:p>
    <w:p w14:paraId="7958DB38" w14:textId="77777777" w:rsidR="00CC2543" w:rsidRPr="00EC06E7" w:rsidRDefault="00CC2543" w:rsidP="00392027">
      <w:pPr>
        <w:rPr>
          <w:szCs w:val="20"/>
          <w:lang w:eastAsia="en-US"/>
        </w:rPr>
      </w:pPr>
    </w:p>
    <w:p w14:paraId="60DEDD97" w14:textId="77777777" w:rsidR="00CC2543" w:rsidRPr="00EC06E7" w:rsidRDefault="00CC2543" w:rsidP="00392027">
      <w:pPr>
        <w:spacing w:after="120"/>
        <w:rPr>
          <w:rFonts w:cs="Arial"/>
          <w:b/>
          <w:szCs w:val="22"/>
          <w:lang w:eastAsia="en-US"/>
        </w:rPr>
      </w:pPr>
      <w:r w:rsidRPr="00EC06E7">
        <w:rPr>
          <w:rFonts w:cs="Arial"/>
          <w:b/>
          <w:szCs w:val="22"/>
          <w:lang w:eastAsia="en-US"/>
        </w:rPr>
        <w:t>Leasing</w:t>
      </w:r>
    </w:p>
    <w:p w14:paraId="60E7D992" w14:textId="77777777" w:rsidR="00CC2543" w:rsidRPr="00EC06E7" w:rsidRDefault="00CC2543" w:rsidP="00392027">
      <w:pPr>
        <w:rPr>
          <w:rFonts w:cs="Courier New"/>
          <w:szCs w:val="22"/>
        </w:rPr>
      </w:pPr>
      <w:r w:rsidRPr="00EC06E7">
        <w:rPr>
          <w:rFonts w:cs="Courier New"/>
          <w:szCs w:val="22"/>
        </w:rPr>
        <w:t>Leases are classified as finance leases where the terms of the lease transfer substantially all the risks and rewards incidental to ownership of the asset from the lessor to the lessee. All other leases are classified as operating leases. If the lease covers both land and buildings, then the land and building elements are considered separately for classification.</w:t>
      </w:r>
    </w:p>
    <w:p w14:paraId="3992AF93" w14:textId="77777777" w:rsidR="00CC2543" w:rsidRPr="00EC06E7" w:rsidRDefault="00CC2543" w:rsidP="00392027">
      <w:pPr>
        <w:rPr>
          <w:rFonts w:cs="Courier New"/>
          <w:szCs w:val="22"/>
        </w:rPr>
      </w:pPr>
    </w:p>
    <w:p w14:paraId="4B6665B4" w14:textId="77777777" w:rsidR="00CC2543" w:rsidRPr="00EC06E7" w:rsidRDefault="00CC2543" w:rsidP="00392027">
      <w:pPr>
        <w:rPr>
          <w:rFonts w:cs="Courier New"/>
          <w:szCs w:val="22"/>
        </w:rPr>
      </w:pPr>
      <w:r w:rsidRPr="00EC06E7">
        <w:rPr>
          <w:rFonts w:cs="Courier New"/>
          <w:szCs w:val="22"/>
        </w:rPr>
        <w:t>Assets that do not have the legal status of a lease but convey a right to use an asset in return for payment are accounted for under this policy where fulfilment of the arrangement is dependent on the use of specific assets.</w:t>
      </w:r>
    </w:p>
    <w:p w14:paraId="32589949" w14:textId="77777777" w:rsidR="00CC2543" w:rsidRPr="00EC06E7" w:rsidRDefault="00CC2543" w:rsidP="00392027">
      <w:pPr>
        <w:rPr>
          <w:rFonts w:cs="Courier New"/>
          <w:szCs w:val="22"/>
        </w:rPr>
      </w:pPr>
    </w:p>
    <w:p w14:paraId="1143297A" w14:textId="77777777" w:rsidR="00CC2543" w:rsidRPr="00EC06E7" w:rsidRDefault="00CC2543" w:rsidP="00392027">
      <w:pPr>
        <w:tabs>
          <w:tab w:val="left" w:pos="360"/>
          <w:tab w:val="center" w:pos="4153"/>
          <w:tab w:val="right" w:pos="8306"/>
        </w:tabs>
        <w:spacing w:after="120"/>
        <w:rPr>
          <w:rFonts w:cs="Arial"/>
          <w:b/>
          <w:szCs w:val="22"/>
          <w:u w:val="single"/>
          <w:lang w:eastAsia="en-US"/>
        </w:rPr>
      </w:pPr>
      <w:r w:rsidRPr="00EC06E7">
        <w:rPr>
          <w:rFonts w:cs="Arial"/>
          <w:b/>
          <w:szCs w:val="22"/>
          <w:u w:val="single"/>
          <w:lang w:eastAsia="en-US"/>
        </w:rPr>
        <w:t>The Authority as lessee</w:t>
      </w:r>
    </w:p>
    <w:p w14:paraId="589AF1BB" w14:textId="77777777" w:rsidR="00CC2543" w:rsidRPr="00EC06E7" w:rsidRDefault="00CC2543" w:rsidP="00392027">
      <w:pPr>
        <w:rPr>
          <w:rFonts w:cs="Courier New"/>
          <w:szCs w:val="22"/>
          <w:u w:val="single"/>
        </w:rPr>
      </w:pPr>
      <w:r w:rsidRPr="00EC06E7">
        <w:rPr>
          <w:rFonts w:cs="Courier New"/>
          <w:szCs w:val="22"/>
          <w:u w:val="single"/>
        </w:rPr>
        <w:t>Finance leases</w:t>
      </w:r>
    </w:p>
    <w:p w14:paraId="4B38668E" w14:textId="77777777" w:rsidR="00CC2543" w:rsidRPr="00EC06E7" w:rsidRDefault="00CC2543" w:rsidP="00392027">
      <w:pPr>
        <w:rPr>
          <w:rFonts w:cs="Courier New"/>
          <w:szCs w:val="22"/>
        </w:rPr>
      </w:pPr>
      <w:r w:rsidRPr="00EC06E7">
        <w:rPr>
          <w:rFonts w:cs="Courier New"/>
          <w:szCs w:val="22"/>
        </w:rPr>
        <w:t>An asset held under a finance lease is recognised on the Balance Sheet at the commencement of the lease at its fair value measured at the inception of the lease (or the present value of the minimum lease payments, if lower). The asset is matched by a liability, being the obligation to the lessor. Contingent rents are charged as expenses in the periods in which they are incurred.  Lease payments are split between a finance charge, charged to the Comprehensive Income and Expenditure Statement, and the principal element, applied to write down the lease liability.  Assets held under a finance lease will be subject to depreciation and revaluation in the same way as any other asset.</w:t>
      </w:r>
    </w:p>
    <w:p w14:paraId="4DC32456" w14:textId="77777777" w:rsidR="00CC2543" w:rsidRPr="00EC06E7" w:rsidRDefault="00CC2543" w:rsidP="00392027">
      <w:pPr>
        <w:rPr>
          <w:rFonts w:cs="Courier New"/>
          <w:szCs w:val="22"/>
        </w:rPr>
      </w:pPr>
    </w:p>
    <w:p w14:paraId="5255CD69" w14:textId="77777777" w:rsidR="00CC2543" w:rsidRPr="00EC06E7" w:rsidRDefault="00CC2543" w:rsidP="00392027">
      <w:pPr>
        <w:rPr>
          <w:rFonts w:cs="Courier New"/>
          <w:szCs w:val="22"/>
          <w:u w:val="single"/>
        </w:rPr>
      </w:pPr>
      <w:r w:rsidRPr="00EC06E7">
        <w:rPr>
          <w:rFonts w:cs="Courier New"/>
          <w:szCs w:val="22"/>
          <w:u w:val="single"/>
        </w:rPr>
        <w:t>Operating leases</w:t>
      </w:r>
    </w:p>
    <w:p w14:paraId="40B60AA3" w14:textId="77777777" w:rsidR="00CC2543" w:rsidRPr="00EC06E7" w:rsidRDefault="00CC2543" w:rsidP="00392027">
      <w:pPr>
        <w:rPr>
          <w:rFonts w:cs="Courier New"/>
          <w:szCs w:val="22"/>
        </w:rPr>
      </w:pPr>
      <w:r w:rsidRPr="00EC06E7">
        <w:rPr>
          <w:rFonts w:cs="Courier New"/>
          <w:szCs w:val="22"/>
        </w:rPr>
        <w:t>Rentals are charged to the Comprehensive Income and Expenditure Statement as an expense of the service benefitting from the asset.</w:t>
      </w:r>
    </w:p>
    <w:p w14:paraId="22C2F2B9" w14:textId="77777777" w:rsidR="00CC2543" w:rsidRPr="00EC06E7" w:rsidRDefault="00CC2543" w:rsidP="00392027">
      <w:pPr>
        <w:rPr>
          <w:rFonts w:cs="Arial"/>
          <w:b/>
          <w:szCs w:val="22"/>
          <w:u w:val="single"/>
          <w:lang w:eastAsia="en-US"/>
        </w:rPr>
      </w:pPr>
    </w:p>
    <w:p w14:paraId="2BE65F14" w14:textId="77777777" w:rsidR="00CC2543" w:rsidRPr="00EC06E7" w:rsidRDefault="00CC2543" w:rsidP="00392027">
      <w:pPr>
        <w:tabs>
          <w:tab w:val="left" w:pos="360"/>
          <w:tab w:val="center" w:pos="4153"/>
          <w:tab w:val="right" w:pos="8306"/>
        </w:tabs>
        <w:spacing w:after="120"/>
        <w:rPr>
          <w:rFonts w:cs="Arial"/>
          <w:b/>
          <w:szCs w:val="22"/>
          <w:u w:val="single"/>
          <w:lang w:eastAsia="en-US"/>
        </w:rPr>
      </w:pPr>
      <w:r w:rsidRPr="00EC06E7">
        <w:rPr>
          <w:rFonts w:cs="Arial"/>
          <w:b/>
          <w:szCs w:val="22"/>
          <w:u w:val="single"/>
          <w:lang w:eastAsia="en-US"/>
        </w:rPr>
        <w:t>The Authority as lessor</w:t>
      </w:r>
    </w:p>
    <w:p w14:paraId="3FDA3AC3" w14:textId="77777777" w:rsidR="00CC2543" w:rsidRPr="00EC06E7" w:rsidRDefault="00CC2543" w:rsidP="00392027">
      <w:pPr>
        <w:rPr>
          <w:rFonts w:cs="Courier New"/>
          <w:szCs w:val="22"/>
          <w:u w:val="single"/>
        </w:rPr>
      </w:pPr>
      <w:r w:rsidRPr="00EC06E7">
        <w:rPr>
          <w:rFonts w:cs="Courier New"/>
          <w:szCs w:val="22"/>
          <w:u w:val="single"/>
        </w:rPr>
        <w:t>Finance leases</w:t>
      </w:r>
    </w:p>
    <w:p w14:paraId="320D2308" w14:textId="77777777" w:rsidR="00CC2543" w:rsidRPr="00EC06E7" w:rsidRDefault="00CC2543" w:rsidP="00392027">
      <w:pPr>
        <w:rPr>
          <w:rFonts w:cs="Courier New"/>
          <w:szCs w:val="22"/>
        </w:rPr>
      </w:pPr>
      <w:r w:rsidRPr="00EC06E7">
        <w:rPr>
          <w:rFonts w:cs="Courier New"/>
          <w:szCs w:val="22"/>
        </w:rPr>
        <w:t xml:space="preserve">Where the Authority grants a finance lease over an asset, it is written out of the Balance Sheet and charged to the “gain or loss on disposals” line in Other Operating Expenditure in the Comprehensive Income and Expenditure Statement. The Authority’s net investment in the lease is credited to the same line, matched by a </w:t>
      </w:r>
      <w:proofErr w:type="gramStart"/>
      <w:r w:rsidRPr="00EC06E7">
        <w:rPr>
          <w:rFonts w:cs="Courier New"/>
          <w:szCs w:val="22"/>
        </w:rPr>
        <w:t>Long Term</w:t>
      </w:r>
      <w:proofErr w:type="gramEnd"/>
      <w:r w:rsidRPr="00EC06E7">
        <w:rPr>
          <w:rFonts w:cs="Courier New"/>
          <w:szCs w:val="22"/>
        </w:rPr>
        <w:t xml:space="preserve"> Debtor in the </w:t>
      </w:r>
      <w:r>
        <w:rPr>
          <w:rFonts w:cs="Courier New"/>
          <w:szCs w:val="22"/>
        </w:rPr>
        <w:t>B</w:t>
      </w:r>
      <w:r w:rsidRPr="00EC06E7">
        <w:rPr>
          <w:rFonts w:cs="Courier New"/>
          <w:szCs w:val="22"/>
        </w:rPr>
        <w:t xml:space="preserve">alance Sheet.  Lease rental receipts are split between finance income (credited to the Financing and Investment Income and Expenditure line in the Comprehensive Income and Expenditure Statement), and the principal element applied to write down the </w:t>
      </w:r>
      <w:proofErr w:type="gramStart"/>
      <w:r w:rsidRPr="00EC06E7">
        <w:rPr>
          <w:rFonts w:cs="Courier New"/>
          <w:szCs w:val="22"/>
        </w:rPr>
        <w:t>Long Term</w:t>
      </w:r>
      <w:proofErr w:type="gramEnd"/>
      <w:r w:rsidRPr="00EC06E7">
        <w:rPr>
          <w:rFonts w:cs="Courier New"/>
          <w:szCs w:val="22"/>
        </w:rPr>
        <w:t xml:space="preserve"> Debtor.</w:t>
      </w:r>
    </w:p>
    <w:p w14:paraId="3D05BBBA" w14:textId="77777777" w:rsidR="00CC2543" w:rsidRPr="00EC06E7" w:rsidRDefault="00CC2543" w:rsidP="00392027">
      <w:pPr>
        <w:rPr>
          <w:rFonts w:cs="Courier New"/>
          <w:szCs w:val="22"/>
          <w:u w:val="single"/>
        </w:rPr>
      </w:pPr>
    </w:p>
    <w:p w14:paraId="1FFFB5E6" w14:textId="77777777" w:rsidR="00CC2543" w:rsidRPr="00EC06E7" w:rsidRDefault="00CC2543" w:rsidP="00392027">
      <w:pPr>
        <w:rPr>
          <w:rFonts w:cs="Courier New"/>
          <w:szCs w:val="22"/>
          <w:u w:val="single"/>
        </w:rPr>
      </w:pPr>
      <w:r w:rsidRPr="00EC06E7">
        <w:rPr>
          <w:rFonts w:cs="Courier New"/>
          <w:szCs w:val="22"/>
          <w:u w:val="single"/>
        </w:rPr>
        <w:t>Operating leases</w:t>
      </w:r>
    </w:p>
    <w:p w14:paraId="2FF1FE8A" w14:textId="77777777" w:rsidR="00CC2543" w:rsidRPr="00EC06E7" w:rsidRDefault="00CC2543" w:rsidP="00392027">
      <w:pPr>
        <w:rPr>
          <w:rFonts w:cs="Courier New"/>
          <w:szCs w:val="22"/>
        </w:rPr>
      </w:pPr>
      <w:r w:rsidRPr="00EC06E7">
        <w:rPr>
          <w:rFonts w:cs="Courier New"/>
          <w:szCs w:val="22"/>
        </w:rPr>
        <w:t xml:space="preserve">Where the Authority grant an operating lease over an asset it remains on the Balance Sheet, and the income is credited to the Financing and Investment Income and Expenditure line in the Comprehensive Income and Expenditure Statement. See </w:t>
      </w:r>
      <w:r>
        <w:rPr>
          <w:rFonts w:cs="Courier New"/>
          <w:szCs w:val="22"/>
        </w:rPr>
        <w:t>Note 36 to the accounts</w:t>
      </w:r>
      <w:r w:rsidRPr="00EC06E7">
        <w:rPr>
          <w:rFonts w:cs="Courier New"/>
          <w:szCs w:val="22"/>
        </w:rPr>
        <w:t>.</w:t>
      </w:r>
    </w:p>
    <w:p w14:paraId="71BEC0A2" w14:textId="77777777" w:rsidR="00CC2543" w:rsidRPr="00EC06E7" w:rsidRDefault="00CC2543" w:rsidP="00392027">
      <w:pPr>
        <w:rPr>
          <w:b/>
          <w:szCs w:val="20"/>
          <w:lang w:eastAsia="en-US"/>
        </w:rPr>
      </w:pPr>
    </w:p>
    <w:p w14:paraId="3DF0F226" w14:textId="77777777" w:rsidR="00CC2543" w:rsidRPr="00EC06E7" w:rsidRDefault="00CC2543" w:rsidP="00392027">
      <w:pPr>
        <w:spacing w:after="120"/>
        <w:rPr>
          <w:rFonts w:cs="Arial"/>
          <w:b/>
          <w:szCs w:val="22"/>
          <w:lang w:eastAsia="en-US"/>
        </w:rPr>
      </w:pPr>
      <w:r w:rsidRPr="00EC06E7">
        <w:rPr>
          <w:rFonts w:cs="Arial"/>
          <w:b/>
          <w:szCs w:val="22"/>
          <w:lang w:eastAsia="en-US"/>
        </w:rPr>
        <w:t>Non-Current Assets Held for Sale</w:t>
      </w:r>
    </w:p>
    <w:p w14:paraId="5F8679D7" w14:textId="77777777" w:rsidR="00CC2543" w:rsidRPr="00EC06E7" w:rsidRDefault="00CC2543" w:rsidP="00392027">
      <w:pPr>
        <w:rPr>
          <w:szCs w:val="20"/>
          <w:lang w:eastAsia="en-US"/>
        </w:rPr>
      </w:pPr>
      <w:r w:rsidRPr="00EC06E7">
        <w:rPr>
          <w:szCs w:val="20"/>
          <w:lang w:eastAsia="en-US"/>
        </w:rPr>
        <w:t>Accounting treatment is detailed in the Property Plant and Equipment, Disposal and Non-Current Assets Held for Sale policy.</w:t>
      </w:r>
    </w:p>
    <w:p w14:paraId="44FD055F" w14:textId="77777777" w:rsidR="00CC2543" w:rsidRPr="00EC06E7" w:rsidRDefault="00CC2543" w:rsidP="00392027">
      <w:pPr>
        <w:rPr>
          <w:szCs w:val="20"/>
          <w:lang w:eastAsia="en-US"/>
        </w:rPr>
      </w:pPr>
    </w:p>
    <w:p w14:paraId="39C3E64D" w14:textId="77777777" w:rsidR="00CC2543" w:rsidRPr="00EC06E7" w:rsidRDefault="00CC2543" w:rsidP="00392027">
      <w:pPr>
        <w:spacing w:after="120"/>
        <w:rPr>
          <w:rFonts w:cs="Arial"/>
          <w:b/>
          <w:szCs w:val="22"/>
          <w:lang w:eastAsia="en-US"/>
        </w:rPr>
      </w:pPr>
      <w:r w:rsidRPr="00EC06E7">
        <w:rPr>
          <w:rFonts w:cs="Arial"/>
          <w:b/>
          <w:szCs w:val="22"/>
          <w:lang w:eastAsia="en-US"/>
        </w:rPr>
        <w:t>Overheads</w:t>
      </w:r>
    </w:p>
    <w:p w14:paraId="2B66FB2E" w14:textId="77777777" w:rsidR="00CC2543" w:rsidRPr="00EC06E7" w:rsidRDefault="00CC2543" w:rsidP="00392027">
      <w:pPr>
        <w:rPr>
          <w:szCs w:val="20"/>
          <w:lang w:eastAsia="en-US"/>
        </w:rPr>
      </w:pPr>
      <w:r w:rsidRPr="00EC06E7">
        <w:rPr>
          <w:szCs w:val="20"/>
          <w:lang w:eastAsia="en-US"/>
        </w:rPr>
        <w:t>The costs of overheads and support services are charged to service segments in accordance with the authority’s arrangements for accountability and financial performance.</w:t>
      </w:r>
    </w:p>
    <w:p w14:paraId="28BEDA12" w14:textId="77777777" w:rsidR="00CC2543" w:rsidRPr="00EC06E7" w:rsidRDefault="00CC2543" w:rsidP="00392027">
      <w:pPr>
        <w:rPr>
          <w:rFonts w:cs="Courier New"/>
          <w:b/>
          <w:szCs w:val="22"/>
        </w:rPr>
      </w:pPr>
    </w:p>
    <w:p w14:paraId="3CC0AD85" w14:textId="77777777" w:rsidR="00CC2543" w:rsidRPr="00EC06E7" w:rsidRDefault="00CC2543" w:rsidP="00392027">
      <w:pPr>
        <w:spacing w:after="120"/>
        <w:rPr>
          <w:rFonts w:cs="Arial"/>
          <w:b/>
          <w:szCs w:val="22"/>
          <w:lang w:eastAsia="en-US"/>
        </w:rPr>
      </w:pPr>
      <w:r w:rsidRPr="00EC06E7">
        <w:rPr>
          <w:rFonts w:cs="Arial"/>
          <w:b/>
          <w:szCs w:val="22"/>
          <w:lang w:eastAsia="en-US"/>
        </w:rPr>
        <w:t>Prior Period Adjustments, Changes in Accounting Policies, and Estimates and Errors</w:t>
      </w:r>
    </w:p>
    <w:p w14:paraId="46CD9E02" w14:textId="77777777" w:rsidR="00CC2543" w:rsidRPr="00EC06E7" w:rsidRDefault="00CC2543" w:rsidP="00392027">
      <w:pPr>
        <w:rPr>
          <w:rFonts w:cs="Courier New"/>
          <w:szCs w:val="22"/>
        </w:rPr>
      </w:pPr>
      <w:r w:rsidRPr="009643C2">
        <w:rPr>
          <w:rFonts w:cs="Courier New"/>
          <w:szCs w:val="22"/>
        </w:rPr>
        <w:t xml:space="preserve">Prior period adjustments may arise as a result of a change in accounting policies or to correct a material error. </w:t>
      </w:r>
      <w:r w:rsidRPr="00EC06E7">
        <w:rPr>
          <w:rFonts w:cs="Courier New"/>
          <w:szCs w:val="22"/>
        </w:rPr>
        <w:t xml:space="preserve">Changes in estimates are accounted for prospectively, i.e. in the current and future years affected by the change, and do not give rise to a prior period adjustment.  Changes in accounting policies are only made when required by proper accounting practice or if the change provides more reliable or relevant information about the effect of transactions on the </w:t>
      </w:r>
      <w:r w:rsidR="005124B6">
        <w:rPr>
          <w:rFonts w:cs="Courier New"/>
          <w:szCs w:val="22"/>
        </w:rPr>
        <w:t>c</w:t>
      </w:r>
      <w:r w:rsidRPr="00EC06E7">
        <w:rPr>
          <w:rFonts w:cs="Courier New"/>
          <w:szCs w:val="22"/>
        </w:rPr>
        <w:t xml:space="preserve">ouncil’s </w:t>
      </w:r>
      <w:r>
        <w:rPr>
          <w:rFonts w:cs="Courier New"/>
          <w:szCs w:val="22"/>
        </w:rPr>
        <w:t xml:space="preserve">financial position or </w:t>
      </w:r>
      <w:r w:rsidRPr="00EC06E7">
        <w:rPr>
          <w:rFonts w:cs="Courier New"/>
          <w:szCs w:val="22"/>
        </w:rPr>
        <w:t>financial performance. Where a change is made it is applied retrospectively by adjusting opening balances and comparative amounts from prior periods.  Material errors will also require a prior period adjustment.</w:t>
      </w:r>
      <w:r>
        <w:rPr>
          <w:rFonts w:cs="Courier New"/>
          <w:szCs w:val="22"/>
        </w:rPr>
        <w:t xml:space="preserve"> </w:t>
      </w:r>
      <w:r w:rsidRPr="009643C2">
        <w:rPr>
          <w:rFonts w:cs="Courier New"/>
          <w:szCs w:val="22"/>
        </w:rPr>
        <w:t>Material errors discovered in prior period figures are corrected retrospectively by amending opening balances and comparative amounts for the period.</w:t>
      </w:r>
    </w:p>
    <w:p w14:paraId="593392A2" w14:textId="77777777" w:rsidR="00CC2543" w:rsidRPr="00EC06E7" w:rsidRDefault="00CC2543" w:rsidP="00392027">
      <w:pPr>
        <w:rPr>
          <w:rFonts w:cs="Courier New"/>
          <w:szCs w:val="22"/>
        </w:rPr>
      </w:pPr>
    </w:p>
    <w:p w14:paraId="078B78DE" w14:textId="77777777" w:rsidR="00CC2543" w:rsidRPr="00EC06E7" w:rsidRDefault="00CC2543" w:rsidP="00392027">
      <w:pPr>
        <w:spacing w:after="120"/>
        <w:rPr>
          <w:rFonts w:cs="Arial"/>
          <w:b/>
          <w:szCs w:val="22"/>
          <w:lang w:eastAsia="en-US"/>
        </w:rPr>
      </w:pPr>
      <w:r w:rsidRPr="00EC06E7">
        <w:rPr>
          <w:rFonts w:cs="Arial"/>
          <w:b/>
          <w:szCs w:val="22"/>
          <w:lang w:eastAsia="en-US"/>
        </w:rPr>
        <w:t>Property Plant and Equipment (PPE)</w:t>
      </w:r>
    </w:p>
    <w:p w14:paraId="0CA8A2DC" w14:textId="77777777" w:rsidR="00CC2543" w:rsidRPr="00EC06E7" w:rsidRDefault="00CC2543" w:rsidP="00392027">
      <w:pPr>
        <w:rPr>
          <w:rFonts w:cs="Courier New"/>
          <w:szCs w:val="22"/>
        </w:rPr>
      </w:pPr>
      <w:r w:rsidRPr="00EC06E7">
        <w:rPr>
          <w:szCs w:val="20"/>
          <w:lang w:eastAsia="en-US"/>
        </w:rPr>
        <w:t xml:space="preserve">All expenditure on the acquisition, creation, or enhancement of fixed assets is capitalised on an accruals basis in the accounts provided it exceeds the ‘de minimis’ threshold of £5,000 and provides benefits to the </w:t>
      </w:r>
      <w:r w:rsidR="005124B6">
        <w:rPr>
          <w:szCs w:val="20"/>
          <w:lang w:eastAsia="en-US"/>
        </w:rPr>
        <w:t>c</w:t>
      </w:r>
      <w:r w:rsidRPr="00EC06E7">
        <w:rPr>
          <w:szCs w:val="20"/>
          <w:lang w:eastAsia="en-US"/>
        </w:rPr>
        <w:t xml:space="preserve">ouncil for a period of more than one year.  </w:t>
      </w:r>
    </w:p>
    <w:p w14:paraId="3C7C8CF7" w14:textId="77777777" w:rsidR="00CC2543" w:rsidRPr="00EC06E7" w:rsidRDefault="00CC2543" w:rsidP="00392027">
      <w:pPr>
        <w:rPr>
          <w:rFonts w:cs="Courier New"/>
          <w:szCs w:val="22"/>
          <w:u w:val="single"/>
        </w:rPr>
      </w:pPr>
    </w:p>
    <w:p w14:paraId="1138BEAB" w14:textId="77777777" w:rsidR="00CC2543" w:rsidRPr="00EC06E7" w:rsidRDefault="00CC2543" w:rsidP="00392027">
      <w:pPr>
        <w:rPr>
          <w:rFonts w:cs="Courier New"/>
          <w:szCs w:val="22"/>
          <w:u w:val="single"/>
        </w:rPr>
      </w:pPr>
      <w:r w:rsidRPr="00EC06E7">
        <w:rPr>
          <w:rFonts w:cs="Courier New"/>
          <w:szCs w:val="22"/>
          <w:u w:val="single"/>
        </w:rPr>
        <w:t>Measurement</w:t>
      </w:r>
    </w:p>
    <w:p w14:paraId="48F75EEB" w14:textId="77777777" w:rsidR="00CC2543" w:rsidRPr="00EC06E7" w:rsidRDefault="00CC2543" w:rsidP="00392027">
      <w:pPr>
        <w:rPr>
          <w:rFonts w:cs="Courier New"/>
          <w:szCs w:val="22"/>
        </w:rPr>
      </w:pPr>
      <w:r w:rsidRPr="00EC06E7">
        <w:rPr>
          <w:rFonts w:cs="Courier New"/>
          <w:szCs w:val="22"/>
        </w:rPr>
        <w:t xml:space="preserve">Assets are initially measured at cost, comprising the purchase price, and any costs attributable to bringing the asset to the location and condition necessary for it to be capable of operating in the manner intended by the </w:t>
      </w:r>
      <w:r w:rsidR="005124B6">
        <w:rPr>
          <w:rFonts w:cs="Courier New"/>
          <w:szCs w:val="22"/>
        </w:rPr>
        <w:t>co</w:t>
      </w:r>
      <w:r w:rsidRPr="00EC06E7">
        <w:rPr>
          <w:rFonts w:cs="Courier New"/>
          <w:szCs w:val="22"/>
        </w:rPr>
        <w:t>uncil. Should they be incurred, the Authority would capitalise borrowing costs incurred whilst major assets are under construction.</w:t>
      </w:r>
    </w:p>
    <w:p w14:paraId="55012B12" w14:textId="77777777" w:rsidR="00CC2543" w:rsidRPr="00EC06E7" w:rsidRDefault="00CC2543" w:rsidP="00392027">
      <w:pPr>
        <w:rPr>
          <w:rFonts w:cs="Courier New"/>
          <w:szCs w:val="22"/>
        </w:rPr>
      </w:pPr>
    </w:p>
    <w:p w14:paraId="28DE393E" w14:textId="77777777" w:rsidR="00CC2543" w:rsidRPr="00EC06E7" w:rsidRDefault="00CC2543" w:rsidP="00392027">
      <w:pPr>
        <w:rPr>
          <w:rFonts w:cs="Courier New"/>
          <w:szCs w:val="22"/>
        </w:rPr>
      </w:pPr>
      <w:r w:rsidRPr="00EC06E7">
        <w:rPr>
          <w:rFonts w:cs="Courier New"/>
          <w:szCs w:val="22"/>
        </w:rPr>
        <w:t>Assets are then carried in the Balance Sheet using the following measurement bases:</w:t>
      </w:r>
    </w:p>
    <w:p w14:paraId="7046C1FB" w14:textId="77777777" w:rsidR="00CC2543" w:rsidRPr="00EC06E7" w:rsidRDefault="00CC2543" w:rsidP="00392027">
      <w:pPr>
        <w:numPr>
          <w:ilvl w:val="0"/>
          <w:numId w:val="15"/>
        </w:numPr>
        <w:tabs>
          <w:tab w:val="num" w:pos="900"/>
        </w:tabs>
        <w:ind w:left="900" w:hanging="474"/>
        <w:rPr>
          <w:rFonts w:cs="Courier New"/>
          <w:szCs w:val="22"/>
        </w:rPr>
      </w:pPr>
      <w:proofErr w:type="gramStart"/>
      <w:r w:rsidRPr="00EC06E7">
        <w:rPr>
          <w:rFonts w:cs="Courier New"/>
          <w:szCs w:val="22"/>
        </w:rPr>
        <w:t>Infrastructure, Community Assets, Assets under Construction, and equipment,</w:t>
      </w:r>
      <w:proofErr w:type="gramEnd"/>
      <w:r w:rsidRPr="00EC06E7">
        <w:rPr>
          <w:rFonts w:cs="Courier New"/>
          <w:szCs w:val="22"/>
        </w:rPr>
        <w:t xml:space="preserve"> are held at depreciated historical cost.</w:t>
      </w:r>
    </w:p>
    <w:p w14:paraId="658CBECE" w14:textId="77777777" w:rsidR="00CC2543" w:rsidRPr="00EC06E7" w:rsidRDefault="00CC2543" w:rsidP="00392027">
      <w:pPr>
        <w:numPr>
          <w:ilvl w:val="0"/>
          <w:numId w:val="15"/>
        </w:numPr>
        <w:tabs>
          <w:tab w:val="num" w:pos="900"/>
        </w:tabs>
        <w:ind w:left="900" w:hanging="474"/>
        <w:rPr>
          <w:rFonts w:cs="Courier New"/>
          <w:szCs w:val="22"/>
        </w:rPr>
      </w:pPr>
      <w:r w:rsidRPr="00EC06E7">
        <w:rPr>
          <w:rFonts w:cs="Courier New"/>
          <w:szCs w:val="22"/>
        </w:rPr>
        <w:t xml:space="preserve">All other assets are measured at current value, determined as the amount that would be paid for the asset in its existing use. </w:t>
      </w:r>
    </w:p>
    <w:p w14:paraId="6380D228" w14:textId="77777777" w:rsidR="00CC2543" w:rsidRPr="00EC06E7" w:rsidRDefault="00CC2543" w:rsidP="00392027">
      <w:pPr>
        <w:rPr>
          <w:rFonts w:cs="Courier New"/>
          <w:szCs w:val="22"/>
        </w:rPr>
      </w:pPr>
    </w:p>
    <w:p w14:paraId="600B22E5" w14:textId="77777777" w:rsidR="00CC2543" w:rsidRPr="00EC06E7" w:rsidRDefault="00CC2543" w:rsidP="00392027">
      <w:pPr>
        <w:rPr>
          <w:rFonts w:cs="Courier New"/>
          <w:szCs w:val="22"/>
        </w:rPr>
      </w:pPr>
      <w:r w:rsidRPr="00EC06E7">
        <w:rPr>
          <w:rFonts w:cs="Courier New"/>
          <w:szCs w:val="22"/>
        </w:rPr>
        <w:t xml:space="preserve">In respect of specialised assets, if there is an absence of </w:t>
      </w:r>
      <w:proofErr w:type="gramStart"/>
      <w:r w:rsidRPr="00EC06E7">
        <w:rPr>
          <w:rFonts w:cs="Courier New"/>
          <w:szCs w:val="22"/>
        </w:rPr>
        <w:t>market based</w:t>
      </w:r>
      <w:proofErr w:type="gramEnd"/>
      <w:r w:rsidRPr="00EC06E7">
        <w:rPr>
          <w:rFonts w:cs="Courier New"/>
          <w:szCs w:val="22"/>
        </w:rPr>
        <w:t xml:space="preserve"> evidence of value, depreciated replacement cost is used as an estimate of current value.</w:t>
      </w:r>
    </w:p>
    <w:p w14:paraId="26468748" w14:textId="77777777" w:rsidR="00CC2543" w:rsidRPr="00EC06E7" w:rsidRDefault="00CC2543" w:rsidP="00392027">
      <w:pPr>
        <w:rPr>
          <w:rFonts w:cs="Courier New"/>
          <w:szCs w:val="22"/>
        </w:rPr>
      </w:pPr>
    </w:p>
    <w:p w14:paraId="7AC091B2" w14:textId="77777777" w:rsidR="00CC2543" w:rsidRPr="00EC06E7" w:rsidRDefault="00CC2543" w:rsidP="00392027">
      <w:pPr>
        <w:rPr>
          <w:szCs w:val="20"/>
          <w:lang w:eastAsia="en-US"/>
        </w:rPr>
      </w:pPr>
      <w:r w:rsidRPr="00EC06E7">
        <w:rPr>
          <w:szCs w:val="20"/>
          <w:lang w:eastAsia="en-US"/>
        </w:rPr>
        <w:t>Valuations are provided by Royal Institution of Chartered Surveyors (RICS)-qualified valuers, are on the basis recommended by CIPFA, and accord with the Statement of Asset Valuation Principles and Guidance Notes issued by the RICS. Assets held in the Balance Sheet at current value are revalued sufficiently regularly to ensure that their carrying amount is not materially different from their current value at the year-end, but as a minimum every five years.</w:t>
      </w:r>
    </w:p>
    <w:p w14:paraId="48A250E0" w14:textId="77777777" w:rsidR="00CC2543" w:rsidRPr="00EC06E7" w:rsidRDefault="00CC2543" w:rsidP="00392027">
      <w:pPr>
        <w:rPr>
          <w:rFonts w:cs="Courier New"/>
          <w:szCs w:val="22"/>
        </w:rPr>
      </w:pPr>
    </w:p>
    <w:p w14:paraId="16057AEB" w14:textId="77777777" w:rsidR="00CC2543" w:rsidRPr="00EC06E7" w:rsidRDefault="00CC2543" w:rsidP="00392027">
      <w:pPr>
        <w:rPr>
          <w:rFonts w:cs="Courier New"/>
          <w:szCs w:val="22"/>
        </w:rPr>
      </w:pPr>
      <w:r w:rsidRPr="00EC06E7">
        <w:rPr>
          <w:rFonts w:cs="Courier New"/>
          <w:szCs w:val="22"/>
        </w:rPr>
        <w:t>Increases in valuations are credited to the Revaluation Reserve unless they reverse previous losses charged to the Comprehensive Income and Expenditure Statement, in which case the gain shall be credited to that account. A fall in value will be charged firstly against any balance held in the Revaluation Reserve. If this is insufficient or non-existent, the charge is made to the relevant service line in the Comprehensive Income and Expenditure Statement.</w:t>
      </w:r>
    </w:p>
    <w:p w14:paraId="6B493F2B" w14:textId="77777777" w:rsidR="00CC2543" w:rsidRPr="00EC06E7" w:rsidRDefault="00CC2543" w:rsidP="00392027">
      <w:pPr>
        <w:rPr>
          <w:rFonts w:cs="Courier New"/>
          <w:szCs w:val="22"/>
        </w:rPr>
      </w:pPr>
    </w:p>
    <w:p w14:paraId="74093E7E" w14:textId="77777777" w:rsidR="00CC2543" w:rsidRPr="00EC06E7" w:rsidRDefault="00CC2543" w:rsidP="00392027">
      <w:pPr>
        <w:rPr>
          <w:rFonts w:cs="Courier New"/>
          <w:szCs w:val="22"/>
        </w:rPr>
      </w:pPr>
      <w:r w:rsidRPr="00EC06E7">
        <w:rPr>
          <w:rFonts w:cs="Courier New"/>
          <w:szCs w:val="22"/>
        </w:rPr>
        <w:t>The Revaluation Reserve contains revaluations gains recognised since 1 April 2007 only, the date of its formal inception. Gains arising before that date have been consolidated into the Capital Adjustment Account.</w:t>
      </w:r>
    </w:p>
    <w:p w14:paraId="21AF5AF1" w14:textId="77777777" w:rsidR="00CC2543" w:rsidRPr="00EC06E7" w:rsidRDefault="00CC2543" w:rsidP="00392027">
      <w:pPr>
        <w:rPr>
          <w:rFonts w:cs="Courier New"/>
          <w:szCs w:val="22"/>
        </w:rPr>
      </w:pPr>
    </w:p>
    <w:p w14:paraId="5F408A11" w14:textId="77777777" w:rsidR="00CC2543" w:rsidRPr="00EC06E7" w:rsidRDefault="00CC2543" w:rsidP="00392027">
      <w:pPr>
        <w:rPr>
          <w:rFonts w:cs="Courier New"/>
          <w:szCs w:val="22"/>
        </w:rPr>
      </w:pPr>
      <w:r w:rsidRPr="00EC06E7">
        <w:rPr>
          <w:rFonts w:cs="Courier New"/>
          <w:szCs w:val="22"/>
          <w:u w:val="single"/>
        </w:rPr>
        <w:t>Depreciation</w:t>
      </w:r>
    </w:p>
    <w:p w14:paraId="49FDA90F" w14:textId="77777777" w:rsidR="00CC2543" w:rsidRPr="00EC06E7" w:rsidRDefault="00CC2543" w:rsidP="00392027">
      <w:pPr>
        <w:rPr>
          <w:rFonts w:cs="Courier New"/>
          <w:szCs w:val="22"/>
        </w:rPr>
      </w:pPr>
      <w:r w:rsidRPr="00EC06E7">
        <w:rPr>
          <w:rFonts w:cs="Courier New"/>
          <w:szCs w:val="22"/>
        </w:rPr>
        <w:t>Non-current assets held for sale are not depreciated.</w:t>
      </w:r>
      <w:r>
        <w:rPr>
          <w:rFonts w:cs="Courier New"/>
          <w:szCs w:val="22"/>
        </w:rPr>
        <w:t xml:space="preserve"> </w:t>
      </w:r>
      <w:r w:rsidRPr="00EC06E7">
        <w:rPr>
          <w:rFonts w:cs="Courier New"/>
          <w:szCs w:val="22"/>
        </w:rPr>
        <w:t xml:space="preserve">Other property is depreciated over its useful life on a </w:t>
      </w:r>
      <w:proofErr w:type="gramStart"/>
      <w:r w:rsidRPr="00EC06E7">
        <w:rPr>
          <w:rFonts w:cs="Courier New"/>
          <w:szCs w:val="22"/>
        </w:rPr>
        <w:t>straight line</w:t>
      </w:r>
      <w:proofErr w:type="gramEnd"/>
      <w:r w:rsidRPr="00EC06E7">
        <w:rPr>
          <w:rFonts w:cs="Courier New"/>
          <w:szCs w:val="22"/>
        </w:rPr>
        <w:t xml:space="preserve"> basis. Depreciation is based on the closing value of assets. Components are separately depreciated if</w:t>
      </w:r>
    </w:p>
    <w:p w14:paraId="234B7A18" w14:textId="77777777" w:rsidR="00CC2543" w:rsidRPr="00EC06E7" w:rsidRDefault="00CC2543" w:rsidP="00392027">
      <w:pPr>
        <w:numPr>
          <w:ilvl w:val="0"/>
          <w:numId w:val="1"/>
        </w:numPr>
        <w:tabs>
          <w:tab w:val="clear" w:pos="1440"/>
          <w:tab w:val="num" w:pos="600"/>
        </w:tabs>
        <w:ind w:left="600" w:hanging="240"/>
        <w:rPr>
          <w:rFonts w:cs="Courier New"/>
          <w:szCs w:val="22"/>
        </w:rPr>
      </w:pPr>
      <w:r w:rsidRPr="00EC06E7">
        <w:rPr>
          <w:rFonts w:cs="Courier New"/>
          <w:szCs w:val="22"/>
        </w:rPr>
        <w:t>The total value of the host asset (excluding land) exceeds £0.500m and</w:t>
      </w:r>
    </w:p>
    <w:p w14:paraId="2197B5CD" w14:textId="77777777" w:rsidR="00CC2543" w:rsidRPr="00EC06E7" w:rsidRDefault="00CC2543" w:rsidP="00392027">
      <w:pPr>
        <w:numPr>
          <w:ilvl w:val="0"/>
          <w:numId w:val="1"/>
        </w:numPr>
        <w:tabs>
          <w:tab w:val="clear" w:pos="1440"/>
          <w:tab w:val="num" w:pos="600"/>
        </w:tabs>
        <w:ind w:left="600" w:hanging="240"/>
        <w:rPr>
          <w:rFonts w:cs="Courier New"/>
          <w:szCs w:val="22"/>
        </w:rPr>
      </w:pPr>
      <w:r w:rsidRPr="00EC06E7">
        <w:rPr>
          <w:rFonts w:cs="Courier New"/>
          <w:szCs w:val="22"/>
        </w:rPr>
        <w:t>The value of the component exceeds 20% of the asset value (excluding land)</w:t>
      </w:r>
    </w:p>
    <w:p w14:paraId="54262D19" w14:textId="77777777" w:rsidR="00CC2543" w:rsidRPr="00EC06E7" w:rsidRDefault="00CC2543" w:rsidP="00392027">
      <w:pPr>
        <w:rPr>
          <w:rFonts w:cs="Courier New"/>
          <w:szCs w:val="22"/>
        </w:rPr>
      </w:pPr>
    </w:p>
    <w:tbl>
      <w:tblPr>
        <w:tblW w:w="0" w:type="auto"/>
        <w:tblInd w:w="1066" w:type="dxa"/>
        <w:tblLook w:val="01E0" w:firstRow="1" w:lastRow="1" w:firstColumn="1" w:lastColumn="1" w:noHBand="0" w:noVBand="0"/>
      </w:tblPr>
      <w:tblGrid>
        <w:gridCol w:w="6588"/>
        <w:gridCol w:w="900"/>
      </w:tblGrid>
      <w:tr w:rsidR="00CC2543" w:rsidRPr="00EC06E7" w14:paraId="44EB94C0" w14:textId="77777777" w:rsidTr="00392027">
        <w:tc>
          <w:tcPr>
            <w:tcW w:w="6588" w:type="dxa"/>
          </w:tcPr>
          <w:p w14:paraId="579CF7B0" w14:textId="77777777" w:rsidR="00CC2543" w:rsidRPr="00EC06E7" w:rsidRDefault="00CC2543" w:rsidP="00392027">
            <w:pPr>
              <w:rPr>
                <w:rFonts w:cs="Courier New"/>
                <w:szCs w:val="22"/>
              </w:rPr>
            </w:pPr>
            <w:r w:rsidRPr="00EC06E7">
              <w:rPr>
                <w:rFonts w:cs="Courier New"/>
                <w:szCs w:val="22"/>
              </w:rPr>
              <w:t>Depreciation periods are as follows:</w:t>
            </w:r>
          </w:p>
        </w:tc>
        <w:tc>
          <w:tcPr>
            <w:tcW w:w="900" w:type="dxa"/>
          </w:tcPr>
          <w:p w14:paraId="3BD71273" w14:textId="77777777" w:rsidR="00CC2543" w:rsidRPr="00EC06E7" w:rsidRDefault="00CC2543" w:rsidP="00392027">
            <w:pPr>
              <w:jc w:val="right"/>
              <w:rPr>
                <w:rFonts w:cs="Courier New"/>
                <w:szCs w:val="22"/>
                <w:u w:val="single"/>
              </w:rPr>
            </w:pPr>
          </w:p>
        </w:tc>
      </w:tr>
      <w:tr w:rsidR="00CC2543" w:rsidRPr="00EC06E7" w14:paraId="5C7B5C49" w14:textId="77777777" w:rsidTr="00392027">
        <w:tc>
          <w:tcPr>
            <w:tcW w:w="6588" w:type="dxa"/>
          </w:tcPr>
          <w:p w14:paraId="1CB674D3" w14:textId="77777777" w:rsidR="00CC2543" w:rsidRPr="00EC06E7" w:rsidRDefault="00CC2543" w:rsidP="00392027">
            <w:pPr>
              <w:rPr>
                <w:rFonts w:cs="Courier New"/>
                <w:szCs w:val="22"/>
              </w:rPr>
            </w:pPr>
          </w:p>
        </w:tc>
        <w:tc>
          <w:tcPr>
            <w:tcW w:w="900" w:type="dxa"/>
          </w:tcPr>
          <w:p w14:paraId="1EAC8BC9" w14:textId="77777777" w:rsidR="00CC2543" w:rsidRPr="00EC06E7" w:rsidRDefault="00CC2543" w:rsidP="00392027">
            <w:pPr>
              <w:jc w:val="right"/>
              <w:rPr>
                <w:rFonts w:cs="Courier New"/>
                <w:szCs w:val="22"/>
                <w:u w:val="single"/>
              </w:rPr>
            </w:pPr>
            <w:r w:rsidRPr="00EC06E7">
              <w:rPr>
                <w:rFonts w:cs="Courier New"/>
                <w:szCs w:val="22"/>
                <w:u w:val="single"/>
              </w:rPr>
              <w:t>years</w:t>
            </w:r>
          </w:p>
        </w:tc>
      </w:tr>
      <w:tr w:rsidR="00CC2543" w:rsidRPr="00EC06E7" w14:paraId="76DB2847" w14:textId="77777777" w:rsidTr="00392027">
        <w:tc>
          <w:tcPr>
            <w:tcW w:w="6588" w:type="dxa"/>
          </w:tcPr>
          <w:p w14:paraId="03903431" w14:textId="77777777" w:rsidR="00CC2543" w:rsidRPr="00EC06E7" w:rsidRDefault="00CC2543" w:rsidP="00392027">
            <w:pPr>
              <w:rPr>
                <w:rFonts w:cs="Courier New"/>
                <w:szCs w:val="22"/>
              </w:rPr>
            </w:pPr>
            <w:r w:rsidRPr="00EC06E7">
              <w:rPr>
                <w:rFonts w:cs="Courier New"/>
                <w:szCs w:val="22"/>
              </w:rPr>
              <w:t>Property (excluding components separately identified)</w:t>
            </w:r>
          </w:p>
        </w:tc>
        <w:tc>
          <w:tcPr>
            <w:tcW w:w="900" w:type="dxa"/>
          </w:tcPr>
          <w:p w14:paraId="4E2EDCD8" w14:textId="77777777" w:rsidR="00CC2543" w:rsidRPr="00EC06E7" w:rsidRDefault="00CC2543" w:rsidP="00392027">
            <w:pPr>
              <w:jc w:val="right"/>
              <w:rPr>
                <w:rFonts w:cs="Courier New"/>
                <w:szCs w:val="22"/>
              </w:rPr>
            </w:pPr>
            <w:r w:rsidRPr="00EC06E7">
              <w:rPr>
                <w:rFonts w:cs="Courier New"/>
                <w:szCs w:val="22"/>
              </w:rPr>
              <w:t>5-60</w:t>
            </w:r>
          </w:p>
        </w:tc>
      </w:tr>
      <w:tr w:rsidR="00CC2543" w:rsidRPr="00EC06E7" w14:paraId="2CBF23C3" w14:textId="77777777" w:rsidTr="00392027">
        <w:tc>
          <w:tcPr>
            <w:tcW w:w="6588" w:type="dxa"/>
          </w:tcPr>
          <w:p w14:paraId="50A51584" w14:textId="77777777" w:rsidR="00CC2543" w:rsidRPr="00EC06E7" w:rsidRDefault="00CC2543" w:rsidP="00392027">
            <w:pPr>
              <w:rPr>
                <w:rFonts w:cs="Courier New"/>
                <w:szCs w:val="22"/>
              </w:rPr>
            </w:pPr>
            <w:r w:rsidRPr="00EC06E7">
              <w:rPr>
                <w:rFonts w:cs="Courier New"/>
                <w:szCs w:val="22"/>
              </w:rPr>
              <w:t>Property components - mechanical</w:t>
            </w:r>
          </w:p>
        </w:tc>
        <w:tc>
          <w:tcPr>
            <w:tcW w:w="900" w:type="dxa"/>
          </w:tcPr>
          <w:p w14:paraId="68374E2E" w14:textId="77777777" w:rsidR="00CC2543" w:rsidRPr="00EC06E7" w:rsidRDefault="00CC2543" w:rsidP="00392027">
            <w:pPr>
              <w:jc w:val="right"/>
              <w:rPr>
                <w:rFonts w:cs="Courier New"/>
                <w:szCs w:val="22"/>
              </w:rPr>
            </w:pPr>
            <w:r w:rsidRPr="00EC06E7">
              <w:rPr>
                <w:rFonts w:cs="Courier New"/>
                <w:szCs w:val="22"/>
              </w:rPr>
              <w:t>25</w:t>
            </w:r>
          </w:p>
        </w:tc>
      </w:tr>
      <w:tr w:rsidR="00CC2543" w:rsidRPr="00EC06E7" w14:paraId="27B16384" w14:textId="77777777" w:rsidTr="00392027">
        <w:tc>
          <w:tcPr>
            <w:tcW w:w="6588" w:type="dxa"/>
          </w:tcPr>
          <w:p w14:paraId="3BCBBCA4" w14:textId="77777777" w:rsidR="00CC2543" w:rsidRPr="00EC06E7" w:rsidRDefault="00CC2543" w:rsidP="00392027">
            <w:pPr>
              <w:rPr>
                <w:rFonts w:cs="Courier New"/>
                <w:szCs w:val="22"/>
              </w:rPr>
            </w:pPr>
            <w:r w:rsidRPr="00EC06E7">
              <w:rPr>
                <w:rFonts w:cs="Courier New"/>
                <w:szCs w:val="22"/>
              </w:rPr>
              <w:t>Portable office facilities</w:t>
            </w:r>
          </w:p>
        </w:tc>
        <w:tc>
          <w:tcPr>
            <w:tcW w:w="900" w:type="dxa"/>
          </w:tcPr>
          <w:p w14:paraId="1210C063" w14:textId="77777777" w:rsidR="00CC2543" w:rsidRPr="00EC06E7" w:rsidRDefault="00CC2543" w:rsidP="00392027">
            <w:pPr>
              <w:jc w:val="right"/>
              <w:rPr>
                <w:rFonts w:cs="Courier New"/>
                <w:szCs w:val="22"/>
              </w:rPr>
            </w:pPr>
            <w:r w:rsidRPr="00EC06E7">
              <w:rPr>
                <w:rFonts w:cs="Courier New"/>
                <w:szCs w:val="22"/>
              </w:rPr>
              <w:t>10-15</w:t>
            </w:r>
          </w:p>
        </w:tc>
      </w:tr>
      <w:tr w:rsidR="00CC2543" w:rsidRPr="00EC06E7" w14:paraId="6DE3F95E" w14:textId="77777777" w:rsidTr="00392027">
        <w:tc>
          <w:tcPr>
            <w:tcW w:w="6588" w:type="dxa"/>
          </w:tcPr>
          <w:p w14:paraId="5B4398B7" w14:textId="77777777" w:rsidR="00CC2543" w:rsidRPr="00EC06E7" w:rsidRDefault="00CC2543" w:rsidP="00392027">
            <w:pPr>
              <w:rPr>
                <w:rFonts w:cs="Courier New"/>
                <w:szCs w:val="22"/>
              </w:rPr>
            </w:pPr>
            <w:r w:rsidRPr="00EC06E7">
              <w:rPr>
                <w:rFonts w:cs="Courier New"/>
                <w:szCs w:val="22"/>
              </w:rPr>
              <w:t xml:space="preserve">Vehicles </w:t>
            </w:r>
          </w:p>
        </w:tc>
        <w:tc>
          <w:tcPr>
            <w:tcW w:w="900" w:type="dxa"/>
          </w:tcPr>
          <w:p w14:paraId="4B46958C" w14:textId="77777777" w:rsidR="00CC2543" w:rsidRPr="00EC06E7" w:rsidRDefault="00CC2543" w:rsidP="00392027">
            <w:pPr>
              <w:jc w:val="right"/>
              <w:rPr>
                <w:rFonts w:cs="Courier New"/>
                <w:szCs w:val="22"/>
              </w:rPr>
            </w:pPr>
            <w:r w:rsidRPr="00EC06E7">
              <w:rPr>
                <w:rFonts w:cs="Courier New"/>
                <w:szCs w:val="22"/>
              </w:rPr>
              <w:t>3-10</w:t>
            </w:r>
          </w:p>
        </w:tc>
      </w:tr>
      <w:tr w:rsidR="00CC2543" w:rsidRPr="00EC06E7" w14:paraId="1BBC19E8" w14:textId="77777777" w:rsidTr="00392027">
        <w:tc>
          <w:tcPr>
            <w:tcW w:w="6588" w:type="dxa"/>
          </w:tcPr>
          <w:p w14:paraId="5DE27F5C" w14:textId="77777777" w:rsidR="00CC2543" w:rsidRPr="00EC06E7" w:rsidRDefault="00CC2543" w:rsidP="00392027">
            <w:pPr>
              <w:rPr>
                <w:rFonts w:cs="Courier New"/>
                <w:szCs w:val="22"/>
              </w:rPr>
            </w:pPr>
            <w:r w:rsidRPr="00EC06E7">
              <w:rPr>
                <w:rFonts w:cs="Courier New"/>
                <w:szCs w:val="22"/>
              </w:rPr>
              <w:t>IT equipment</w:t>
            </w:r>
          </w:p>
        </w:tc>
        <w:tc>
          <w:tcPr>
            <w:tcW w:w="900" w:type="dxa"/>
          </w:tcPr>
          <w:p w14:paraId="553CE222" w14:textId="77777777" w:rsidR="00CC2543" w:rsidRPr="00EC06E7" w:rsidRDefault="00CC2543" w:rsidP="00392027">
            <w:pPr>
              <w:jc w:val="right"/>
              <w:rPr>
                <w:rFonts w:cs="Courier New"/>
                <w:szCs w:val="22"/>
              </w:rPr>
            </w:pPr>
            <w:r w:rsidRPr="00EC06E7">
              <w:rPr>
                <w:rFonts w:cs="Courier New"/>
                <w:szCs w:val="22"/>
              </w:rPr>
              <w:t>3-5</w:t>
            </w:r>
          </w:p>
        </w:tc>
      </w:tr>
      <w:tr w:rsidR="00CC2543" w:rsidRPr="00EC06E7" w14:paraId="7E5015A9" w14:textId="77777777" w:rsidTr="00392027">
        <w:tc>
          <w:tcPr>
            <w:tcW w:w="6588" w:type="dxa"/>
          </w:tcPr>
          <w:p w14:paraId="1A3A8DCF" w14:textId="77777777" w:rsidR="00CC2543" w:rsidRPr="00EC06E7" w:rsidRDefault="00CC2543" w:rsidP="00392027">
            <w:pPr>
              <w:rPr>
                <w:rFonts w:cs="Courier New"/>
                <w:szCs w:val="22"/>
              </w:rPr>
            </w:pPr>
            <w:r w:rsidRPr="00EC06E7">
              <w:rPr>
                <w:rFonts w:cs="Courier New"/>
                <w:szCs w:val="22"/>
              </w:rPr>
              <w:t>Other equipment</w:t>
            </w:r>
          </w:p>
        </w:tc>
        <w:tc>
          <w:tcPr>
            <w:tcW w:w="900" w:type="dxa"/>
          </w:tcPr>
          <w:p w14:paraId="535EFE56" w14:textId="77777777" w:rsidR="00CC2543" w:rsidRPr="00EC06E7" w:rsidRDefault="00CC2543" w:rsidP="00392027">
            <w:pPr>
              <w:jc w:val="right"/>
              <w:rPr>
                <w:rFonts w:cs="Courier New"/>
                <w:szCs w:val="22"/>
              </w:rPr>
            </w:pPr>
            <w:r w:rsidRPr="00EC06E7">
              <w:rPr>
                <w:rFonts w:cs="Courier New"/>
                <w:szCs w:val="22"/>
              </w:rPr>
              <w:t>5-15</w:t>
            </w:r>
          </w:p>
        </w:tc>
      </w:tr>
    </w:tbl>
    <w:p w14:paraId="615BEE3A" w14:textId="77777777" w:rsidR="00CC2543" w:rsidRPr="00EC06E7" w:rsidRDefault="00CC2543" w:rsidP="00392027">
      <w:pPr>
        <w:rPr>
          <w:rFonts w:cs="Courier New"/>
          <w:szCs w:val="22"/>
        </w:rPr>
      </w:pPr>
    </w:p>
    <w:p w14:paraId="1ECF0E66" w14:textId="77777777" w:rsidR="00CC2543" w:rsidRPr="00EC06E7" w:rsidRDefault="00CC2543" w:rsidP="00392027">
      <w:pPr>
        <w:rPr>
          <w:rFonts w:cs="Courier New"/>
          <w:szCs w:val="22"/>
        </w:rPr>
      </w:pPr>
      <w:r w:rsidRPr="00EC06E7">
        <w:rPr>
          <w:rFonts w:cs="Courier New"/>
          <w:szCs w:val="22"/>
        </w:rPr>
        <w:t>Revaluation gains are also depreciated by transfer of the difference between the current valuation depreciation charge and the historic cost depreciation charge, from the Revaluation Reserve to the Capital Adjustment Account.</w:t>
      </w:r>
    </w:p>
    <w:p w14:paraId="0868250B" w14:textId="77777777" w:rsidR="00CC2543" w:rsidRPr="00EC06E7" w:rsidRDefault="00CC2543" w:rsidP="00392027">
      <w:pPr>
        <w:rPr>
          <w:rFonts w:cs="Courier New"/>
          <w:szCs w:val="22"/>
          <w:u w:val="single"/>
        </w:rPr>
      </w:pPr>
    </w:p>
    <w:p w14:paraId="1E61BD23" w14:textId="77777777" w:rsidR="00CC2543" w:rsidRPr="00EC06E7" w:rsidRDefault="00CC2543" w:rsidP="00392027">
      <w:pPr>
        <w:rPr>
          <w:rFonts w:cs="Courier New"/>
          <w:szCs w:val="22"/>
        </w:rPr>
      </w:pPr>
      <w:r w:rsidRPr="00EC06E7">
        <w:rPr>
          <w:rFonts w:cs="Courier New"/>
          <w:szCs w:val="22"/>
          <w:u w:val="single"/>
        </w:rPr>
        <w:t>Impairment</w:t>
      </w:r>
    </w:p>
    <w:p w14:paraId="26A1ACA7" w14:textId="77777777" w:rsidR="00CC2543" w:rsidRPr="00EC06E7" w:rsidRDefault="00CC2543" w:rsidP="00392027">
      <w:pPr>
        <w:rPr>
          <w:rFonts w:cs="Courier New"/>
          <w:szCs w:val="22"/>
        </w:rPr>
      </w:pPr>
      <w:r w:rsidRPr="00EC06E7">
        <w:rPr>
          <w:rFonts w:cs="Courier New"/>
          <w:szCs w:val="22"/>
        </w:rPr>
        <w:t>All assets are reviewed annually for impairment. Impairment losses are charged against revaluations held in the Revaluation Reserve. If these are inadequate the loss is charged to the relevant service line in the Comprehensive Income and Expenditure Statement.  If an impairment loss is subsequently reversed, the reversal, up to the amount of the original loss adjusted for depreciation, is credited to the relevant service line in the Comprehensive Income and Expenditure Statement.</w:t>
      </w:r>
    </w:p>
    <w:p w14:paraId="23693A57" w14:textId="77777777" w:rsidR="00CC2543" w:rsidRPr="00EC06E7" w:rsidRDefault="00CC2543" w:rsidP="00392027">
      <w:pPr>
        <w:rPr>
          <w:rFonts w:cs="Courier New"/>
          <w:szCs w:val="22"/>
        </w:rPr>
      </w:pPr>
    </w:p>
    <w:p w14:paraId="16EFF3E0" w14:textId="77777777" w:rsidR="00CC2543" w:rsidRPr="00EC06E7" w:rsidRDefault="00CC2543" w:rsidP="00392027">
      <w:pPr>
        <w:rPr>
          <w:rFonts w:cs="Courier New"/>
          <w:szCs w:val="22"/>
        </w:rPr>
      </w:pPr>
      <w:r w:rsidRPr="00EC06E7">
        <w:rPr>
          <w:rFonts w:cs="Courier New"/>
          <w:szCs w:val="22"/>
          <w:u w:val="single"/>
        </w:rPr>
        <w:t>Disposal and Non-Current Assets Held for Sale</w:t>
      </w:r>
    </w:p>
    <w:p w14:paraId="0E6B8ACE" w14:textId="77777777" w:rsidR="00CC2543" w:rsidRPr="00EC06E7" w:rsidRDefault="00CC2543" w:rsidP="00392027">
      <w:pPr>
        <w:rPr>
          <w:rFonts w:cs="Courier New"/>
          <w:szCs w:val="22"/>
        </w:rPr>
      </w:pPr>
      <w:r w:rsidRPr="00EC06E7">
        <w:rPr>
          <w:rFonts w:cs="Courier New"/>
          <w:szCs w:val="22"/>
        </w:rPr>
        <w:t>When it becomes probable that the carrying amount of an asset will be recovered principally through a sale transaction rather than through continuing use, it is reclassified as an Asset Held for Sale and shown within current assets. The asset is re-valued immediately and carried at the lower of this amount and current value less costs to sell. If assets subsequently fail to meet the criteria to be classified as Assets Held for Sale, they are reclassified back to non-current assets and valued at the lower of their carrying amount before they were classified as held for sale (adjusted for depreciation, amortisation or revaluations) and their recoverable amount at the date of the decision not to sell.</w:t>
      </w:r>
    </w:p>
    <w:p w14:paraId="4EB8BDAD" w14:textId="77777777" w:rsidR="00CC2543" w:rsidRPr="00EC06E7" w:rsidRDefault="00CC2543" w:rsidP="00392027">
      <w:pPr>
        <w:rPr>
          <w:rFonts w:cs="Courier New"/>
          <w:szCs w:val="22"/>
        </w:rPr>
      </w:pPr>
    </w:p>
    <w:p w14:paraId="20518292" w14:textId="77777777" w:rsidR="00CC2543" w:rsidRPr="00EC06E7" w:rsidRDefault="00CC2543" w:rsidP="00392027">
      <w:pPr>
        <w:rPr>
          <w:rFonts w:cs="Courier New"/>
          <w:szCs w:val="22"/>
        </w:rPr>
      </w:pPr>
      <w:r w:rsidRPr="00EC06E7">
        <w:rPr>
          <w:rFonts w:cs="Courier New"/>
          <w:szCs w:val="22"/>
        </w:rPr>
        <w:t>On disposal the carrying amount of an asset is written off to the Other Operating Expenditure line in the Comprehensive Income and Expenditure Statement, as part of the gain or loss on disposal. Receipts exceeding £10,000 from disposal are credited to the same line; lesser receipts are included as service income in cost of services. Any revaluation gains accumulated in the Revaluation Reserve are transferred to the Capital Adjustment Account.</w:t>
      </w:r>
    </w:p>
    <w:p w14:paraId="720AE404" w14:textId="77777777" w:rsidR="00CC2543" w:rsidRPr="00EC06E7" w:rsidRDefault="00CC2543" w:rsidP="00392027">
      <w:pPr>
        <w:rPr>
          <w:rFonts w:cs="Courier New"/>
          <w:b/>
          <w:szCs w:val="22"/>
        </w:rPr>
      </w:pPr>
    </w:p>
    <w:p w14:paraId="26DA6A83" w14:textId="77777777" w:rsidR="00CC2543" w:rsidRPr="00EC06E7" w:rsidRDefault="00CC2543" w:rsidP="00392027">
      <w:pPr>
        <w:rPr>
          <w:rFonts w:cs="Courier New"/>
          <w:szCs w:val="22"/>
          <w:u w:val="single"/>
        </w:rPr>
      </w:pPr>
      <w:r w:rsidRPr="00EC06E7">
        <w:rPr>
          <w:rFonts w:cs="Courier New"/>
          <w:szCs w:val="22"/>
          <w:u w:val="single"/>
        </w:rPr>
        <w:t>Capital Charges and Council Tax</w:t>
      </w:r>
    </w:p>
    <w:p w14:paraId="2434DD36" w14:textId="77777777" w:rsidR="00CC2543" w:rsidRPr="00EC06E7" w:rsidRDefault="00CC2543" w:rsidP="00392027">
      <w:pPr>
        <w:rPr>
          <w:rFonts w:cs="Courier New"/>
          <w:szCs w:val="22"/>
        </w:rPr>
      </w:pPr>
      <w:r w:rsidRPr="00EC06E7">
        <w:rPr>
          <w:rFonts w:cs="Courier New"/>
          <w:szCs w:val="22"/>
        </w:rPr>
        <w:t>The postings in the Comprehensive Income and Expenditure Statement in respect of depreciation, impairment, disposal and revaluation are reversed in the Movement in Reserves Statement to avoid impacting on council tax. Capital Receipts exceeding £10,000 are reversed to the Capital Receipts Reserve. Other reversals are to the Capital Adjustment Account.</w:t>
      </w:r>
    </w:p>
    <w:p w14:paraId="1B172E3F" w14:textId="77777777" w:rsidR="00CC2543" w:rsidRPr="00EC06E7" w:rsidRDefault="00CC2543" w:rsidP="00392027">
      <w:pPr>
        <w:rPr>
          <w:rFonts w:cs="Courier New"/>
          <w:szCs w:val="22"/>
        </w:rPr>
      </w:pPr>
    </w:p>
    <w:p w14:paraId="6355E141" w14:textId="77777777" w:rsidR="00CC2543" w:rsidRPr="00EC06E7" w:rsidRDefault="00CC2543" w:rsidP="00392027">
      <w:pPr>
        <w:spacing w:after="120"/>
        <w:rPr>
          <w:rFonts w:cs="Arial"/>
          <w:b/>
          <w:szCs w:val="22"/>
          <w:lang w:eastAsia="en-US"/>
        </w:rPr>
      </w:pPr>
      <w:r w:rsidRPr="00EC06E7">
        <w:rPr>
          <w:rFonts w:cs="Arial"/>
          <w:b/>
          <w:szCs w:val="22"/>
          <w:lang w:eastAsia="en-US"/>
        </w:rPr>
        <w:t>Provisions</w:t>
      </w:r>
    </w:p>
    <w:p w14:paraId="70AF678E" w14:textId="77777777" w:rsidR="00CC2543" w:rsidRPr="00EC06E7" w:rsidRDefault="00CC2543" w:rsidP="00392027">
      <w:pPr>
        <w:rPr>
          <w:rFonts w:cs="Courier New"/>
          <w:szCs w:val="22"/>
        </w:rPr>
      </w:pPr>
      <w:r w:rsidRPr="00EC06E7">
        <w:rPr>
          <w:rFonts w:cs="Courier New"/>
          <w:szCs w:val="22"/>
        </w:rPr>
        <w:t xml:space="preserve">Provisions are made where an event has taken place that gives the </w:t>
      </w:r>
      <w:r w:rsidR="005124B6">
        <w:rPr>
          <w:rFonts w:cs="Courier New"/>
          <w:szCs w:val="22"/>
        </w:rPr>
        <w:t>c</w:t>
      </w:r>
      <w:r w:rsidRPr="00EC06E7">
        <w:rPr>
          <w:rFonts w:cs="Courier New"/>
          <w:szCs w:val="22"/>
        </w:rPr>
        <w:t>ouncil an obligation that probably requires settlement by a transfer of economic benefits, but where the timing is uncertain. Provisions are charged to the appropriate revenue account, Expenditure, when incurred, is charged direct to the provision.</w:t>
      </w:r>
    </w:p>
    <w:p w14:paraId="1424B6D6" w14:textId="77777777" w:rsidR="00CC2543" w:rsidRDefault="00CC2543" w:rsidP="00392027">
      <w:pPr>
        <w:rPr>
          <w:rFonts w:cs="Courier New"/>
          <w:b/>
          <w:szCs w:val="22"/>
        </w:rPr>
      </w:pPr>
    </w:p>
    <w:p w14:paraId="5F86FA25" w14:textId="77777777" w:rsidR="00CC2543" w:rsidRPr="00EC06E7" w:rsidRDefault="00CC2543" w:rsidP="00392027">
      <w:pPr>
        <w:spacing w:after="120"/>
        <w:rPr>
          <w:rFonts w:cs="Arial"/>
          <w:b/>
          <w:szCs w:val="22"/>
          <w:lang w:eastAsia="en-US"/>
        </w:rPr>
      </w:pPr>
      <w:r w:rsidRPr="00EC06E7">
        <w:rPr>
          <w:rFonts w:cs="Arial"/>
          <w:b/>
          <w:szCs w:val="22"/>
          <w:lang w:eastAsia="en-US"/>
        </w:rPr>
        <w:t>Reserves</w:t>
      </w:r>
    </w:p>
    <w:p w14:paraId="58374571" w14:textId="77777777" w:rsidR="00CC2543" w:rsidRPr="00EC06E7" w:rsidRDefault="00CC2543" w:rsidP="00392027">
      <w:pPr>
        <w:rPr>
          <w:rFonts w:cs="Courier New"/>
          <w:szCs w:val="22"/>
        </w:rPr>
      </w:pPr>
      <w:r w:rsidRPr="00EC06E7">
        <w:rPr>
          <w:rFonts w:cs="Courier New"/>
          <w:szCs w:val="22"/>
        </w:rPr>
        <w:t>Reserves are created by appropriating amounts from the General Fund Balance in the Movement in Reserves Statement. When expenditure to be financed from the reserve is incurred, it is charged to the relevant service in the Comprehensive Income and Expenditure Statement, and the reserve is appropriated back into the General Fund Balance through the Movement in Reserves Statement.</w:t>
      </w:r>
    </w:p>
    <w:p w14:paraId="5B6FDE62" w14:textId="77777777" w:rsidR="00CC2543" w:rsidRPr="00EC06E7" w:rsidRDefault="00CC2543" w:rsidP="00392027">
      <w:pPr>
        <w:rPr>
          <w:rFonts w:cs="Courier New"/>
          <w:szCs w:val="22"/>
        </w:rPr>
      </w:pPr>
    </w:p>
    <w:p w14:paraId="6DB349BD" w14:textId="77777777" w:rsidR="00CC2543" w:rsidRPr="00EC06E7" w:rsidRDefault="00CC2543" w:rsidP="00392027">
      <w:pPr>
        <w:spacing w:after="120"/>
        <w:rPr>
          <w:rFonts w:cs="Arial"/>
          <w:b/>
          <w:szCs w:val="22"/>
          <w:lang w:eastAsia="en-US"/>
        </w:rPr>
      </w:pPr>
      <w:r w:rsidRPr="00EC06E7">
        <w:rPr>
          <w:rFonts w:cs="Arial"/>
          <w:b/>
          <w:szCs w:val="22"/>
          <w:lang w:eastAsia="en-US"/>
        </w:rPr>
        <w:t xml:space="preserve">Revenue Expenditure Funded </w:t>
      </w:r>
      <w:proofErr w:type="gramStart"/>
      <w:r w:rsidRPr="00EC06E7">
        <w:rPr>
          <w:rFonts w:cs="Arial"/>
          <w:b/>
          <w:szCs w:val="22"/>
          <w:lang w:eastAsia="en-US"/>
        </w:rPr>
        <w:t>From</w:t>
      </w:r>
      <w:proofErr w:type="gramEnd"/>
      <w:r w:rsidRPr="00EC06E7">
        <w:rPr>
          <w:rFonts w:cs="Arial"/>
          <w:b/>
          <w:szCs w:val="22"/>
          <w:lang w:eastAsia="en-US"/>
        </w:rPr>
        <w:t xml:space="preserve"> Capital Under Statute</w:t>
      </w:r>
    </w:p>
    <w:p w14:paraId="1220C655" w14:textId="77777777" w:rsidR="00CC2543" w:rsidRPr="00EC06E7" w:rsidRDefault="00CC2543" w:rsidP="00392027">
      <w:pPr>
        <w:rPr>
          <w:rFonts w:cs="Courier New"/>
          <w:szCs w:val="22"/>
        </w:rPr>
      </w:pPr>
      <w:r w:rsidRPr="00EC06E7">
        <w:rPr>
          <w:rFonts w:cs="Courier New"/>
          <w:szCs w:val="22"/>
        </w:rPr>
        <w:t xml:space="preserve">Expenditure incurred during the year that may be capitalised under statutory provision but does not result in the creation of a non-current asset, has been charged as expenditure to the relevant service in the Comprehensive Income and Expenditure Statement. </w:t>
      </w:r>
    </w:p>
    <w:p w14:paraId="0E65694C" w14:textId="77777777" w:rsidR="00CC2543" w:rsidRPr="00EC06E7" w:rsidRDefault="00CC2543" w:rsidP="00392027">
      <w:pPr>
        <w:rPr>
          <w:rFonts w:cs="Courier New"/>
          <w:szCs w:val="22"/>
        </w:rPr>
      </w:pPr>
    </w:p>
    <w:p w14:paraId="638547D9" w14:textId="77777777" w:rsidR="00CC2543" w:rsidRPr="00EC06E7" w:rsidRDefault="00CC2543" w:rsidP="00392027">
      <w:pPr>
        <w:rPr>
          <w:rFonts w:cs="Arial"/>
          <w:szCs w:val="22"/>
          <w:lang w:eastAsia="en-US"/>
        </w:rPr>
      </w:pPr>
      <w:r w:rsidRPr="00EC06E7">
        <w:rPr>
          <w:rFonts w:cs="Courier New"/>
          <w:szCs w:val="22"/>
        </w:rPr>
        <w:t xml:space="preserve">If the Authority has determined to use capital resources to meet the cost (as opposed to funding from revenue) a transfer is done in the </w:t>
      </w:r>
      <w:r w:rsidRPr="00EC06E7">
        <w:rPr>
          <w:rFonts w:cs="Arial"/>
          <w:szCs w:val="22"/>
          <w:lang w:eastAsia="en-US"/>
        </w:rPr>
        <w:t>Movement in Reserves Statement, from the General Fund Balance to the Capital Adjustment Account, so that there is no impact on the council tax.</w:t>
      </w:r>
    </w:p>
    <w:p w14:paraId="0B22355D" w14:textId="77777777" w:rsidR="00CC2543" w:rsidRPr="00EC06E7" w:rsidRDefault="00CC2543" w:rsidP="00392027">
      <w:pPr>
        <w:rPr>
          <w:rFonts w:cs="Courier New"/>
          <w:szCs w:val="22"/>
        </w:rPr>
      </w:pPr>
    </w:p>
    <w:p w14:paraId="3A65E8FB" w14:textId="77777777" w:rsidR="00CC2543" w:rsidRPr="00EC06E7" w:rsidRDefault="00CC2543" w:rsidP="00392027">
      <w:pPr>
        <w:spacing w:after="120"/>
        <w:rPr>
          <w:rFonts w:cs="Arial"/>
          <w:b/>
          <w:szCs w:val="22"/>
          <w:lang w:eastAsia="en-US"/>
        </w:rPr>
      </w:pPr>
      <w:r w:rsidRPr="00EC06E7">
        <w:rPr>
          <w:rFonts w:cs="Arial"/>
          <w:b/>
          <w:szCs w:val="22"/>
          <w:lang w:eastAsia="en-US"/>
        </w:rPr>
        <w:t>Value Added Tax</w:t>
      </w:r>
    </w:p>
    <w:p w14:paraId="72A7C7DD" w14:textId="77777777" w:rsidR="00CC2543" w:rsidRPr="00EC06E7" w:rsidRDefault="00CC2543" w:rsidP="00392027">
      <w:pPr>
        <w:tabs>
          <w:tab w:val="left" w:pos="486"/>
        </w:tabs>
        <w:rPr>
          <w:szCs w:val="20"/>
          <w:lang w:eastAsia="en-US"/>
        </w:rPr>
      </w:pPr>
      <w:r w:rsidRPr="00EC06E7">
        <w:rPr>
          <w:szCs w:val="20"/>
          <w:lang w:eastAsia="en-US"/>
        </w:rPr>
        <w:t>VAT is included in the accounts only to the extent that it is irrecoverable.</w:t>
      </w:r>
    </w:p>
    <w:p w14:paraId="29AB4B98" w14:textId="77777777" w:rsidR="00CC2543" w:rsidRPr="00EC06E7" w:rsidRDefault="00CC2543" w:rsidP="00392027">
      <w:pPr>
        <w:tabs>
          <w:tab w:val="left" w:pos="486"/>
        </w:tabs>
        <w:rPr>
          <w:szCs w:val="20"/>
          <w:lang w:eastAsia="en-US"/>
        </w:rPr>
      </w:pPr>
    </w:p>
    <w:p w14:paraId="2B7FC5AF" w14:textId="77777777" w:rsidR="00CC2543" w:rsidRDefault="00CC2543" w:rsidP="00392027">
      <w:pPr>
        <w:jc w:val="left"/>
        <w:rPr>
          <w:rFonts w:cs="Arial"/>
          <w:b/>
          <w:szCs w:val="22"/>
          <w:lang w:eastAsia="en-US"/>
        </w:rPr>
      </w:pPr>
      <w:r>
        <w:rPr>
          <w:rFonts w:cs="Arial"/>
          <w:b/>
          <w:szCs w:val="22"/>
          <w:lang w:eastAsia="en-US"/>
        </w:rPr>
        <w:br w:type="page"/>
      </w:r>
    </w:p>
    <w:p w14:paraId="5FCF9EA4" w14:textId="77777777" w:rsidR="00CC2543" w:rsidRPr="00EC06E7" w:rsidRDefault="00CC2543" w:rsidP="00392027">
      <w:pPr>
        <w:spacing w:after="120"/>
        <w:rPr>
          <w:rFonts w:cs="Arial"/>
          <w:b/>
          <w:szCs w:val="22"/>
          <w:lang w:eastAsia="en-US"/>
        </w:rPr>
      </w:pPr>
      <w:r w:rsidRPr="00EC06E7">
        <w:rPr>
          <w:rFonts w:cs="Arial"/>
          <w:b/>
          <w:szCs w:val="22"/>
          <w:lang w:eastAsia="en-US"/>
        </w:rPr>
        <w:t>Fair Value Measurement</w:t>
      </w:r>
    </w:p>
    <w:p w14:paraId="3B05F223" w14:textId="77777777" w:rsidR="00CC2543" w:rsidRPr="00EC06E7" w:rsidRDefault="00CC2543" w:rsidP="00392027">
      <w:pPr>
        <w:autoSpaceDE w:val="0"/>
        <w:autoSpaceDN w:val="0"/>
        <w:adjustRightInd w:val="0"/>
        <w:rPr>
          <w:rFonts w:cs="Courier New"/>
          <w:szCs w:val="22"/>
        </w:rPr>
      </w:pPr>
      <w:r w:rsidRPr="00EC06E7">
        <w:rPr>
          <w:rFonts w:cs="Courier New"/>
          <w:szCs w:val="22"/>
        </w:rPr>
        <w:t xml:space="preserve">The </w:t>
      </w:r>
      <w:r w:rsidR="005124B6">
        <w:rPr>
          <w:rFonts w:cs="Courier New"/>
          <w:szCs w:val="22"/>
        </w:rPr>
        <w:t>c</w:t>
      </w:r>
      <w:r w:rsidRPr="00EC06E7">
        <w:rPr>
          <w:rFonts w:cs="Courier New"/>
          <w:szCs w:val="22"/>
        </w:rPr>
        <w:t>ouncil measures some of its non-financial assets such as investment properties at fair value at each reporting date. Fair value is the price that would be received to sell an asset or paid to transfer a liability in an orderly transaction between market participants at the measurement date.</w:t>
      </w:r>
    </w:p>
    <w:p w14:paraId="6E270C84" w14:textId="77777777" w:rsidR="00CC2543" w:rsidRPr="00EC06E7" w:rsidRDefault="00CC2543" w:rsidP="00392027">
      <w:pPr>
        <w:autoSpaceDE w:val="0"/>
        <w:autoSpaceDN w:val="0"/>
        <w:adjustRightInd w:val="0"/>
        <w:rPr>
          <w:rFonts w:cs="Courier New"/>
          <w:szCs w:val="22"/>
        </w:rPr>
      </w:pPr>
    </w:p>
    <w:p w14:paraId="6B18220E" w14:textId="77777777" w:rsidR="00CC2543" w:rsidRPr="00EC06E7" w:rsidRDefault="00CC2543" w:rsidP="00392027">
      <w:pPr>
        <w:autoSpaceDE w:val="0"/>
        <w:autoSpaceDN w:val="0"/>
        <w:adjustRightInd w:val="0"/>
        <w:rPr>
          <w:rFonts w:cs="Courier New"/>
          <w:szCs w:val="22"/>
        </w:rPr>
      </w:pPr>
      <w:r w:rsidRPr="00EC06E7">
        <w:rPr>
          <w:rFonts w:cs="Courier New"/>
          <w:szCs w:val="22"/>
        </w:rPr>
        <w:t>The fair value measurement assumes that the transaction to sell the asset or transfer the liability takes place either:</w:t>
      </w:r>
    </w:p>
    <w:p w14:paraId="17DF67E7" w14:textId="77777777" w:rsidR="00CC2543" w:rsidRPr="00EC06E7" w:rsidRDefault="00CC2543" w:rsidP="00392027">
      <w:pPr>
        <w:pStyle w:val="ListParagraph"/>
        <w:numPr>
          <w:ilvl w:val="0"/>
          <w:numId w:val="9"/>
        </w:numPr>
        <w:tabs>
          <w:tab w:val="left" w:pos="360"/>
          <w:tab w:val="center" w:pos="4153"/>
          <w:tab w:val="right" w:pos="8306"/>
        </w:tabs>
        <w:spacing w:after="120"/>
        <w:rPr>
          <w:rFonts w:cs="Courier New"/>
          <w:color w:val="000000" w:themeColor="text1"/>
          <w:szCs w:val="22"/>
        </w:rPr>
      </w:pPr>
      <w:r w:rsidRPr="00EC06E7">
        <w:rPr>
          <w:rFonts w:cs="Courier New"/>
          <w:color w:val="000000" w:themeColor="text1"/>
          <w:szCs w:val="22"/>
        </w:rPr>
        <w:t>in the principal market for the asset or liability, or</w:t>
      </w:r>
    </w:p>
    <w:p w14:paraId="70A1C349" w14:textId="77777777" w:rsidR="00CC2543" w:rsidRPr="00EC06E7" w:rsidRDefault="00CC2543" w:rsidP="00392027">
      <w:pPr>
        <w:pStyle w:val="ListParagraph"/>
        <w:numPr>
          <w:ilvl w:val="0"/>
          <w:numId w:val="9"/>
        </w:numPr>
        <w:tabs>
          <w:tab w:val="left" w:pos="360"/>
          <w:tab w:val="center" w:pos="4153"/>
          <w:tab w:val="right" w:pos="8306"/>
        </w:tabs>
        <w:spacing w:after="120"/>
        <w:rPr>
          <w:rFonts w:cs="Courier New"/>
          <w:color w:val="000000" w:themeColor="text1"/>
          <w:szCs w:val="22"/>
        </w:rPr>
      </w:pPr>
      <w:r w:rsidRPr="00EC06E7">
        <w:rPr>
          <w:rFonts w:cs="Courier New"/>
          <w:color w:val="000000" w:themeColor="text1"/>
          <w:szCs w:val="22"/>
        </w:rPr>
        <w:t>in the absence of a principal market, in the most advantageous market for the asset or liability.</w:t>
      </w:r>
    </w:p>
    <w:p w14:paraId="08CDB478" w14:textId="77777777" w:rsidR="00CC2543" w:rsidRPr="00EC06E7" w:rsidRDefault="00CC2543" w:rsidP="00392027">
      <w:pPr>
        <w:autoSpaceDE w:val="0"/>
        <w:autoSpaceDN w:val="0"/>
        <w:adjustRightInd w:val="0"/>
        <w:rPr>
          <w:rFonts w:cs="Courier New"/>
          <w:szCs w:val="22"/>
        </w:rPr>
      </w:pPr>
      <w:r w:rsidRPr="00EC06E7">
        <w:rPr>
          <w:rFonts w:cs="Courier New"/>
          <w:szCs w:val="22"/>
        </w:rPr>
        <w:t xml:space="preserve">Valuations of non-financial assets are provided by </w:t>
      </w:r>
      <w:r w:rsidRPr="00EC06E7">
        <w:rPr>
          <w:szCs w:val="20"/>
          <w:lang w:eastAsia="en-US"/>
        </w:rPr>
        <w:t xml:space="preserve">Royal Institution of Chartered Surveyors </w:t>
      </w:r>
      <w:r w:rsidRPr="00EC06E7">
        <w:rPr>
          <w:rFonts w:cs="Courier New"/>
          <w:szCs w:val="22"/>
        </w:rPr>
        <w:t xml:space="preserve">(RICS)-qualified valuers, are on the basis recommended by CIPFA, and accord with the Statement of Asset Valuation Principles and Guidance Notes issued by the RICS. </w:t>
      </w:r>
    </w:p>
    <w:p w14:paraId="56911744" w14:textId="77777777" w:rsidR="00CC2543" w:rsidRPr="00EC06E7" w:rsidRDefault="00CC2543" w:rsidP="00392027">
      <w:pPr>
        <w:autoSpaceDE w:val="0"/>
        <w:autoSpaceDN w:val="0"/>
        <w:adjustRightInd w:val="0"/>
        <w:rPr>
          <w:rFonts w:cs="Courier New"/>
          <w:szCs w:val="22"/>
        </w:rPr>
      </w:pPr>
    </w:p>
    <w:p w14:paraId="173663F9" w14:textId="77777777" w:rsidR="00CC2543" w:rsidRPr="00EC06E7" w:rsidRDefault="00CC2543" w:rsidP="00392027">
      <w:pPr>
        <w:autoSpaceDE w:val="0"/>
        <w:autoSpaceDN w:val="0"/>
        <w:adjustRightInd w:val="0"/>
        <w:rPr>
          <w:rFonts w:cs="Courier New"/>
          <w:szCs w:val="22"/>
        </w:rPr>
      </w:pPr>
      <w:r w:rsidRPr="00EC06E7">
        <w:rPr>
          <w:rFonts w:cs="Courier New"/>
          <w:szCs w:val="22"/>
        </w:rPr>
        <w:t xml:space="preserve">The </w:t>
      </w:r>
      <w:r w:rsidR="005124B6">
        <w:rPr>
          <w:rFonts w:cs="Courier New"/>
          <w:szCs w:val="22"/>
        </w:rPr>
        <w:t>c</w:t>
      </w:r>
      <w:r w:rsidRPr="00EC06E7">
        <w:rPr>
          <w:rFonts w:cs="Courier New"/>
          <w:szCs w:val="22"/>
        </w:rPr>
        <w:t xml:space="preserve">ouncil measures the fair value of an asset or liability using the assumptions that market participants would use when pricing the asset or liability, </w:t>
      </w:r>
      <w:proofErr w:type="gramStart"/>
      <w:r w:rsidRPr="00EC06E7">
        <w:rPr>
          <w:rFonts w:cs="Courier New"/>
          <w:szCs w:val="22"/>
        </w:rPr>
        <w:t>assuming that</w:t>
      </w:r>
      <w:proofErr w:type="gramEnd"/>
      <w:r w:rsidRPr="00EC06E7">
        <w:rPr>
          <w:rFonts w:cs="Courier New"/>
          <w:szCs w:val="22"/>
        </w:rPr>
        <w:t xml:space="preserve"> market participants act in their economic best interest</w:t>
      </w:r>
      <w:r w:rsidR="005124B6">
        <w:rPr>
          <w:rFonts w:cs="Courier New"/>
          <w:szCs w:val="22"/>
        </w:rPr>
        <w:t>.</w:t>
      </w:r>
    </w:p>
    <w:p w14:paraId="1CA5F9E3" w14:textId="77777777" w:rsidR="00CC2543" w:rsidRPr="00EC06E7" w:rsidRDefault="00CC2543" w:rsidP="00392027">
      <w:pPr>
        <w:autoSpaceDE w:val="0"/>
        <w:autoSpaceDN w:val="0"/>
        <w:adjustRightInd w:val="0"/>
        <w:rPr>
          <w:rFonts w:cs="Courier New"/>
          <w:szCs w:val="22"/>
        </w:rPr>
      </w:pPr>
    </w:p>
    <w:p w14:paraId="2670364F" w14:textId="77777777" w:rsidR="00CC2543" w:rsidRPr="00EC06E7" w:rsidRDefault="00CC2543" w:rsidP="00392027">
      <w:pPr>
        <w:autoSpaceDE w:val="0"/>
        <w:autoSpaceDN w:val="0"/>
        <w:adjustRightInd w:val="0"/>
        <w:rPr>
          <w:rFonts w:cs="Courier New"/>
          <w:szCs w:val="22"/>
        </w:rPr>
      </w:pPr>
      <w:r w:rsidRPr="00EC06E7">
        <w:rPr>
          <w:rFonts w:cs="Courier New"/>
          <w:szCs w:val="22"/>
        </w:rPr>
        <w:t xml:space="preserve">When measuring the fair value of a non-financial asset, the </w:t>
      </w:r>
      <w:r w:rsidR="005124B6">
        <w:rPr>
          <w:rFonts w:cs="Courier New"/>
          <w:szCs w:val="22"/>
        </w:rPr>
        <w:t>c</w:t>
      </w:r>
      <w:r w:rsidRPr="00EC06E7">
        <w:rPr>
          <w:rFonts w:cs="Courier New"/>
          <w:szCs w:val="22"/>
        </w:rPr>
        <w:t>ouncil takes into account a market participant's ability to generate economic benefits by using the asset in its highest and best use or by selling it to another market participant that would use the asset in its highest and best use.</w:t>
      </w:r>
    </w:p>
    <w:p w14:paraId="39E03B0F" w14:textId="77777777" w:rsidR="00CC2543" w:rsidRPr="00EC06E7" w:rsidRDefault="00CC2543" w:rsidP="00392027">
      <w:pPr>
        <w:autoSpaceDE w:val="0"/>
        <w:autoSpaceDN w:val="0"/>
        <w:adjustRightInd w:val="0"/>
        <w:rPr>
          <w:rFonts w:cs="Courier New"/>
          <w:szCs w:val="22"/>
        </w:rPr>
      </w:pPr>
    </w:p>
    <w:p w14:paraId="6A46776D" w14:textId="77777777" w:rsidR="00CC2543" w:rsidRPr="00EC06E7" w:rsidRDefault="00CC2543" w:rsidP="00392027">
      <w:pPr>
        <w:autoSpaceDE w:val="0"/>
        <w:autoSpaceDN w:val="0"/>
        <w:adjustRightInd w:val="0"/>
        <w:rPr>
          <w:rFonts w:cs="Courier New"/>
          <w:szCs w:val="22"/>
        </w:rPr>
      </w:pPr>
      <w:r w:rsidRPr="00EC06E7">
        <w:rPr>
          <w:rFonts w:cs="Courier New"/>
          <w:szCs w:val="22"/>
        </w:rPr>
        <w:t xml:space="preserve">The </w:t>
      </w:r>
      <w:r w:rsidR="005124B6">
        <w:rPr>
          <w:rFonts w:cs="Courier New"/>
          <w:szCs w:val="22"/>
        </w:rPr>
        <w:t>c</w:t>
      </w:r>
      <w:r w:rsidRPr="00EC06E7">
        <w:rPr>
          <w:rFonts w:cs="Courier New"/>
          <w:szCs w:val="22"/>
        </w:rPr>
        <w:t>ouncil uses valuation techniques that are appropriate in the circumstances and for which sufficient data is available, maximising the use of relevant observable inputs and minimising the use of unobservable inputs.</w:t>
      </w:r>
    </w:p>
    <w:p w14:paraId="2C608DA8" w14:textId="77777777" w:rsidR="00CC2543" w:rsidRPr="00EC06E7" w:rsidRDefault="00CC2543" w:rsidP="00392027">
      <w:pPr>
        <w:autoSpaceDE w:val="0"/>
        <w:autoSpaceDN w:val="0"/>
        <w:adjustRightInd w:val="0"/>
        <w:rPr>
          <w:rFonts w:cs="Courier New"/>
          <w:szCs w:val="22"/>
        </w:rPr>
      </w:pPr>
    </w:p>
    <w:p w14:paraId="0F271F94" w14:textId="77777777" w:rsidR="00CC2543" w:rsidRPr="00EC06E7" w:rsidRDefault="00CC2543" w:rsidP="00392027">
      <w:pPr>
        <w:autoSpaceDE w:val="0"/>
        <w:autoSpaceDN w:val="0"/>
        <w:adjustRightInd w:val="0"/>
        <w:rPr>
          <w:rFonts w:cs="Courier New"/>
          <w:szCs w:val="22"/>
        </w:rPr>
      </w:pPr>
      <w:r w:rsidRPr="00EC06E7">
        <w:rPr>
          <w:rFonts w:cs="Courier New"/>
          <w:szCs w:val="22"/>
        </w:rPr>
        <w:t xml:space="preserve">Inputs to the valuation techniques in respect of assets and liabilities for which fair value is measured or disclosed in the </w:t>
      </w:r>
      <w:r w:rsidR="005124B6">
        <w:rPr>
          <w:rFonts w:cs="Courier New"/>
          <w:szCs w:val="22"/>
        </w:rPr>
        <w:t>c</w:t>
      </w:r>
      <w:r w:rsidRPr="00EC06E7">
        <w:rPr>
          <w:rFonts w:cs="Courier New"/>
          <w:szCs w:val="22"/>
        </w:rPr>
        <w:t>ouncil's financial statements are categorised within the fair value hierarchy, as follows:</w:t>
      </w:r>
    </w:p>
    <w:p w14:paraId="6AF3376C" w14:textId="77777777" w:rsidR="00CC2543" w:rsidRPr="00EC06E7" w:rsidRDefault="00CC2543" w:rsidP="00392027">
      <w:pPr>
        <w:pStyle w:val="ListParagraph"/>
        <w:numPr>
          <w:ilvl w:val="0"/>
          <w:numId w:val="9"/>
        </w:numPr>
        <w:tabs>
          <w:tab w:val="left" w:pos="360"/>
          <w:tab w:val="center" w:pos="4153"/>
          <w:tab w:val="right" w:pos="8306"/>
        </w:tabs>
        <w:spacing w:after="120"/>
        <w:rPr>
          <w:rFonts w:cs="Courier New"/>
          <w:color w:val="000000" w:themeColor="text1"/>
          <w:szCs w:val="22"/>
        </w:rPr>
      </w:pPr>
      <w:r w:rsidRPr="00EC06E7">
        <w:rPr>
          <w:rFonts w:cs="Courier New"/>
          <w:color w:val="000000" w:themeColor="text1"/>
          <w:szCs w:val="22"/>
        </w:rPr>
        <w:t xml:space="preserve">Level 1 - quoted prices (unadjusted) in active markets for identical assets or liabilities that the </w:t>
      </w:r>
      <w:r w:rsidR="005124B6">
        <w:rPr>
          <w:rFonts w:cs="Courier New"/>
          <w:color w:val="000000" w:themeColor="text1"/>
          <w:szCs w:val="22"/>
        </w:rPr>
        <w:t>c</w:t>
      </w:r>
      <w:r w:rsidRPr="00EC06E7">
        <w:rPr>
          <w:rFonts w:cs="Courier New"/>
          <w:color w:val="000000" w:themeColor="text1"/>
          <w:szCs w:val="22"/>
        </w:rPr>
        <w:t>ouncil can access at the measurement date</w:t>
      </w:r>
    </w:p>
    <w:p w14:paraId="0FA20F17" w14:textId="77777777" w:rsidR="00CC2543" w:rsidRPr="00EC06E7" w:rsidRDefault="00CC2543" w:rsidP="00392027">
      <w:pPr>
        <w:pStyle w:val="ListParagraph"/>
        <w:numPr>
          <w:ilvl w:val="0"/>
          <w:numId w:val="9"/>
        </w:numPr>
        <w:tabs>
          <w:tab w:val="left" w:pos="360"/>
          <w:tab w:val="center" w:pos="4153"/>
          <w:tab w:val="right" w:pos="8306"/>
        </w:tabs>
        <w:spacing w:after="120"/>
        <w:rPr>
          <w:rFonts w:cs="Courier New"/>
          <w:color w:val="000000" w:themeColor="text1"/>
          <w:szCs w:val="22"/>
        </w:rPr>
      </w:pPr>
      <w:r w:rsidRPr="00EC06E7">
        <w:rPr>
          <w:rFonts w:cs="Courier New"/>
          <w:color w:val="000000" w:themeColor="text1"/>
          <w:szCs w:val="22"/>
        </w:rPr>
        <w:t>Level 2 - inputs other than quoted prices included within Level 1 that are observable for that asset or liability, either directly or indirectly</w:t>
      </w:r>
    </w:p>
    <w:p w14:paraId="5729ABB6" w14:textId="77777777" w:rsidR="00CC2543" w:rsidRPr="00EC06E7" w:rsidRDefault="00CC2543" w:rsidP="00392027">
      <w:pPr>
        <w:pStyle w:val="ListParagraph"/>
        <w:numPr>
          <w:ilvl w:val="0"/>
          <w:numId w:val="9"/>
        </w:numPr>
        <w:tabs>
          <w:tab w:val="left" w:pos="360"/>
          <w:tab w:val="center" w:pos="4153"/>
          <w:tab w:val="right" w:pos="8306"/>
        </w:tabs>
        <w:spacing w:after="120"/>
        <w:rPr>
          <w:rFonts w:cs="Courier New"/>
          <w:color w:val="000000" w:themeColor="text1"/>
          <w:szCs w:val="22"/>
        </w:rPr>
      </w:pPr>
      <w:r w:rsidRPr="00EC06E7">
        <w:rPr>
          <w:rFonts w:cs="Courier New"/>
          <w:color w:val="000000" w:themeColor="text1"/>
          <w:szCs w:val="22"/>
        </w:rPr>
        <w:t>Level 3 - unobservable inputs for the asset or liability.</w:t>
      </w:r>
    </w:p>
    <w:p w14:paraId="74AD5475" w14:textId="77777777" w:rsidR="00CC2543" w:rsidRDefault="00CC2543" w:rsidP="00392027"/>
    <w:p w14:paraId="388E098F" w14:textId="77777777" w:rsidR="00E32B17" w:rsidRPr="00EC06E7" w:rsidRDefault="00E32B17" w:rsidP="007735EC">
      <w:pPr>
        <w:autoSpaceDE w:val="0"/>
        <w:autoSpaceDN w:val="0"/>
        <w:adjustRightInd w:val="0"/>
        <w:rPr>
          <w:rFonts w:cs="Courier New"/>
          <w:szCs w:val="22"/>
        </w:rPr>
      </w:pPr>
    </w:p>
    <w:p w14:paraId="3C1192EF" w14:textId="77777777" w:rsidR="002E54FF" w:rsidRPr="001422EA" w:rsidRDefault="006E1448" w:rsidP="004E5A07">
      <w:pPr>
        <w:pStyle w:val="Heading2"/>
      </w:pPr>
      <w:bookmarkStart w:id="40" w:name="_Toc483390968"/>
      <w:bookmarkStart w:id="41" w:name="_Ref483395902"/>
      <w:bookmarkStart w:id="42" w:name="_Toc77603778"/>
      <w:bookmarkEnd w:id="39"/>
      <w:r w:rsidRPr="001422EA">
        <w:t>Accounting standards that have been issued but have not yet been adopted</w:t>
      </w:r>
      <w:bookmarkEnd w:id="40"/>
      <w:bookmarkEnd w:id="41"/>
      <w:bookmarkEnd w:id="42"/>
    </w:p>
    <w:p w14:paraId="093EA874" w14:textId="77777777" w:rsidR="0052367B" w:rsidRPr="00EC06E7" w:rsidRDefault="0052367B" w:rsidP="007735EC">
      <w:pPr>
        <w:rPr>
          <w:rFonts w:cs="Courier New"/>
          <w:szCs w:val="22"/>
        </w:rPr>
      </w:pPr>
    </w:p>
    <w:p w14:paraId="43D12483" w14:textId="050F6E58" w:rsidR="00FE68E8" w:rsidRPr="00725077" w:rsidRDefault="00FE68E8" w:rsidP="00FE68E8">
      <w:pPr>
        <w:rPr>
          <w:rFonts w:cs="Courier New"/>
          <w:szCs w:val="22"/>
        </w:rPr>
      </w:pPr>
      <w:r w:rsidRPr="00725077">
        <w:rPr>
          <w:rFonts w:cs="Courier New"/>
          <w:szCs w:val="22"/>
        </w:rPr>
        <w:t xml:space="preserve">The </w:t>
      </w:r>
      <w:r>
        <w:rPr>
          <w:rFonts w:cs="Courier New"/>
          <w:szCs w:val="22"/>
        </w:rPr>
        <w:t>20</w:t>
      </w:r>
      <w:r w:rsidR="00DA4FF9">
        <w:rPr>
          <w:rFonts w:cs="Courier New"/>
          <w:szCs w:val="22"/>
        </w:rPr>
        <w:t>20</w:t>
      </w:r>
      <w:r>
        <w:rPr>
          <w:rFonts w:cs="Courier New"/>
          <w:szCs w:val="22"/>
        </w:rPr>
        <w:t>/</w:t>
      </w:r>
      <w:r w:rsidR="004C2CF2">
        <w:rPr>
          <w:rFonts w:cs="Courier New"/>
          <w:szCs w:val="22"/>
        </w:rPr>
        <w:t>2</w:t>
      </w:r>
      <w:r w:rsidR="00DA4FF9">
        <w:rPr>
          <w:rFonts w:cs="Courier New"/>
          <w:szCs w:val="22"/>
        </w:rPr>
        <w:t>1</w:t>
      </w:r>
      <w:r w:rsidRPr="00725077">
        <w:rPr>
          <w:rFonts w:cs="Courier New"/>
          <w:szCs w:val="22"/>
        </w:rPr>
        <w:t xml:space="preserve"> Code requires changes in accounting policy to be applied retrospectively unless alternative transitional arrangements </w:t>
      </w:r>
      <w:r>
        <w:rPr>
          <w:rFonts w:cs="Courier New"/>
          <w:szCs w:val="22"/>
        </w:rPr>
        <w:t>are specified in the Code. The C</w:t>
      </w:r>
      <w:r w:rsidRPr="00725077">
        <w:rPr>
          <w:rFonts w:cs="Courier New"/>
          <w:szCs w:val="22"/>
        </w:rPr>
        <w:t>ode requires an authority to disclose information relating to the impact of an accounting change that will be required by a new standard that has been issued but not yet adopted by the Code for the relevant financial year.</w:t>
      </w:r>
    </w:p>
    <w:p w14:paraId="49727C2C" w14:textId="77777777" w:rsidR="00563EA1" w:rsidRPr="00725077" w:rsidRDefault="00563EA1" w:rsidP="00563EA1">
      <w:pPr>
        <w:rPr>
          <w:rFonts w:cs="Courier New"/>
          <w:szCs w:val="22"/>
        </w:rPr>
      </w:pPr>
    </w:p>
    <w:p w14:paraId="481281DF" w14:textId="2B28EB7E" w:rsidR="00563EA1" w:rsidRDefault="00563EA1" w:rsidP="009A4D91">
      <w:pPr>
        <w:jc w:val="left"/>
        <w:rPr>
          <w:rFonts w:cs="Courier New"/>
          <w:szCs w:val="22"/>
        </w:rPr>
      </w:pPr>
      <w:r w:rsidRPr="00725077">
        <w:rPr>
          <w:rFonts w:cs="Courier New"/>
          <w:szCs w:val="22"/>
        </w:rPr>
        <w:t xml:space="preserve">The standards that may be relevant for additional disclosures that will be required in the </w:t>
      </w:r>
      <w:r>
        <w:rPr>
          <w:rFonts w:cs="Courier New"/>
          <w:szCs w:val="22"/>
        </w:rPr>
        <w:t>20</w:t>
      </w:r>
      <w:r w:rsidR="00DA4FF9">
        <w:rPr>
          <w:rFonts w:cs="Courier New"/>
          <w:szCs w:val="22"/>
        </w:rPr>
        <w:t>20</w:t>
      </w:r>
      <w:r>
        <w:rPr>
          <w:rFonts w:cs="Courier New"/>
          <w:szCs w:val="22"/>
        </w:rPr>
        <w:t>/2</w:t>
      </w:r>
      <w:r w:rsidR="00DA4FF9">
        <w:rPr>
          <w:rFonts w:cs="Courier New"/>
          <w:szCs w:val="22"/>
        </w:rPr>
        <w:t>1</w:t>
      </w:r>
      <w:r>
        <w:rPr>
          <w:rFonts w:cs="Courier New"/>
          <w:szCs w:val="22"/>
        </w:rPr>
        <w:t xml:space="preserve"> and 202</w:t>
      </w:r>
      <w:r w:rsidR="00DA4FF9">
        <w:rPr>
          <w:rFonts w:cs="Courier New"/>
          <w:szCs w:val="22"/>
        </w:rPr>
        <w:t>1</w:t>
      </w:r>
      <w:r>
        <w:rPr>
          <w:rFonts w:cs="Courier New"/>
          <w:szCs w:val="22"/>
        </w:rPr>
        <w:t>/2</w:t>
      </w:r>
      <w:r w:rsidR="00DA4FF9">
        <w:rPr>
          <w:rFonts w:cs="Courier New"/>
          <w:szCs w:val="22"/>
        </w:rPr>
        <w:t>2</w:t>
      </w:r>
      <w:r w:rsidRPr="00725077">
        <w:rPr>
          <w:rFonts w:cs="Courier New"/>
          <w:szCs w:val="22"/>
        </w:rPr>
        <w:t xml:space="preserve"> financial statements in respect of accounting changes that are introduced in</w:t>
      </w:r>
      <w:r>
        <w:rPr>
          <w:rFonts w:cs="Courier New"/>
          <w:szCs w:val="22"/>
        </w:rPr>
        <w:t xml:space="preserve"> the 202</w:t>
      </w:r>
      <w:r w:rsidR="00DA4FF9">
        <w:rPr>
          <w:rFonts w:cs="Courier New"/>
          <w:szCs w:val="22"/>
        </w:rPr>
        <w:t>1</w:t>
      </w:r>
      <w:r>
        <w:rPr>
          <w:rFonts w:cs="Courier New"/>
          <w:szCs w:val="22"/>
        </w:rPr>
        <w:t>/2</w:t>
      </w:r>
      <w:r w:rsidR="00DA4FF9">
        <w:rPr>
          <w:rFonts w:cs="Courier New"/>
          <w:szCs w:val="22"/>
        </w:rPr>
        <w:t>2</w:t>
      </w:r>
      <w:r w:rsidRPr="00725077">
        <w:rPr>
          <w:rFonts w:cs="Courier New"/>
          <w:szCs w:val="22"/>
        </w:rPr>
        <w:t xml:space="preserve"> Code are:</w:t>
      </w:r>
    </w:p>
    <w:p w14:paraId="376AFEF1" w14:textId="28A27E3C" w:rsidR="00DA4FF9" w:rsidRPr="00DA4FF9" w:rsidRDefault="00DA4FF9" w:rsidP="00E948BF">
      <w:pPr>
        <w:pStyle w:val="ListParagraph"/>
        <w:numPr>
          <w:ilvl w:val="0"/>
          <w:numId w:val="38"/>
        </w:numPr>
        <w:jc w:val="left"/>
        <w:rPr>
          <w:rFonts w:cs="Courier New"/>
          <w:szCs w:val="22"/>
        </w:rPr>
      </w:pPr>
      <w:r w:rsidRPr="00DA4FF9">
        <w:rPr>
          <w:rFonts w:cs="Courier New"/>
          <w:szCs w:val="22"/>
        </w:rPr>
        <w:t>Definition of a Business: Amendments to IFRS 3,</w:t>
      </w:r>
    </w:p>
    <w:p w14:paraId="4F3482CD" w14:textId="77777777" w:rsidR="00DA4FF9" w:rsidRPr="00DA4FF9" w:rsidRDefault="00DA4FF9" w:rsidP="00E948BF">
      <w:pPr>
        <w:pStyle w:val="ListParagraph"/>
        <w:numPr>
          <w:ilvl w:val="0"/>
          <w:numId w:val="38"/>
        </w:numPr>
        <w:jc w:val="left"/>
        <w:rPr>
          <w:rFonts w:cs="Courier New"/>
          <w:szCs w:val="22"/>
        </w:rPr>
      </w:pPr>
      <w:r>
        <w:t>IFRS 16 Leases</w:t>
      </w:r>
      <w:r w:rsidRPr="00DA4FF9">
        <w:rPr>
          <w:rFonts w:cs="Courier New"/>
          <w:szCs w:val="22"/>
        </w:rPr>
        <w:t>,</w:t>
      </w:r>
    </w:p>
    <w:p w14:paraId="1EC32CD5" w14:textId="481A00EE" w:rsidR="00DA4FF9" w:rsidRPr="00DA4FF9" w:rsidRDefault="00DA4FF9" w:rsidP="00E948BF">
      <w:pPr>
        <w:pStyle w:val="ListParagraph"/>
        <w:numPr>
          <w:ilvl w:val="0"/>
          <w:numId w:val="38"/>
        </w:numPr>
        <w:jc w:val="left"/>
        <w:rPr>
          <w:rFonts w:cs="Courier New"/>
          <w:szCs w:val="22"/>
        </w:rPr>
      </w:pPr>
      <w:r w:rsidRPr="00DA4FF9">
        <w:rPr>
          <w:rFonts w:cs="Courier New"/>
          <w:szCs w:val="22"/>
        </w:rPr>
        <w:t>Interest Rate Benchmark Reform (Amendments to IFRS 9, IAS 39 and IFRS 7), and</w:t>
      </w:r>
    </w:p>
    <w:p w14:paraId="08DD825F" w14:textId="06441E35" w:rsidR="00563EA1" w:rsidRPr="00DA4FF9" w:rsidRDefault="00DA4FF9" w:rsidP="00E948BF">
      <w:pPr>
        <w:pStyle w:val="ListParagraph"/>
        <w:numPr>
          <w:ilvl w:val="0"/>
          <w:numId w:val="38"/>
        </w:numPr>
        <w:jc w:val="left"/>
        <w:rPr>
          <w:rFonts w:cs="Courier New"/>
          <w:szCs w:val="22"/>
        </w:rPr>
      </w:pPr>
      <w:r w:rsidRPr="00DA4FF9">
        <w:rPr>
          <w:rFonts w:cs="Courier New"/>
          <w:szCs w:val="22"/>
        </w:rPr>
        <w:t>Interest Rate Benchmark Reform – Phase 2 (Amendments to IFRS 9, IAS 39, IFRS 7,</w:t>
      </w:r>
      <w:r>
        <w:rPr>
          <w:rFonts w:cs="Courier New"/>
          <w:szCs w:val="22"/>
        </w:rPr>
        <w:t xml:space="preserve"> </w:t>
      </w:r>
      <w:r w:rsidRPr="00DA4FF9">
        <w:rPr>
          <w:rFonts w:cs="Courier New"/>
          <w:szCs w:val="22"/>
        </w:rPr>
        <w:t>IFRS 4 and IFRS 16)</w:t>
      </w:r>
      <w:r>
        <w:t>.</w:t>
      </w:r>
    </w:p>
    <w:p w14:paraId="705D8073" w14:textId="77777777" w:rsidR="00563EA1" w:rsidRDefault="00563EA1" w:rsidP="00563EA1"/>
    <w:p w14:paraId="4E15B769" w14:textId="77777777" w:rsidR="00FE68E8" w:rsidRPr="00EC06E7" w:rsidRDefault="00FE68E8" w:rsidP="00FE68E8">
      <w:pPr>
        <w:rPr>
          <w:rFonts w:cs="Courier New"/>
          <w:szCs w:val="22"/>
        </w:rPr>
      </w:pPr>
      <w:r w:rsidRPr="00725077">
        <w:rPr>
          <w:rFonts w:cs="Courier New"/>
          <w:szCs w:val="22"/>
        </w:rPr>
        <w:t xml:space="preserve">The </w:t>
      </w:r>
      <w:r w:rsidR="005124B6">
        <w:rPr>
          <w:rFonts w:cs="Courier New"/>
          <w:szCs w:val="22"/>
        </w:rPr>
        <w:t>c</w:t>
      </w:r>
      <w:r w:rsidRPr="00725077">
        <w:rPr>
          <w:rFonts w:cs="Courier New"/>
          <w:szCs w:val="22"/>
        </w:rPr>
        <w:t>ouncil does not anticipate that the above amendments will have a material impact on the information provided in the financial statements</w:t>
      </w:r>
      <w:r>
        <w:rPr>
          <w:rFonts w:cs="Courier New"/>
          <w:szCs w:val="22"/>
        </w:rPr>
        <w:t>.</w:t>
      </w:r>
    </w:p>
    <w:p w14:paraId="1130F85D" w14:textId="77777777" w:rsidR="00FE68E8" w:rsidRPr="00EC06E7" w:rsidRDefault="00FE68E8" w:rsidP="007735EC">
      <w:pPr>
        <w:rPr>
          <w:rFonts w:cs="Courier New"/>
          <w:szCs w:val="22"/>
        </w:rPr>
      </w:pPr>
    </w:p>
    <w:p w14:paraId="1EB4B6EB" w14:textId="77777777" w:rsidR="002E54FF" w:rsidRPr="001422EA" w:rsidRDefault="006E1448" w:rsidP="004E5A07">
      <w:pPr>
        <w:pStyle w:val="Heading2"/>
      </w:pPr>
      <w:bookmarkStart w:id="43" w:name="_Toc483390969"/>
      <w:bookmarkStart w:id="44" w:name="_Toc77603779"/>
      <w:r w:rsidRPr="001422EA">
        <w:t>Critical judgements in applying accounting poli</w:t>
      </w:r>
      <w:bookmarkEnd w:id="43"/>
      <w:r w:rsidR="00261730" w:rsidRPr="001422EA">
        <w:t>cies</w:t>
      </w:r>
      <w:bookmarkEnd w:id="44"/>
    </w:p>
    <w:p w14:paraId="15DA1284" w14:textId="77777777" w:rsidR="00DA1876" w:rsidRPr="00EC06E7" w:rsidRDefault="00DA1876" w:rsidP="007735EC">
      <w:pPr>
        <w:rPr>
          <w:rFonts w:cs="Courier New"/>
          <w:szCs w:val="22"/>
        </w:rPr>
      </w:pPr>
    </w:p>
    <w:p w14:paraId="6A050DD2" w14:textId="1B044327" w:rsidR="002302B9" w:rsidRPr="00EC06E7" w:rsidRDefault="002302B9" w:rsidP="007735EC">
      <w:pPr>
        <w:rPr>
          <w:rFonts w:cs="Courier New"/>
          <w:color w:val="000000" w:themeColor="text1"/>
          <w:szCs w:val="22"/>
        </w:rPr>
      </w:pPr>
      <w:r w:rsidRPr="00EC06E7">
        <w:rPr>
          <w:rFonts w:cs="Courier New"/>
          <w:color w:val="000000" w:themeColor="text1"/>
          <w:szCs w:val="22"/>
        </w:rPr>
        <w:t xml:space="preserve">In applying the accounting </w:t>
      </w:r>
      <w:r w:rsidR="0070131A" w:rsidRPr="00EC06E7">
        <w:rPr>
          <w:rFonts w:cs="Courier New"/>
          <w:color w:val="000000" w:themeColor="text1"/>
          <w:szCs w:val="22"/>
        </w:rPr>
        <w:t>poli</w:t>
      </w:r>
      <w:r w:rsidR="00261730" w:rsidRPr="00EC06E7">
        <w:rPr>
          <w:rFonts w:cs="Courier New"/>
          <w:color w:val="000000" w:themeColor="text1"/>
          <w:szCs w:val="22"/>
        </w:rPr>
        <w:t>cies</w:t>
      </w:r>
      <w:r w:rsidR="0070131A" w:rsidRPr="00EC06E7">
        <w:rPr>
          <w:rFonts w:cs="Courier New"/>
          <w:color w:val="000000" w:themeColor="text1"/>
          <w:szCs w:val="22"/>
        </w:rPr>
        <w:t xml:space="preserve"> set out in Note </w:t>
      </w:r>
      <w:r w:rsidR="0070131A" w:rsidRPr="00EC06E7">
        <w:rPr>
          <w:rFonts w:cs="Courier New"/>
          <w:color w:val="000000" w:themeColor="text1"/>
          <w:szCs w:val="22"/>
        </w:rPr>
        <w:fldChar w:fldCharType="begin"/>
      </w:r>
      <w:r w:rsidR="0070131A" w:rsidRPr="00EC06E7">
        <w:rPr>
          <w:rFonts w:cs="Courier New"/>
          <w:color w:val="000000" w:themeColor="text1"/>
          <w:szCs w:val="22"/>
        </w:rPr>
        <w:instrText xml:space="preserve"> REF _Ref483390677 \r \h </w:instrText>
      </w:r>
      <w:r w:rsidR="00EC06E7">
        <w:rPr>
          <w:rFonts w:cs="Courier New"/>
          <w:color w:val="000000" w:themeColor="text1"/>
          <w:szCs w:val="22"/>
        </w:rPr>
        <w:instrText xml:space="preserve"> \* MERGEFORMAT </w:instrText>
      </w:r>
      <w:r w:rsidR="0070131A" w:rsidRPr="00EC06E7">
        <w:rPr>
          <w:rFonts w:cs="Courier New"/>
          <w:color w:val="000000" w:themeColor="text1"/>
          <w:szCs w:val="22"/>
        </w:rPr>
      </w:r>
      <w:r w:rsidR="0070131A" w:rsidRPr="00EC06E7">
        <w:rPr>
          <w:rFonts w:cs="Courier New"/>
          <w:color w:val="000000" w:themeColor="text1"/>
          <w:szCs w:val="22"/>
        </w:rPr>
        <w:fldChar w:fldCharType="separate"/>
      </w:r>
      <w:r w:rsidR="000F49D2">
        <w:rPr>
          <w:rFonts w:cs="Courier New"/>
          <w:color w:val="000000" w:themeColor="text1"/>
          <w:szCs w:val="22"/>
        </w:rPr>
        <w:t>2</w:t>
      </w:r>
      <w:r w:rsidR="0070131A" w:rsidRPr="00EC06E7">
        <w:rPr>
          <w:rFonts w:cs="Courier New"/>
          <w:color w:val="000000" w:themeColor="text1"/>
          <w:szCs w:val="22"/>
        </w:rPr>
        <w:fldChar w:fldCharType="end"/>
      </w:r>
      <w:r w:rsidRPr="00EC06E7">
        <w:rPr>
          <w:rFonts w:cs="Courier New"/>
          <w:color w:val="000000" w:themeColor="text1"/>
          <w:szCs w:val="22"/>
        </w:rPr>
        <w:t>, the Authority has made certain judgements about complex transactions or those involving uncertainty about future events. The critical judgements made in the Statement of Accounts are:</w:t>
      </w:r>
    </w:p>
    <w:p w14:paraId="5EF01026" w14:textId="77777777" w:rsidR="002302B9" w:rsidRPr="00EC06E7" w:rsidRDefault="002302B9" w:rsidP="007735EC">
      <w:pPr>
        <w:rPr>
          <w:rFonts w:cs="Courier New"/>
          <w:color w:val="000000" w:themeColor="text1"/>
          <w:szCs w:val="22"/>
        </w:rPr>
      </w:pPr>
    </w:p>
    <w:p w14:paraId="3AA859FF" w14:textId="77777777" w:rsidR="00255B34" w:rsidRPr="00EC06E7" w:rsidRDefault="00255B34" w:rsidP="007735EC">
      <w:pPr>
        <w:rPr>
          <w:rFonts w:cs="Courier New"/>
          <w:b/>
          <w:color w:val="000000" w:themeColor="text1"/>
          <w:szCs w:val="22"/>
        </w:rPr>
      </w:pPr>
      <w:r w:rsidRPr="00EC06E7">
        <w:rPr>
          <w:rFonts w:cs="Courier New"/>
          <w:b/>
          <w:color w:val="000000" w:themeColor="text1"/>
          <w:szCs w:val="22"/>
        </w:rPr>
        <w:t>Funding</w:t>
      </w:r>
    </w:p>
    <w:p w14:paraId="67915D75" w14:textId="701123D6" w:rsidR="00CA2A2B" w:rsidRPr="00EC06E7" w:rsidRDefault="002302B9" w:rsidP="007735EC">
      <w:pPr>
        <w:rPr>
          <w:rFonts w:cs="Courier New"/>
          <w:color w:val="000000" w:themeColor="text1"/>
          <w:szCs w:val="22"/>
        </w:rPr>
      </w:pPr>
      <w:r w:rsidRPr="00EC06E7">
        <w:rPr>
          <w:rFonts w:cs="Courier New"/>
          <w:color w:val="000000" w:themeColor="text1"/>
          <w:szCs w:val="22"/>
        </w:rPr>
        <w:t xml:space="preserve">There </w:t>
      </w:r>
      <w:r w:rsidR="00C642D4">
        <w:rPr>
          <w:rFonts w:cs="Courier New"/>
          <w:color w:val="000000" w:themeColor="text1"/>
          <w:szCs w:val="22"/>
        </w:rPr>
        <w:t>continue</w:t>
      </w:r>
      <w:r w:rsidRPr="00EC06E7">
        <w:rPr>
          <w:rFonts w:cs="Courier New"/>
          <w:color w:val="000000" w:themeColor="text1"/>
          <w:szCs w:val="22"/>
        </w:rPr>
        <w:t xml:space="preserve">s a high degree of uncertainty about future levels of funding for local government. </w:t>
      </w:r>
      <w:r w:rsidR="000960B9">
        <w:rPr>
          <w:rFonts w:cs="Courier New"/>
          <w:color w:val="000000" w:themeColor="text1"/>
          <w:szCs w:val="22"/>
        </w:rPr>
        <w:t>In addition</w:t>
      </w:r>
      <w:r w:rsidR="009C6540">
        <w:rPr>
          <w:rFonts w:cs="Courier New"/>
          <w:color w:val="000000" w:themeColor="text1"/>
          <w:szCs w:val="22"/>
        </w:rPr>
        <w:t xml:space="preserve"> to more general uncertainties</w:t>
      </w:r>
      <w:r w:rsidR="000960B9">
        <w:rPr>
          <w:rFonts w:cs="Courier New"/>
          <w:color w:val="000000" w:themeColor="text1"/>
          <w:szCs w:val="22"/>
        </w:rPr>
        <w:t xml:space="preserve">, the measures taken to address </w:t>
      </w:r>
      <w:r w:rsidR="00C642D4">
        <w:rPr>
          <w:rFonts w:cs="Courier New"/>
          <w:color w:val="000000" w:themeColor="text1"/>
          <w:szCs w:val="22"/>
        </w:rPr>
        <w:t>the impacts of the Covid</w:t>
      </w:r>
      <w:r w:rsidR="000960B9">
        <w:rPr>
          <w:rFonts w:cs="Courier New"/>
          <w:color w:val="000000" w:themeColor="text1"/>
          <w:szCs w:val="22"/>
        </w:rPr>
        <w:t>-</w:t>
      </w:r>
      <w:r w:rsidR="00C642D4">
        <w:rPr>
          <w:rFonts w:cs="Courier New"/>
          <w:color w:val="000000" w:themeColor="text1"/>
          <w:szCs w:val="22"/>
        </w:rPr>
        <w:t>19 pandemic</w:t>
      </w:r>
      <w:r w:rsidR="000960B9">
        <w:rPr>
          <w:rFonts w:cs="Courier New"/>
          <w:color w:val="000000" w:themeColor="text1"/>
          <w:szCs w:val="22"/>
        </w:rPr>
        <w:t xml:space="preserve"> have produced a</w:t>
      </w:r>
      <w:r w:rsidR="009C6540">
        <w:rPr>
          <w:rFonts w:cs="Courier New"/>
          <w:color w:val="000000" w:themeColor="text1"/>
          <w:szCs w:val="22"/>
        </w:rPr>
        <w:t>n</w:t>
      </w:r>
      <w:r w:rsidR="000960B9">
        <w:rPr>
          <w:rFonts w:cs="Courier New"/>
          <w:color w:val="000000" w:themeColor="text1"/>
          <w:szCs w:val="22"/>
        </w:rPr>
        <w:t xml:space="preserve"> unusual pattern of funding for 2020/21 itself, with continuing implications for future years</w:t>
      </w:r>
      <w:r w:rsidR="009C6540">
        <w:rPr>
          <w:rFonts w:cs="Courier New"/>
          <w:color w:val="000000" w:themeColor="text1"/>
          <w:szCs w:val="22"/>
        </w:rPr>
        <w:t>, most specifically in respect of managing the large deficit that has arisen on business rates income and the grant income received to compensate for this</w:t>
      </w:r>
      <w:r w:rsidR="000960B9">
        <w:rPr>
          <w:rFonts w:cs="Courier New"/>
          <w:color w:val="000000" w:themeColor="text1"/>
          <w:szCs w:val="22"/>
        </w:rPr>
        <w:t xml:space="preserve">. </w:t>
      </w:r>
      <w:r w:rsidR="009C6540">
        <w:rPr>
          <w:rFonts w:cs="Courier New"/>
          <w:color w:val="000000" w:themeColor="text1"/>
          <w:szCs w:val="22"/>
        </w:rPr>
        <w:t xml:space="preserve">Some of the variations in funding patterns encountered in 2020/21 have continued into 2021/22, </w:t>
      </w:r>
      <w:r w:rsidR="000960B9">
        <w:rPr>
          <w:rFonts w:cs="Courier New"/>
          <w:color w:val="000000" w:themeColor="text1"/>
          <w:szCs w:val="22"/>
        </w:rPr>
        <w:t xml:space="preserve">albeit on a </w:t>
      </w:r>
      <w:proofErr w:type="gramStart"/>
      <w:r w:rsidR="000960B9">
        <w:rPr>
          <w:rFonts w:cs="Courier New"/>
          <w:color w:val="000000" w:themeColor="text1"/>
          <w:szCs w:val="22"/>
        </w:rPr>
        <w:t>much reduced</w:t>
      </w:r>
      <w:proofErr w:type="gramEnd"/>
      <w:r w:rsidR="000960B9">
        <w:rPr>
          <w:rFonts w:cs="Courier New"/>
          <w:color w:val="000000" w:themeColor="text1"/>
          <w:szCs w:val="22"/>
        </w:rPr>
        <w:t xml:space="preserve"> scale. </w:t>
      </w:r>
      <w:r w:rsidR="009C6540">
        <w:rPr>
          <w:rFonts w:cs="Courier New"/>
          <w:color w:val="000000" w:themeColor="text1"/>
          <w:szCs w:val="22"/>
        </w:rPr>
        <w:t>However, t</w:t>
      </w:r>
      <w:r w:rsidR="000960B9">
        <w:rPr>
          <w:rFonts w:cs="Courier New"/>
          <w:color w:val="000000" w:themeColor="text1"/>
          <w:szCs w:val="22"/>
        </w:rPr>
        <w:t>he principal impact of the pandemic on local government funding has been th</w:t>
      </w:r>
      <w:r w:rsidR="009C6540">
        <w:rPr>
          <w:rFonts w:cs="Courier New"/>
          <w:color w:val="000000" w:themeColor="text1"/>
          <w:szCs w:val="22"/>
        </w:rPr>
        <w:t xml:space="preserve">e </w:t>
      </w:r>
      <w:r w:rsidR="00C642D4">
        <w:rPr>
          <w:rFonts w:cs="Courier New"/>
          <w:color w:val="000000" w:themeColor="text1"/>
          <w:szCs w:val="22"/>
        </w:rPr>
        <w:t>further postponement of the funding review, originally due for 2019</w:t>
      </w:r>
      <w:r w:rsidR="005101AD">
        <w:rPr>
          <w:rFonts w:cs="Courier New"/>
          <w:color w:val="000000" w:themeColor="text1"/>
          <w:szCs w:val="22"/>
        </w:rPr>
        <w:t>/</w:t>
      </w:r>
      <w:r w:rsidR="00C642D4">
        <w:rPr>
          <w:rFonts w:cs="Courier New"/>
          <w:color w:val="000000" w:themeColor="text1"/>
          <w:szCs w:val="22"/>
        </w:rPr>
        <w:t xml:space="preserve">20 and subsequently delayed by a year to 2020/21, by another year to 2021/22. </w:t>
      </w:r>
      <w:r w:rsidR="000960B9">
        <w:rPr>
          <w:rFonts w:cs="Courier New"/>
          <w:color w:val="000000" w:themeColor="text1"/>
          <w:szCs w:val="22"/>
        </w:rPr>
        <w:t>The expectation had been that, by now, local authorities would have the certainty that came with the announcement of a new three-year settlement, but this has not been the case and the 2021/22 settlement was again for a single year only</w:t>
      </w:r>
      <w:r w:rsidR="00C735FB">
        <w:rPr>
          <w:rFonts w:cs="Courier New"/>
          <w:color w:val="000000" w:themeColor="text1"/>
          <w:szCs w:val="22"/>
        </w:rPr>
        <w:t>.</w:t>
      </w:r>
      <w:r w:rsidR="009C6540">
        <w:rPr>
          <w:rFonts w:cs="Courier New"/>
          <w:color w:val="000000" w:themeColor="text1"/>
          <w:szCs w:val="22"/>
        </w:rPr>
        <w:t xml:space="preserve"> </w:t>
      </w:r>
      <w:r w:rsidR="00C735FB">
        <w:rPr>
          <w:rFonts w:cs="Courier New"/>
          <w:color w:val="000000" w:themeColor="text1"/>
          <w:szCs w:val="22"/>
        </w:rPr>
        <w:t>T</w:t>
      </w:r>
      <w:r w:rsidR="009C6540">
        <w:rPr>
          <w:rFonts w:cs="Courier New"/>
          <w:color w:val="000000" w:themeColor="text1"/>
          <w:szCs w:val="22"/>
        </w:rPr>
        <w:t>he potentially significant shifts in funding that may come with the completion of the review remain extremely difficult to forecast</w:t>
      </w:r>
      <w:r w:rsidR="000960B9">
        <w:rPr>
          <w:rFonts w:cs="Courier New"/>
          <w:color w:val="000000" w:themeColor="text1"/>
          <w:szCs w:val="22"/>
        </w:rPr>
        <w:t xml:space="preserve">. </w:t>
      </w:r>
      <w:r w:rsidRPr="00EC06E7">
        <w:rPr>
          <w:rFonts w:cs="Courier New"/>
          <w:color w:val="000000" w:themeColor="text1"/>
          <w:szCs w:val="22"/>
        </w:rPr>
        <w:t>However, the Authority has determined that this uncertainty is not yet sufficient to provide an indication that the assets of the Authority might be impaired as a result of a need to close facilities and</w:t>
      </w:r>
      <w:r w:rsidR="00C642D4">
        <w:rPr>
          <w:rFonts w:cs="Courier New"/>
          <w:color w:val="000000" w:themeColor="text1"/>
          <w:szCs w:val="22"/>
        </w:rPr>
        <w:t>/or</w:t>
      </w:r>
      <w:r w:rsidRPr="00EC06E7">
        <w:rPr>
          <w:rFonts w:cs="Courier New"/>
          <w:color w:val="000000" w:themeColor="text1"/>
          <w:szCs w:val="22"/>
        </w:rPr>
        <w:t xml:space="preserve"> reduce levels of service </w:t>
      </w:r>
      <w:r w:rsidR="00C64334" w:rsidRPr="00EC06E7">
        <w:rPr>
          <w:rFonts w:cs="Courier New"/>
          <w:color w:val="000000" w:themeColor="text1"/>
          <w:szCs w:val="22"/>
        </w:rPr>
        <w:t>expenditure</w:t>
      </w:r>
      <w:r w:rsidRPr="00EC06E7">
        <w:rPr>
          <w:rFonts w:cs="Courier New"/>
          <w:color w:val="000000" w:themeColor="text1"/>
          <w:szCs w:val="22"/>
        </w:rPr>
        <w:t>.</w:t>
      </w:r>
    </w:p>
    <w:p w14:paraId="4EBB38D4" w14:textId="77777777" w:rsidR="00255B34" w:rsidRPr="00EC06E7" w:rsidRDefault="00255B34" w:rsidP="007735EC">
      <w:pPr>
        <w:rPr>
          <w:rFonts w:cs="Courier New"/>
          <w:color w:val="000000" w:themeColor="text1"/>
          <w:szCs w:val="22"/>
        </w:rPr>
      </w:pPr>
    </w:p>
    <w:p w14:paraId="7F80095C" w14:textId="77777777" w:rsidR="00200372" w:rsidRPr="00EC06E7" w:rsidRDefault="00200372" w:rsidP="007735EC">
      <w:pPr>
        <w:rPr>
          <w:rFonts w:cs="Courier New"/>
          <w:b/>
          <w:color w:val="000000" w:themeColor="text1"/>
          <w:szCs w:val="22"/>
        </w:rPr>
      </w:pPr>
      <w:r w:rsidRPr="00EC06E7">
        <w:rPr>
          <w:rFonts w:cs="Courier New"/>
          <w:b/>
          <w:color w:val="000000" w:themeColor="text1"/>
          <w:szCs w:val="22"/>
        </w:rPr>
        <w:t>Investment Properties</w:t>
      </w:r>
    </w:p>
    <w:p w14:paraId="6DF40149" w14:textId="77777777" w:rsidR="00200372" w:rsidRPr="00EC06E7" w:rsidRDefault="00200372" w:rsidP="007735EC">
      <w:pPr>
        <w:rPr>
          <w:rFonts w:cs="Courier New"/>
          <w:color w:val="000000" w:themeColor="text1"/>
          <w:szCs w:val="22"/>
        </w:rPr>
      </w:pPr>
      <w:r w:rsidRPr="00EC06E7">
        <w:rPr>
          <w:rFonts w:cs="Courier New"/>
          <w:color w:val="000000" w:themeColor="text1"/>
          <w:szCs w:val="22"/>
        </w:rPr>
        <w:t>Investment properties have been assessed using the identifiable criteria under the international accounting standards of being held for rental income or for capital appreciation. Properties have been assessed using these criteria, which is subject to interpretation, to determine if there is an operational reason for holding the property, such as regeneration.</w:t>
      </w:r>
      <w:r w:rsidR="00F23E0C">
        <w:rPr>
          <w:rFonts w:cs="Courier New"/>
          <w:color w:val="000000" w:themeColor="text1"/>
          <w:szCs w:val="22"/>
        </w:rPr>
        <w:t xml:space="preserve"> </w:t>
      </w:r>
      <w:r w:rsidR="0032208B" w:rsidRPr="0032208B">
        <w:rPr>
          <w:rFonts w:cs="Courier New"/>
          <w:color w:val="000000" w:themeColor="text1"/>
          <w:szCs w:val="22"/>
        </w:rPr>
        <w:t>Where properties have been categorised as investment properties the council is satisfied that they are held solely for capital appreciation</w:t>
      </w:r>
      <w:r w:rsidR="0032208B">
        <w:rPr>
          <w:rFonts w:cs="Courier New"/>
          <w:color w:val="000000" w:themeColor="text1"/>
          <w:szCs w:val="22"/>
        </w:rPr>
        <w:t xml:space="preserve"> or </w:t>
      </w:r>
      <w:r w:rsidR="0032208B" w:rsidRPr="0032208B">
        <w:rPr>
          <w:rFonts w:cs="Courier New"/>
          <w:color w:val="000000" w:themeColor="text1"/>
          <w:szCs w:val="22"/>
        </w:rPr>
        <w:t>income generation</w:t>
      </w:r>
      <w:r w:rsidR="0032208B">
        <w:rPr>
          <w:rFonts w:cs="Courier New"/>
          <w:color w:val="000000" w:themeColor="text1"/>
          <w:szCs w:val="22"/>
        </w:rPr>
        <w:t>.</w:t>
      </w:r>
    </w:p>
    <w:p w14:paraId="44E238E4" w14:textId="77777777" w:rsidR="006627F1" w:rsidRPr="00EC06E7" w:rsidRDefault="006627F1" w:rsidP="007735EC">
      <w:pPr>
        <w:rPr>
          <w:rFonts w:cs="Courier New"/>
          <w:b/>
          <w:color w:val="000000" w:themeColor="text1"/>
          <w:szCs w:val="22"/>
        </w:rPr>
      </w:pPr>
    </w:p>
    <w:p w14:paraId="35AD67E8" w14:textId="77777777" w:rsidR="00200372" w:rsidRPr="00EC06E7" w:rsidRDefault="00200372" w:rsidP="007735EC">
      <w:pPr>
        <w:rPr>
          <w:rFonts w:cs="Courier New"/>
          <w:b/>
          <w:color w:val="000000" w:themeColor="text1"/>
          <w:szCs w:val="22"/>
        </w:rPr>
      </w:pPr>
      <w:r w:rsidRPr="00EC06E7">
        <w:rPr>
          <w:rFonts w:cs="Courier New"/>
          <w:b/>
          <w:color w:val="000000" w:themeColor="text1"/>
          <w:szCs w:val="22"/>
        </w:rPr>
        <w:t>Leases</w:t>
      </w:r>
    </w:p>
    <w:p w14:paraId="58780A65" w14:textId="77777777" w:rsidR="00200372" w:rsidRPr="00EC06E7" w:rsidRDefault="00200372" w:rsidP="007735EC">
      <w:pPr>
        <w:rPr>
          <w:rFonts w:cs="Courier New"/>
          <w:color w:val="000000" w:themeColor="text1"/>
          <w:szCs w:val="22"/>
        </w:rPr>
      </w:pPr>
      <w:r w:rsidRPr="00EC06E7">
        <w:rPr>
          <w:rFonts w:cs="Courier New"/>
          <w:color w:val="000000" w:themeColor="text1"/>
          <w:szCs w:val="22"/>
        </w:rPr>
        <w:t xml:space="preserve">The </w:t>
      </w:r>
      <w:r w:rsidR="005124B6">
        <w:rPr>
          <w:rFonts w:cs="Courier New"/>
          <w:color w:val="000000" w:themeColor="text1"/>
          <w:szCs w:val="22"/>
        </w:rPr>
        <w:t>c</w:t>
      </w:r>
      <w:r w:rsidRPr="00EC06E7">
        <w:rPr>
          <w:rFonts w:cs="Courier New"/>
          <w:color w:val="000000" w:themeColor="text1"/>
          <w:szCs w:val="22"/>
        </w:rPr>
        <w:t xml:space="preserve">ouncil has examined its </w:t>
      </w:r>
      <w:proofErr w:type="gramStart"/>
      <w:r w:rsidRPr="00EC06E7">
        <w:rPr>
          <w:rFonts w:cs="Courier New"/>
          <w:color w:val="000000" w:themeColor="text1"/>
          <w:szCs w:val="22"/>
        </w:rPr>
        <w:t>leases, and</w:t>
      </w:r>
      <w:proofErr w:type="gramEnd"/>
      <w:r w:rsidRPr="00EC06E7">
        <w:rPr>
          <w:rFonts w:cs="Courier New"/>
          <w:color w:val="000000" w:themeColor="text1"/>
          <w:szCs w:val="22"/>
        </w:rPr>
        <w:t xml:space="preserve"> classified them as either operational or finance leases. In some </w:t>
      </w:r>
      <w:proofErr w:type="gramStart"/>
      <w:r w:rsidRPr="00EC06E7">
        <w:rPr>
          <w:rFonts w:cs="Courier New"/>
          <w:color w:val="000000" w:themeColor="text1"/>
          <w:szCs w:val="22"/>
        </w:rPr>
        <w:t>cases</w:t>
      </w:r>
      <w:proofErr w:type="gramEnd"/>
      <w:r w:rsidRPr="00EC06E7">
        <w:rPr>
          <w:rFonts w:cs="Courier New"/>
          <w:color w:val="000000" w:themeColor="text1"/>
          <w:szCs w:val="22"/>
        </w:rPr>
        <w:t xml:space="preserve"> the lease transaction is not always conclusive and the </w:t>
      </w:r>
      <w:r w:rsidR="005124B6">
        <w:rPr>
          <w:rFonts w:cs="Courier New"/>
          <w:color w:val="000000" w:themeColor="text1"/>
          <w:szCs w:val="22"/>
        </w:rPr>
        <w:t>c</w:t>
      </w:r>
      <w:r w:rsidRPr="00EC06E7">
        <w:rPr>
          <w:rFonts w:cs="Courier New"/>
          <w:color w:val="000000" w:themeColor="text1"/>
          <w:szCs w:val="22"/>
        </w:rPr>
        <w:t xml:space="preserve">ouncil uses judgement in determining whether the lease is a finance lease arrangement that transfers substantially all the risks and rewards incidental to ownership. In reassessing the </w:t>
      </w:r>
      <w:proofErr w:type="gramStart"/>
      <w:r w:rsidRPr="00EC06E7">
        <w:rPr>
          <w:rFonts w:cs="Courier New"/>
          <w:color w:val="000000" w:themeColor="text1"/>
          <w:szCs w:val="22"/>
        </w:rPr>
        <w:t>lease</w:t>
      </w:r>
      <w:proofErr w:type="gramEnd"/>
      <w:r w:rsidRPr="00EC06E7">
        <w:rPr>
          <w:rFonts w:cs="Courier New"/>
          <w:color w:val="000000" w:themeColor="text1"/>
          <w:szCs w:val="22"/>
        </w:rPr>
        <w:t xml:space="preserve"> the </w:t>
      </w:r>
      <w:r w:rsidR="005124B6">
        <w:rPr>
          <w:rFonts w:cs="Courier New"/>
          <w:color w:val="000000" w:themeColor="text1"/>
          <w:szCs w:val="22"/>
        </w:rPr>
        <w:t>c</w:t>
      </w:r>
      <w:r w:rsidRPr="00EC06E7">
        <w:rPr>
          <w:rFonts w:cs="Courier New"/>
          <w:color w:val="000000" w:themeColor="text1"/>
          <w:szCs w:val="22"/>
        </w:rPr>
        <w:t>ouncil has estimated the implied interest rate within the lease to calculate interest and principal payments.</w:t>
      </w:r>
    </w:p>
    <w:p w14:paraId="103399BD" w14:textId="77777777" w:rsidR="006A7123" w:rsidRPr="00EC06E7" w:rsidRDefault="006A7123" w:rsidP="007735EC">
      <w:pPr>
        <w:rPr>
          <w:rFonts w:cs="Courier New"/>
          <w:color w:val="000000" w:themeColor="text1"/>
          <w:szCs w:val="22"/>
        </w:rPr>
      </w:pPr>
    </w:p>
    <w:p w14:paraId="269DA15B" w14:textId="77777777" w:rsidR="00E5530A" w:rsidRPr="00EC06E7" w:rsidRDefault="00E5530A" w:rsidP="007735EC">
      <w:pPr>
        <w:rPr>
          <w:rFonts w:cs="Courier New"/>
          <w:b/>
          <w:color w:val="000000" w:themeColor="text1"/>
          <w:szCs w:val="22"/>
        </w:rPr>
      </w:pPr>
      <w:r w:rsidRPr="00EC06E7">
        <w:rPr>
          <w:rFonts w:cs="Courier New"/>
          <w:b/>
          <w:color w:val="000000" w:themeColor="text1"/>
          <w:szCs w:val="22"/>
        </w:rPr>
        <w:t>Group Accounts</w:t>
      </w:r>
    </w:p>
    <w:p w14:paraId="0843F4A8" w14:textId="77777777" w:rsidR="00E5530A" w:rsidRPr="00EC06E7" w:rsidRDefault="00E5530A" w:rsidP="007735EC">
      <w:pPr>
        <w:rPr>
          <w:rFonts w:cs="Courier New"/>
          <w:color w:val="000000" w:themeColor="text1"/>
          <w:szCs w:val="22"/>
        </w:rPr>
      </w:pPr>
      <w:r w:rsidRPr="00EC06E7">
        <w:rPr>
          <w:rFonts w:cs="Courier New"/>
          <w:color w:val="000000" w:themeColor="text1"/>
          <w:szCs w:val="22"/>
        </w:rPr>
        <w:t xml:space="preserve">The </w:t>
      </w:r>
      <w:r w:rsidR="005124B6">
        <w:rPr>
          <w:rFonts w:cs="Courier New"/>
          <w:color w:val="000000" w:themeColor="text1"/>
          <w:szCs w:val="22"/>
        </w:rPr>
        <w:t>c</w:t>
      </w:r>
      <w:r w:rsidRPr="00EC06E7">
        <w:rPr>
          <w:rFonts w:cs="Courier New"/>
          <w:color w:val="000000" w:themeColor="text1"/>
          <w:szCs w:val="22"/>
        </w:rPr>
        <w:t xml:space="preserve">ouncil’s group boundaries have been assessed using the criteria outlined in The Code. The </w:t>
      </w:r>
      <w:r w:rsidR="005124B6">
        <w:rPr>
          <w:rFonts w:cs="Courier New"/>
          <w:color w:val="000000" w:themeColor="text1"/>
          <w:szCs w:val="22"/>
        </w:rPr>
        <w:t>c</w:t>
      </w:r>
      <w:r w:rsidR="007A1A31" w:rsidRPr="00EC06E7">
        <w:rPr>
          <w:rFonts w:cs="Courier New"/>
          <w:color w:val="000000" w:themeColor="text1"/>
          <w:szCs w:val="22"/>
        </w:rPr>
        <w:t>ouncil</w:t>
      </w:r>
      <w:r w:rsidRPr="00EC06E7">
        <w:rPr>
          <w:rFonts w:cs="Courier New"/>
          <w:color w:val="000000" w:themeColor="text1"/>
          <w:szCs w:val="22"/>
        </w:rPr>
        <w:t xml:space="preserve"> </w:t>
      </w:r>
      <w:r w:rsidR="007A1A31" w:rsidRPr="00EC06E7">
        <w:rPr>
          <w:rFonts w:cs="Courier New"/>
          <w:color w:val="000000" w:themeColor="text1"/>
          <w:szCs w:val="22"/>
        </w:rPr>
        <w:t>h</w:t>
      </w:r>
      <w:r w:rsidRPr="00EC06E7">
        <w:rPr>
          <w:rFonts w:cs="Courier New"/>
          <w:color w:val="000000" w:themeColor="text1"/>
          <w:szCs w:val="22"/>
        </w:rPr>
        <w:t xml:space="preserve">as assessed </w:t>
      </w:r>
      <w:r w:rsidR="0075300A">
        <w:rPr>
          <w:rFonts w:cs="Courier New"/>
          <w:color w:val="000000" w:themeColor="text1"/>
          <w:szCs w:val="22"/>
        </w:rPr>
        <w:t>relationships and found none which</w:t>
      </w:r>
      <w:r w:rsidR="007A1A31" w:rsidRPr="00EC06E7">
        <w:rPr>
          <w:rFonts w:cs="Courier New"/>
          <w:color w:val="000000" w:themeColor="text1"/>
          <w:szCs w:val="22"/>
        </w:rPr>
        <w:t xml:space="preserve"> require the preparation of group accounts.</w:t>
      </w:r>
    </w:p>
    <w:p w14:paraId="320D8748" w14:textId="77777777" w:rsidR="00F1015E" w:rsidRPr="00EC06E7" w:rsidRDefault="00F1015E" w:rsidP="007735EC">
      <w:pPr>
        <w:rPr>
          <w:rFonts w:cs="Courier New"/>
          <w:b/>
          <w:color w:val="000000" w:themeColor="text1"/>
          <w:szCs w:val="22"/>
        </w:rPr>
      </w:pPr>
    </w:p>
    <w:p w14:paraId="4C0B9C1D" w14:textId="77777777" w:rsidR="00F1015E" w:rsidRPr="00EC06E7" w:rsidRDefault="00F1015E" w:rsidP="007735EC">
      <w:pPr>
        <w:rPr>
          <w:rFonts w:cs="Courier New"/>
          <w:b/>
          <w:color w:val="000000" w:themeColor="text1"/>
          <w:szCs w:val="22"/>
        </w:rPr>
      </w:pPr>
      <w:r w:rsidRPr="00EC06E7">
        <w:rPr>
          <w:rFonts w:cs="Courier New"/>
          <w:b/>
          <w:color w:val="000000" w:themeColor="text1"/>
          <w:szCs w:val="22"/>
        </w:rPr>
        <w:t>Fair Values</w:t>
      </w:r>
    </w:p>
    <w:p w14:paraId="7470DEE5" w14:textId="78CB4A5B" w:rsidR="00F1015E" w:rsidRPr="00EC06E7" w:rsidRDefault="00E32B17" w:rsidP="007735EC">
      <w:pPr>
        <w:rPr>
          <w:rFonts w:cs="Courier New"/>
          <w:color w:val="000000" w:themeColor="text1"/>
          <w:szCs w:val="22"/>
        </w:rPr>
      </w:pPr>
      <w:r w:rsidRPr="00EC06E7">
        <w:rPr>
          <w:rFonts w:cs="Courier New"/>
          <w:color w:val="000000" w:themeColor="text1"/>
          <w:szCs w:val="22"/>
        </w:rPr>
        <w:t xml:space="preserve">When measuring the fair value of a non-financial asset, the </w:t>
      </w:r>
      <w:r w:rsidR="005124B6">
        <w:rPr>
          <w:rFonts w:cs="Courier New"/>
          <w:color w:val="000000" w:themeColor="text1"/>
          <w:szCs w:val="22"/>
        </w:rPr>
        <w:t>c</w:t>
      </w:r>
      <w:r w:rsidRPr="00EC06E7">
        <w:rPr>
          <w:rFonts w:cs="Courier New"/>
          <w:color w:val="000000" w:themeColor="text1"/>
          <w:szCs w:val="22"/>
        </w:rPr>
        <w:t xml:space="preserve">ouncil </w:t>
      </w:r>
      <w:r w:rsidR="00F850BF" w:rsidRPr="00EC06E7">
        <w:rPr>
          <w:rFonts w:cs="Courier New"/>
          <w:color w:val="000000" w:themeColor="text1"/>
          <w:szCs w:val="22"/>
        </w:rPr>
        <w:t>uses judgement</w:t>
      </w:r>
      <w:r w:rsidRPr="00EC06E7">
        <w:rPr>
          <w:rFonts w:cs="Courier New"/>
          <w:color w:val="000000" w:themeColor="text1"/>
          <w:szCs w:val="22"/>
        </w:rPr>
        <w:t xml:space="preserve"> to ascertain a market participant's ability to generate economic benefits by using the asset in its highest and best use or by selling it to another market participant that would use the asset in its highest and best use. It also uses judgements regarding inputs to valuation techniques, particularly whether they are applicable and relevant to the assets or liabilities, either directly or indirectly, being valued.</w:t>
      </w:r>
    </w:p>
    <w:p w14:paraId="2923F9A5" w14:textId="77777777" w:rsidR="00100C73" w:rsidRDefault="00100C73" w:rsidP="007735EC">
      <w:pPr>
        <w:rPr>
          <w:rFonts w:cs="Courier New"/>
          <w:b/>
          <w:szCs w:val="22"/>
        </w:rPr>
      </w:pPr>
    </w:p>
    <w:p w14:paraId="642CEB8E" w14:textId="77777777" w:rsidR="00667DD4" w:rsidRDefault="00667DD4" w:rsidP="00667DD4">
      <w:pPr>
        <w:rPr>
          <w:rFonts w:cs="Courier New"/>
          <w:b/>
          <w:szCs w:val="22"/>
        </w:rPr>
      </w:pPr>
      <w:r>
        <w:rPr>
          <w:rFonts w:cs="Courier New"/>
          <w:b/>
          <w:szCs w:val="22"/>
        </w:rPr>
        <w:t>Business Rates Appeals</w:t>
      </w:r>
    </w:p>
    <w:p w14:paraId="2A55A4C4" w14:textId="77777777" w:rsidR="00667DD4" w:rsidRPr="002579D7" w:rsidRDefault="00667DD4" w:rsidP="00667DD4">
      <w:pPr>
        <w:rPr>
          <w:rFonts w:cs="Courier New"/>
          <w:bCs/>
          <w:szCs w:val="22"/>
        </w:rPr>
      </w:pPr>
    </w:p>
    <w:p w14:paraId="329EC88C" w14:textId="77777777" w:rsidR="00667DD4" w:rsidRPr="002579D7" w:rsidRDefault="00667DD4" w:rsidP="00667DD4">
      <w:pPr>
        <w:rPr>
          <w:rFonts w:cs="Courier New"/>
          <w:bCs/>
          <w:szCs w:val="22"/>
        </w:rPr>
      </w:pPr>
      <w:r w:rsidRPr="002579D7">
        <w:rPr>
          <w:rFonts w:cs="Courier New"/>
          <w:bCs/>
          <w:szCs w:val="22"/>
        </w:rPr>
        <w:t>With business rates, ratepayers who consider the rateable values of their properties to be too high can lodge an appeal with the Valuation Office to have it reviewed. Any resulting reduction in bills can be backdated, perhaps over several years. This creates an uncertainty, because it means that the amount of income for the year from business rates, which has been included by the council in this Statement of Accounts, may later be reduced. Given that the gross income (before reliefs) in each financial year is over £40m and that the provision is required to cover several years, even a relatively low percentage allowance produces a material amount, so the council must acknowledge this in its Statement.</w:t>
      </w:r>
    </w:p>
    <w:p w14:paraId="1080786E" w14:textId="77777777" w:rsidR="00667DD4" w:rsidRPr="002579D7" w:rsidRDefault="00667DD4" w:rsidP="00667DD4">
      <w:pPr>
        <w:rPr>
          <w:rFonts w:cs="Courier New"/>
          <w:bCs/>
          <w:szCs w:val="22"/>
        </w:rPr>
      </w:pPr>
    </w:p>
    <w:p w14:paraId="2B98D813" w14:textId="77777777" w:rsidR="00667DD4" w:rsidRPr="002579D7" w:rsidRDefault="00667DD4" w:rsidP="00667DD4">
      <w:pPr>
        <w:rPr>
          <w:rFonts w:cs="Courier New"/>
          <w:bCs/>
          <w:szCs w:val="22"/>
        </w:rPr>
      </w:pPr>
      <w:r w:rsidRPr="002579D7">
        <w:rPr>
          <w:rFonts w:cs="Courier New"/>
          <w:bCs/>
          <w:szCs w:val="22"/>
        </w:rPr>
        <w:t xml:space="preserve">Given that the uncertainties involved, </w:t>
      </w:r>
      <w:proofErr w:type="spellStart"/>
      <w:r w:rsidRPr="002579D7">
        <w:rPr>
          <w:rFonts w:cs="Courier New"/>
          <w:bCs/>
          <w:szCs w:val="22"/>
        </w:rPr>
        <w:t>ie</w:t>
      </w:r>
      <w:proofErr w:type="spellEnd"/>
      <w:r w:rsidRPr="002579D7">
        <w:rPr>
          <w:rFonts w:cs="Courier New"/>
          <w:bCs/>
          <w:szCs w:val="22"/>
        </w:rPr>
        <w:t xml:space="preserve"> the numbers of future appeals, their value and how far they will be backdated are all unknown, the question arises as to whether this should be treated as a provision or as a contingent liability. It is considered that it should be recognised as a provision, rather than as a contingent liability, because it meets the definition of a provision under IAS 37, in that there is:</w:t>
      </w:r>
    </w:p>
    <w:p w14:paraId="21A608A7" w14:textId="77777777" w:rsidR="00667DD4" w:rsidRPr="002579D7" w:rsidRDefault="00667DD4" w:rsidP="00E948BF">
      <w:pPr>
        <w:pStyle w:val="ListParagraph"/>
        <w:numPr>
          <w:ilvl w:val="0"/>
          <w:numId w:val="36"/>
        </w:numPr>
        <w:rPr>
          <w:rFonts w:cs="Courier New"/>
          <w:bCs/>
          <w:szCs w:val="22"/>
        </w:rPr>
      </w:pPr>
      <w:r w:rsidRPr="002579D7">
        <w:rPr>
          <w:rFonts w:cs="Courier New"/>
          <w:bCs/>
          <w:szCs w:val="22"/>
        </w:rPr>
        <w:t>a present obligation arising from a past event;</w:t>
      </w:r>
    </w:p>
    <w:p w14:paraId="79A6A789" w14:textId="77777777" w:rsidR="00667DD4" w:rsidRPr="002579D7" w:rsidRDefault="00667DD4" w:rsidP="00E948BF">
      <w:pPr>
        <w:pStyle w:val="ListParagraph"/>
        <w:numPr>
          <w:ilvl w:val="0"/>
          <w:numId w:val="36"/>
        </w:numPr>
        <w:rPr>
          <w:rFonts w:cs="Courier New"/>
          <w:bCs/>
          <w:szCs w:val="22"/>
        </w:rPr>
      </w:pPr>
      <w:r w:rsidRPr="002579D7">
        <w:rPr>
          <w:rFonts w:cs="Courier New"/>
          <w:bCs/>
          <w:szCs w:val="22"/>
        </w:rPr>
        <w:t>payment is probable;</w:t>
      </w:r>
    </w:p>
    <w:p w14:paraId="09762DCE" w14:textId="77777777" w:rsidR="00667DD4" w:rsidRPr="002579D7" w:rsidRDefault="00667DD4" w:rsidP="00E948BF">
      <w:pPr>
        <w:pStyle w:val="ListParagraph"/>
        <w:numPr>
          <w:ilvl w:val="0"/>
          <w:numId w:val="36"/>
        </w:numPr>
        <w:rPr>
          <w:rFonts w:cs="Courier New"/>
          <w:bCs/>
          <w:szCs w:val="22"/>
        </w:rPr>
      </w:pPr>
      <w:r w:rsidRPr="002579D7">
        <w:rPr>
          <w:rFonts w:cs="Courier New"/>
          <w:bCs/>
          <w:szCs w:val="22"/>
        </w:rPr>
        <w:t>the amount can be estimated reliably.</w:t>
      </w:r>
    </w:p>
    <w:p w14:paraId="15C7F535" w14:textId="77777777" w:rsidR="00667DD4" w:rsidRPr="002579D7" w:rsidRDefault="00667DD4" w:rsidP="00667DD4">
      <w:pPr>
        <w:rPr>
          <w:rFonts w:cs="Courier New"/>
          <w:bCs/>
          <w:szCs w:val="22"/>
        </w:rPr>
      </w:pPr>
    </w:p>
    <w:p w14:paraId="33169CAA" w14:textId="77777777" w:rsidR="00667DD4" w:rsidRPr="002579D7" w:rsidRDefault="00667DD4" w:rsidP="00667DD4">
      <w:pPr>
        <w:rPr>
          <w:rFonts w:cs="Courier New"/>
          <w:bCs/>
          <w:szCs w:val="22"/>
        </w:rPr>
      </w:pPr>
      <w:r w:rsidRPr="002579D7">
        <w:rPr>
          <w:rFonts w:cs="Courier New"/>
          <w:bCs/>
          <w:szCs w:val="22"/>
        </w:rPr>
        <w:t>In respect of (1), the ‘present obligation’ can (under IAS 37) be either legal or constructive. For appeals already lodged the present obligation would be legal. However, for appeals not yet lodged, the present obligation is constructive, on the basis that the past practice of the council, in processing liability adjustments and associated refunds, creates a valid expectation on the part of the business rates payer that refunds will be granted in the future, as a result of equivalent liability adjustments. The past event is the raising of the business rates charge.</w:t>
      </w:r>
    </w:p>
    <w:p w14:paraId="0584F842" w14:textId="77777777" w:rsidR="00667DD4" w:rsidRPr="002579D7" w:rsidRDefault="00667DD4" w:rsidP="00667DD4">
      <w:pPr>
        <w:rPr>
          <w:rFonts w:cs="Courier New"/>
          <w:bCs/>
          <w:szCs w:val="22"/>
        </w:rPr>
      </w:pPr>
    </w:p>
    <w:p w14:paraId="5934AEED" w14:textId="77777777" w:rsidR="00667DD4" w:rsidRPr="002579D7" w:rsidRDefault="00667DD4" w:rsidP="00667DD4">
      <w:pPr>
        <w:rPr>
          <w:rFonts w:cs="Courier New"/>
          <w:bCs/>
          <w:szCs w:val="22"/>
        </w:rPr>
      </w:pPr>
      <w:r w:rsidRPr="002579D7">
        <w:rPr>
          <w:rFonts w:cs="Courier New"/>
          <w:bCs/>
          <w:szCs w:val="22"/>
        </w:rPr>
        <w:t>In respect of (2), there is a probability of payment, although there is a chance that refunds may not be payable, if individual businesses no longer exist. However, the number of such credits written off IS very low. Any credits that are written off require liability adjustment (effectively re-raising the debt for refunds that are not payable). As such they are included in the data that feeds into the provision calculation.</w:t>
      </w:r>
    </w:p>
    <w:p w14:paraId="5527A7B7" w14:textId="77777777" w:rsidR="00667DD4" w:rsidRPr="002579D7" w:rsidRDefault="00667DD4" w:rsidP="00667DD4">
      <w:pPr>
        <w:rPr>
          <w:rFonts w:cs="Courier New"/>
          <w:bCs/>
          <w:szCs w:val="22"/>
        </w:rPr>
      </w:pPr>
    </w:p>
    <w:p w14:paraId="6D5A0DB7" w14:textId="526AE3E0" w:rsidR="00667DD4" w:rsidRPr="002579D7" w:rsidRDefault="00667DD4" w:rsidP="00667DD4">
      <w:pPr>
        <w:rPr>
          <w:rFonts w:cs="Courier New"/>
          <w:bCs/>
          <w:szCs w:val="22"/>
        </w:rPr>
      </w:pPr>
      <w:r w:rsidRPr="002579D7">
        <w:rPr>
          <w:rFonts w:cs="Courier New"/>
          <w:bCs/>
          <w:szCs w:val="22"/>
        </w:rPr>
        <w:t xml:space="preserve">In respect of (3), because of the nature of the revised appeals process introduced from April 2017 onwards, there are </w:t>
      </w:r>
      <w:proofErr w:type="gramStart"/>
      <w:r w:rsidRPr="002579D7">
        <w:rPr>
          <w:rFonts w:cs="Courier New"/>
          <w:bCs/>
          <w:szCs w:val="22"/>
        </w:rPr>
        <w:t>particular issues</w:t>
      </w:r>
      <w:proofErr w:type="gramEnd"/>
      <w:r w:rsidRPr="002579D7">
        <w:rPr>
          <w:rFonts w:cs="Courier New"/>
          <w:bCs/>
          <w:szCs w:val="22"/>
        </w:rPr>
        <w:t xml:space="preserve"> in estimating the potential value of appeals against valuations effective from that time onwards. The pattern of liability movements resulting from successful appeals across the years from 2010/11 to 2016/17 have been reviewed</w:t>
      </w:r>
      <w:r w:rsidR="004E129D">
        <w:rPr>
          <w:rFonts w:cs="Courier New"/>
          <w:bCs/>
          <w:szCs w:val="22"/>
        </w:rPr>
        <w:t>, together with information on the numbers and potential values of cases at the ‘Check’ and ‘Challenge’ stages of the process for 2017 list appeals</w:t>
      </w:r>
      <w:r w:rsidRPr="002579D7">
        <w:rPr>
          <w:rFonts w:cs="Courier New"/>
          <w:bCs/>
          <w:szCs w:val="22"/>
        </w:rPr>
        <w:t>. Th</w:t>
      </w:r>
      <w:r w:rsidR="004E129D">
        <w:rPr>
          <w:rFonts w:cs="Courier New"/>
          <w:bCs/>
          <w:szCs w:val="22"/>
        </w:rPr>
        <w:t>e</w:t>
      </w:r>
      <w:r w:rsidRPr="002579D7">
        <w:rPr>
          <w:rFonts w:cs="Courier New"/>
          <w:bCs/>
          <w:szCs w:val="22"/>
        </w:rPr>
        <w:t>s</w:t>
      </w:r>
      <w:r w:rsidR="004E129D">
        <w:rPr>
          <w:rFonts w:cs="Courier New"/>
          <w:bCs/>
          <w:szCs w:val="22"/>
        </w:rPr>
        <w:t>e</w:t>
      </w:r>
      <w:r w:rsidRPr="002579D7">
        <w:rPr>
          <w:rFonts w:cs="Courier New"/>
          <w:bCs/>
          <w:szCs w:val="22"/>
        </w:rPr>
        <w:t>, together with comments by the Valuation Office that the approach adopted for the 2017 revaluation was the same as for earlier valuations and a review of the approaches adopted by other authorities, supports the view that the level of provision made by the council at the end of 20</w:t>
      </w:r>
      <w:r>
        <w:rPr>
          <w:rFonts w:cs="Courier New"/>
          <w:bCs/>
          <w:szCs w:val="22"/>
        </w:rPr>
        <w:t>20</w:t>
      </w:r>
      <w:r w:rsidR="004E129D">
        <w:rPr>
          <w:rFonts w:cs="Courier New"/>
          <w:bCs/>
          <w:szCs w:val="22"/>
        </w:rPr>
        <w:t>/21</w:t>
      </w:r>
      <w:r w:rsidRPr="002579D7">
        <w:rPr>
          <w:rFonts w:cs="Courier New"/>
          <w:bCs/>
          <w:szCs w:val="22"/>
        </w:rPr>
        <w:t xml:space="preserve"> is </w:t>
      </w:r>
      <w:r>
        <w:rPr>
          <w:rFonts w:cs="Courier New"/>
          <w:bCs/>
          <w:szCs w:val="22"/>
        </w:rPr>
        <w:t xml:space="preserve">of an </w:t>
      </w:r>
      <w:r w:rsidRPr="002579D7">
        <w:rPr>
          <w:rFonts w:cs="Courier New"/>
          <w:bCs/>
          <w:szCs w:val="22"/>
        </w:rPr>
        <w:t xml:space="preserve">appropriate </w:t>
      </w:r>
      <w:r>
        <w:rPr>
          <w:rFonts w:cs="Courier New"/>
          <w:bCs/>
          <w:szCs w:val="22"/>
        </w:rPr>
        <w:t>level</w:t>
      </w:r>
      <w:r w:rsidRPr="002579D7">
        <w:rPr>
          <w:rFonts w:cs="Courier New"/>
          <w:bCs/>
          <w:szCs w:val="22"/>
        </w:rPr>
        <w:t>.</w:t>
      </w:r>
    </w:p>
    <w:p w14:paraId="32CD1773" w14:textId="77777777" w:rsidR="00667DD4" w:rsidRPr="002579D7" w:rsidRDefault="00667DD4" w:rsidP="00667DD4">
      <w:pPr>
        <w:rPr>
          <w:rFonts w:cs="Courier New"/>
          <w:bCs/>
          <w:szCs w:val="22"/>
        </w:rPr>
      </w:pPr>
    </w:p>
    <w:p w14:paraId="010954E6" w14:textId="77777777" w:rsidR="00667DD4" w:rsidRPr="002579D7" w:rsidRDefault="00667DD4" w:rsidP="00667DD4">
      <w:pPr>
        <w:rPr>
          <w:rFonts w:cs="Courier New"/>
          <w:bCs/>
          <w:szCs w:val="22"/>
        </w:rPr>
      </w:pPr>
      <w:r w:rsidRPr="002579D7">
        <w:rPr>
          <w:rFonts w:cs="Courier New"/>
          <w:bCs/>
          <w:szCs w:val="22"/>
        </w:rPr>
        <w:t>The need for local authorities to consider making a business rates appeals provision developed as a result of the change to ‘Business Rates Retention’ within the local government finance system from 2013/14 onwards. Prior to this, the impact of appeals was absorbed within the amounts paid by the council into the then national business rates pool. The relevant CIPFA guidance clarified the view on whether authorities should include an element for refunds on appeals not yet lodged. It quoted IAS 37, paragraph 39 which deals with situations involving large populations where the obligation is estimated by weighting all possible outcomes by their associated probabilities. It is considered that the appeals provision methodology adopted by the council is entirely consistent with this ‘expected value’ methodology.</w:t>
      </w:r>
    </w:p>
    <w:p w14:paraId="5E0A9EEB" w14:textId="77777777" w:rsidR="00B6434D" w:rsidRPr="004E129D" w:rsidRDefault="00B6434D" w:rsidP="007735EC">
      <w:pPr>
        <w:rPr>
          <w:rFonts w:cs="Courier New"/>
          <w:bCs/>
          <w:szCs w:val="22"/>
        </w:rPr>
      </w:pPr>
    </w:p>
    <w:p w14:paraId="587F9362" w14:textId="77777777" w:rsidR="00667DD4" w:rsidRPr="004E129D" w:rsidRDefault="00667DD4" w:rsidP="007735EC">
      <w:pPr>
        <w:rPr>
          <w:rFonts w:cs="Courier New"/>
          <w:bCs/>
          <w:szCs w:val="22"/>
        </w:rPr>
      </w:pPr>
    </w:p>
    <w:p w14:paraId="3145FF21" w14:textId="77777777" w:rsidR="002E54FF" w:rsidRPr="001422EA" w:rsidRDefault="006E1448" w:rsidP="004E5A07">
      <w:pPr>
        <w:pStyle w:val="Heading2"/>
      </w:pPr>
      <w:bookmarkStart w:id="45" w:name="_Toc483390970"/>
      <w:bookmarkStart w:id="46" w:name="_Toc77603780"/>
      <w:r w:rsidRPr="001422EA">
        <w:t>Assumptions about the future and other major sources of estimation uncertainty</w:t>
      </w:r>
      <w:bookmarkEnd w:id="45"/>
      <w:bookmarkEnd w:id="46"/>
    </w:p>
    <w:p w14:paraId="6559575F" w14:textId="77777777" w:rsidR="00B7265F" w:rsidRPr="00EC06E7" w:rsidRDefault="00B7265F" w:rsidP="007735EC">
      <w:pPr>
        <w:rPr>
          <w:rFonts w:cs="Courier New"/>
          <w:b/>
          <w:szCs w:val="22"/>
        </w:rPr>
      </w:pPr>
    </w:p>
    <w:p w14:paraId="2F79D52B" w14:textId="77777777" w:rsidR="0019707D" w:rsidRPr="00EC06E7" w:rsidRDefault="004300C0" w:rsidP="007735EC">
      <w:pPr>
        <w:rPr>
          <w:rFonts w:cs="Courier New"/>
          <w:szCs w:val="22"/>
        </w:rPr>
      </w:pPr>
      <w:r w:rsidRPr="00EC06E7">
        <w:rPr>
          <w:rFonts w:cs="Courier New"/>
          <w:szCs w:val="22"/>
        </w:rPr>
        <w:t xml:space="preserve">The Statement of Accounts contains figures estimated </w:t>
      </w:r>
      <w:proofErr w:type="gramStart"/>
      <w:r w:rsidRPr="00EC06E7">
        <w:rPr>
          <w:rFonts w:cs="Courier New"/>
          <w:szCs w:val="22"/>
        </w:rPr>
        <w:t>on the basis of</w:t>
      </w:r>
      <w:proofErr w:type="gramEnd"/>
      <w:r w:rsidRPr="00EC06E7">
        <w:rPr>
          <w:rFonts w:cs="Courier New"/>
          <w:szCs w:val="22"/>
        </w:rPr>
        <w:t xml:space="preserve"> historical experience, current trends and other relevant factors.</w:t>
      </w:r>
      <w:r w:rsidR="00E27C87" w:rsidRPr="00EC06E7">
        <w:rPr>
          <w:rFonts w:cs="Courier New"/>
          <w:szCs w:val="22"/>
        </w:rPr>
        <w:t xml:space="preserve"> The following table notes items for which there is a significant risk of material future adjustment:</w:t>
      </w:r>
    </w:p>
    <w:p w14:paraId="6FF39D8C" w14:textId="77777777" w:rsidR="006627F1" w:rsidRPr="00EC06E7" w:rsidRDefault="006627F1" w:rsidP="007735EC">
      <w:pPr>
        <w:rPr>
          <w:rFonts w:cs="Courier New"/>
          <w:szCs w:val="22"/>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5103"/>
        <w:gridCol w:w="3260"/>
      </w:tblGrid>
      <w:tr w:rsidR="00AD4586" w:rsidRPr="00EC06E7" w14:paraId="31A9745E" w14:textId="77777777" w:rsidTr="001B447B">
        <w:trPr>
          <w:tblHeader/>
        </w:trPr>
        <w:tc>
          <w:tcPr>
            <w:tcW w:w="1276" w:type="dxa"/>
            <w:shd w:val="clear" w:color="auto" w:fill="B8CCE4" w:themeFill="accent1" w:themeFillTint="66"/>
            <w:tcMar>
              <w:top w:w="113" w:type="dxa"/>
              <w:bottom w:w="113" w:type="dxa"/>
            </w:tcMar>
          </w:tcPr>
          <w:p w14:paraId="6FEFF646" w14:textId="77777777" w:rsidR="007877CC" w:rsidRPr="00EC06E7" w:rsidRDefault="005D4E58" w:rsidP="00F3391B">
            <w:pPr>
              <w:rPr>
                <w:rFonts w:cs="Courier New"/>
                <w:b/>
                <w:szCs w:val="22"/>
              </w:rPr>
            </w:pPr>
            <w:r w:rsidRPr="00EC06E7">
              <w:rPr>
                <w:rFonts w:cs="Courier New"/>
                <w:b/>
                <w:szCs w:val="22"/>
              </w:rPr>
              <w:br w:type="page"/>
            </w:r>
            <w:r w:rsidR="007877CC" w:rsidRPr="00EC06E7">
              <w:rPr>
                <w:rFonts w:cs="Courier New"/>
                <w:b/>
                <w:szCs w:val="22"/>
              </w:rPr>
              <w:t>Item</w:t>
            </w:r>
          </w:p>
        </w:tc>
        <w:tc>
          <w:tcPr>
            <w:tcW w:w="5103" w:type="dxa"/>
            <w:shd w:val="clear" w:color="auto" w:fill="B8CCE4" w:themeFill="accent1" w:themeFillTint="66"/>
            <w:tcMar>
              <w:top w:w="113" w:type="dxa"/>
              <w:bottom w:w="113" w:type="dxa"/>
            </w:tcMar>
          </w:tcPr>
          <w:p w14:paraId="63C7C35A" w14:textId="77777777" w:rsidR="007877CC" w:rsidRPr="00EC06E7" w:rsidRDefault="007877CC" w:rsidP="00F3391B">
            <w:pPr>
              <w:rPr>
                <w:rFonts w:cs="Courier New"/>
                <w:b/>
                <w:szCs w:val="22"/>
              </w:rPr>
            </w:pPr>
            <w:r w:rsidRPr="00EC06E7">
              <w:rPr>
                <w:rFonts w:cs="Courier New"/>
                <w:b/>
                <w:szCs w:val="22"/>
              </w:rPr>
              <w:t>Uncertainty</w:t>
            </w:r>
          </w:p>
        </w:tc>
        <w:tc>
          <w:tcPr>
            <w:tcW w:w="3260" w:type="dxa"/>
            <w:shd w:val="clear" w:color="auto" w:fill="B8CCE4" w:themeFill="accent1" w:themeFillTint="66"/>
            <w:tcMar>
              <w:top w:w="113" w:type="dxa"/>
              <w:bottom w:w="113" w:type="dxa"/>
            </w:tcMar>
          </w:tcPr>
          <w:p w14:paraId="019E5181" w14:textId="77777777" w:rsidR="007877CC" w:rsidRPr="00EC06E7" w:rsidRDefault="007877CC" w:rsidP="00F3391B">
            <w:pPr>
              <w:rPr>
                <w:rFonts w:cs="Courier New"/>
                <w:b/>
                <w:szCs w:val="22"/>
              </w:rPr>
            </w:pPr>
            <w:r w:rsidRPr="00EC06E7">
              <w:rPr>
                <w:rFonts w:cs="Courier New"/>
                <w:b/>
                <w:szCs w:val="22"/>
              </w:rPr>
              <w:t>Effect if actual results differ</w:t>
            </w:r>
          </w:p>
        </w:tc>
      </w:tr>
      <w:tr w:rsidR="00AD4586" w:rsidRPr="00EC06E7" w14:paraId="214F3A36" w14:textId="77777777" w:rsidTr="000E0F45">
        <w:tc>
          <w:tcPr>
            <w:tcW w:w="1276" w:type="dxa"/>
            <w:shd w:val="clear" w:color="auto" w:fill="auto"/>
            <w:tcMar>
              <w:top w:w="113" w:type="dxa"/>
              <w:bottom w:w="113" w:type="dxa"/>
            </w:tcMar>
          </w:tcPr>
          <w:p w14:paraId="4CE1FDF6" w14:textId="1FA6C045" w:rsidR="007877CC" w:rsidRPr="008D6BA9" w:rsidRDefault="007877CC" w:rsidP="00F3391B">
            <w:pPr>
              <w:rPr>
                <w:rFonts w:cs="Courier New"/>
                <w:szCs w:val="22"/>
              </w:rPr>
            </w:pPr>
            <w:r w:rsidRPr="008D6BA9">
              <w:rPr>
                <w:rFonts w:cs="Courier New"/>
                <w:szCs w:val="22"/>
              </w:rPr>
              <w:t xml:space="preserve">Pensions </w:t>
            </w:r>
            <w:r w:rsidR="008D6BA9" w:rsidRPr="008D6BA9">
              <w:rPr>
                <w:rFonts w:cs="Courier New"/>
                <w:szCs w:val="22"/>
              </w:rPr>
              <w:t>l</w:t>
            </w:r>
            <w:r w:rsidRPr="008D6BA9">
              <w:rPr>
                <w:rFonts w:cs="Courier New"/>
                <w:szCs w:val="22"/>
              </w:rPr>
              <w:t>iability</w:t>
            </w:r>
            <w:r w:rsidR="008D6BA9" w:rsidRPr="008D6BA9">
              <w:rPr>
                <w:rFonts w:cs="Courier New"/>
                <w:szCs w:val="22"/>
              </w:rPr>
              <w:t xml:space="preserve"> and assets</w:t>
            </w:r>
          </w:p>
        </w:tc>
        <w:tc>
          <w:tcPr>
            <w:tcW w:w="5103" w:type="dxa"/>
            <w:shd w:val="clear" w:color="auto" w:fill="auto"/>
            <w:tcMar>
              <w:top w:w="113" w:type="dxa"/>
              <w:bottom w:w="113" w:type="dxa"/>
            </w:tcMar>
          </w:tcPr>
          <w:p w14:paraId="3E3B263E" w14:textId="77777777" w:rsidR="003E6A46" w:rsidRPr="008D6BA9" w:rsidRDefault="007877CC" w:rsidP="00B1137E">
            <w:pPr>
              <w:rPr>
                <w:rFonts w:cs="Courier New"/>
                <w:szCs w:val="22"/>
              </w:rPr>
            </w:pPr>
            <w:r w:rsidRPr="008D6BA9">
              <w:rPr>
                <w:rFonts w:cs="Courier New"/>
                <w:szCs w:val="22"/>
              </w:rPr>
              <w:t xml:space="preserve">The estimated liabilities depend on </w:t>
            </w:r>
            <w:proofErr w:type="gramStart"/>
            <w:r w:rsidRPr="008D6BA9">
              <w:rPr>
                <w:rFonts w:cs="Courier New"/>
                <w:szCs w:val="22"/>
              </w:rPr>
              <w:t>a number of</w:t>
            </w:r>
            <w:proofErr w:type="gramEnd"/>
            <w:r w:rsidRPr="008D6BA9">
              <w:rPr>
                <w:rFonts w:cs="Courier New"/>
                <w:szCs w:val="22"/>
              </w:rPr>
              <w:t xml:space="preserve"> complex judgements. These include future retirement ages, mortality rates, salary increases, returns on investments and discount rates.</w:t>
            </w:r>
            <w:r w:rsidR="006475AF" w:rsidRPr="008D6BA9">
              <w:rPr>
                <w:rFonts w:cs="Courier New"/>
                <w:szCs w:val="22"/>
              </w:rPr>
              <w:t xml:space="preserve"> A firm of consulting actuaries is engaged to provide advice on these assumptions.</w:t>
            </w:r>
          </w:p>
          <w:p w14:paraId="1E4FDC33" w14:textId="77777777" w:rsidR="008D6BA9" w:rsidRPr="008D6BA9" w:rsidRDefault="008D6BA9" w:rsidP="00B1137E">
            <w:pPr>
              <w:rPr>
                <w:rFonts w:cs="Courier New"/>
                <w:szCs w:val="22"/>
              </w:rPr>
            </w:pPr>
          </w:p>
          <w:p w14:paraId="14D8941C" w14:textId="5E6C9757" w:rsidR="008D6BA9" w:rsidRPr="008D6BA9" w:rsidRDefault="008D6BA9" w:rsidP="00B1137E">
            <w:pPr>
              <w:rPr>
                <w:rFonts w:cs="Courier New"/>
                <w:szCs w:val="22"/>
              </w:rPr>
            </w:pPr>
            <w:r w:rsidRPr="008D6BA9">
              <w:rPr>
                <w:rFonts w:cs="Arial"/>
              </w:rPr>
              <w:t>The scheme holds a varied portfolio of assets, details of which are shown at Note 37h. The valuations shown in this Statement are those assessed as at 31 March 2021 and again these are provided by a firm of consulting actuaries.</w:t>
            </w:r>
          </w:p>
        </w:tc>
        <w:tc>
          <w:tcPr>
            <w:tcW w:w="3260" w:type="dxa"/>
            <w:shd w:val="clear" w:color="auto" w:fill="auto"/>
            <w:tcMar>
              <w:top w:w="113" w:type="dxa"/>
              <w:bottom w:w="113" w:type="dxa"/>
            </w:tcMar>
          </w:tcPr>
          <w:p w14:paraId="0FCEBBA4" w14:textId="0A00495E" w:rsidR="007877CC" w:rsidRPr="008D6BA9" w:rsidRDefault="00B91598" w:rsidP="000C4D1C">
            <w:pPr>
              <w:rPr>
                <w:rFonts w:cs="Courier New"/>
                <w:szCs w:val="22"/>
              </w:rPr>
            </w:pPr>
            <w:r w:rsidRPr="008D6BA9">
              <w:rPr>
                <w:rFonts w:cs="Courier New"/>
                <w:szCs w:val="22"/>
              </w:rPr>
              <w:t>Sensitivity to</w:t>
            </w:r>
            <w:r w:rsidR="00B4397B" w:rsidRPr="008D6BA9">
              <w:rPr>
                <w:rFonts w:cs="Courier New"/>
                <w:szCs w:val="22"/>
              </w:rPr>
              <w:t xml:space="preserve"> the factors contributing to this </w:t>
            </w:r>
            <w:r w:rsidRPr="008D6BA9">
              <w:rPr>
                <w:rFonts w:cs="Courier New"/>
                <w:szCs w:val="22"/>
              </w:rPr>
              <w:t>estimate</w:t>
            </w:r>
            <w:r w:rsidR="00B4397B" w:rsidRPr="008D6BA9">
              <w:rPr>
                <w:rFonts w:cs="Courier New"/>
                <w:szCs w:val="22"/>
              </w:rPr>
              <w:t xml:space="preserve"> </w:t>
            </w:r>
            <w:r w:rsidR="007E2832" w:rsidRPr="008D6BA9">
              <w:rPr>
                <w:rFonts w:cs="Courier New"/>
                <w:szCs w:val="22"/>
              </w:rPr>
              <w:t>is</w:t>
            </w:r>
            <w:r w:rsidR="006F2748" w:rsidRPr="008D6BA9">
              <w:rPr>
                <w:rFonts w:cs="Courier New"/>
                <w:szCs w:val="22"/>
              </w:rPr>
              <w:t xml:space="preserve"> </w:t>
            </w:r>
            <w:r w:rsidR="00417CDD" w:rsidRPr="008D6BA9">
              <w:rPr>
                <w:rFonts w:cs="Courier New"/>
                <w:szCs w:val="22"/>
              </w:rPr>
              <w:t xml:space="preserve">shown in Note </w:t>
            </w:r>
            <w:r w:rsidR="0070131A" w:rsidRPr="008D6BA9">
              <w:rPr>
                <w:rFonts w:cs="Courier New"/>
                <w:szCs w:val="22"/>
              </w:rPr>
              <w:fldChar w:fldCharType="begin"/>
            </w:r>
            <w:r w:rsidR="0070131A" w:rsidRPr="008D6BA9">
              <w:rPr>
                <w:rFonts w:cs="Courier New"/>
                <w:szCs w:val="22"/>
              </w:rPr>
              <w:instrText xml:space="preserve"> REF _Ref483393248 \r \h </w:instrText>
            </w:r>
            <w:r w:rsidR="00EC06E7" w:rsidRPr="008D6BA9">
              <w:rPr>
                <w:rFonts w:cs="Courier New"/>
                <w:szCs w:val="22"/>
              </w:rPr>
              <w:instrText xml:space="preserve"> \* MERGEFORMAT </w:instrText>
            </w:r>
            <w:r w:rsidR="0070131A" w:rsidRPr="008D6BA9">
              <w:rPr>
                <w:rFonts w:cs="Courier New"/>
                <w:szCs w:val="22"/>
              </w:rPr>
            </w:r>
            <w:r w:rsidR="0070131A" w:rsidRPr="008D6BA9">
              <w:rPr>
                <w:rFonts w:cs="Courier New"/>
                <w:szCs w:val="22"/>
              </w:rPr>
              <w:fldChar w:fldCharType="separate"/>
            </w:r>
            <w:r w:rsidR="000F49D2">
              <w:rPr>
                <w:rFonts w:cs="Courier New"/>
                <w:szCs w:val="22"/>
              </w:rPr>
              <w:t>37</w:t>
            </w:r>
            <w:r w:rsidR="0070131A" w:rsidRPr="008D6BA9">
              <w:rPr>
                <w:rFonts w:cs="Courier New"/>
                <w:szCs w:val="22"/>
              </w:rPr>
              <w:fldChar w:fldCharType="end"/>
            </w:r>
            <w:r w:rsidR="006D1EEC" w:rsidRPr="008D6BA9">
              <w:rPr>
                <w:rFonts w:cs="Courier New"/>
                <w:szCs w:val="22"/>
              </w:rPr>
              <w:t>i</w:t>
            </w:r>
            <w:r w:rsidR="00B4397B" w:rsidRPr="008D6BA9">
              <w:rPr>
                <w:rFonts w:cs="Courier New"/>
                <w:szCs w:val="22"/>
              </w:rPr>
              <w:t>.</w:t>
            </w:r>
            <w:r w:rsidR="00EA1DF2" w:rsidRPr="008D6BA9">
              <w:rPr>
                <w:rFonts w:cs="Courier New"/>
                <w:szCs w:val="22"/>
              </w:rPr>
              <w:t xml:space="preserve"> Small changes have major impacts on the pension deficit.</w:t>
            </w:r>
            <w:r w:rsidR="001856F2" w:rsidRPr="008D6BA9">
              <w:rPr>
                <w:rFonts w:cs="Courier New"/>
                <w:szCs w:val="22"/>
              </w:rPr>
              <w:t xml:space="preserve"> At 31 March 202</w:t>
            </w:r>
            <w:r w:rsidR="00173F56" w:rsidRPr="008D6BA9">
              <w:rPr>
                <w:rFonts w:cs="Courier New"/>
                <w:szCs w:val="22"/>
              </w:rPr>
              <w:t>1</w:t>
            </w:r>
            <w:r w:rsidR="001856F2" w:rsidRPr="008D6BA9">
              <w:rPr>
                <w:rFonts w:cs="Courier New"/>
                <w:szCs w:val="22"/>
              </w:rPr>
              <w:t xml:space="preserve">, a 1% increase in the council’s pensions obligations would increase the net liability by </w:t>
            </w:r>
            <w:r w:rsidR="00D34D0F" w:rsidRPr="008D6BA9">
              <w:rPr>
                <w:rFonts w:cs="Courier New"/>
                <w:szCs w:val="22"/>
              </w:rPr>
              <w:t>£1.</w:t>
            </w:r>
            <w:r w:rsidR="00173F56" w:rsidRPr="008D6BA9">
              <w:rPr>
                <w:rFonts w:cs="Courier New"/>
                <w:szCs w:val="22"/>
              </w:rPr>
              <w:t>392</w:t>
            </w:r>
            <w:r w:rsidR="00D34D0F" w:rsidRPr="008D6BA9">
              <w:rPr>
                <w:rFonts w:cs="Courier New"/>
                <w:szCs w:val="22"/>
              </w:rPr>
              <w:t>m, while a 1% increase in the scheme’s asset would reduce the net liability by £0.9</w:t>
            </w:r>
            <w:r w:rsidR="00173F56" w:rsidRPr="008D6BA9">
              <w:rPr>
                <w:rFonts w:cs="Courier New"/>
                <w:szCs w:val="22"/>
              </w:rPr>
              <w:t>9</w:t>
            </w:r>
            <w:r w:rsidR="00D34D0F" w:rsidRPr="008D6BA9">
              <w:rPr>
                <w:rFonts w:cs="Courier New"/>
                <w:szCs w:val="22"/>
              </w:rPr>
              <w:t>2m.</w:t>
            </w:r>
          </w:p>
          <w:p w14:paraId="0511C3F3" w14:textId="77777777" w:rsidR="008D6BA9" w:rsidRPr="008D6BA9" w:rsidRDefault="008D6BA9" w:rsidP="000C4D1C">
            <w:pPr>
              <w:rPr>
                <w:rFonts w:cs="Courier New"/>
                <w:szCs w:val="22"/>
              </w:rPr>
            </w:pPr>
          </w:p>
          <w:p w14:paraId="53B6A7C6" w14:textId="15970085" w:rsidR="007258F0" w:rsidRPr="008D6BA9" w:rsidRDefault="008D6BA9" w:rsidP="000C4D1C">
            <w:pPr>
              <w:rPr>
                <w:rFonts w:cs="Courier New"/>
                <w:szCs w:val="22"/>
              </w:rPr>
            </w:pPr>
            <w:r w:rsidRPr="008D6BA9">
              <w:rPr>
                <w:rFonts w:cs="Courier New"/>
                <w:szCs w:val="22"/>
              </w:rPr>
              <w:t>The council anticipates that it will spend £1.144m on current pension contributions in 2021/22 (see Note 37j). A 1% upward variation on this would produce an increased cost of £11k.</w:t>
            </w:r>
          </w:p>
        </w:tc>
      </w:tr>
      <w:tr w:rsidR="003E6A46" w:rsidRPr="00EC06E7" w14:paraId="64E742F8" w14:textId="77777777" w:rsidTr="001B447B">
        <w:tc>
          <w:tcPr>
            <w:tcW w:w="1276" w:type="dxa"/>
            <w:shd w:val="clear" w:color="auto" w:fill="auto"/>
            <w:tcMar>
              <w:top w:w="113" w:type="dxa"/>
              <w:bottom w:w="113" w:type="dxa"/>
            </w:tcMar>
          </w:tcPr>
          <w:p w14:paraId="7778F6F1" w14:textId="77777777" w:rsidR="003E6A46" w:rsidRPr="008D6BA9" w:rsidRDefault="003E6A46" w:rsidP="00F3391B">
            <w:pPr>
              <w:rPr>
                <w:rFonts w:cs="Courier New"/>
                <w:szCs w:val="22"/>
              </w:rPr>
            </w:pPr>
            <w:r w:rsidRPr="008D6BA9">
              <w:rPr>
                <w:rFonts w:cs="Courier New"/>
                <w:szCs w:val="22"/>
              </w:rPr>
              <w:t>Pensions Assets</w:t>
            </w:r>
          </w:p>
        </w:tc>
        <w:tc>
          <w:tcPr>
            <w:tcW w:w="5103" w:type="dxa"/>
            <w:shd w:val="clear" w:color="auto" w:fill="auto"/>
            <w:tcMar>
              <w:top w:w="113" w:type="dxa"/>
              <w:bottom w:w="113" w:type="dxa"/>
            </w:tcMar>
          </w:tcPr>
          <w:p w14:paraId="76A666C5" w14:textId="2D271189" w:rsidR="003E6A46" w:rsidRPr="008D6BA9" w:rsidRDefault="003E6A46" w:rsidP="00B1137E">
            <w:pPr>
              <w:rPr>
                <w:rFonts w:cs="Arial"/>
              </w:rPr>
            </w:pPr>
            <w:r w:rsidRPr="008D6BA9">
              <w:rPr>
                <w:rFonts w:cs="Arial"/>
              </w:rPr>
              <w:t>The scheme holds a varied portfolio of assets, details of which are shown at Note 37h. The valuations shown in this Statement are those assessed as at 31 March 20</w:t>
            </w:r>
            <w:r w:rsidR="001C7938" w:rsidRPr="008D6BA9">
              <w:rPr>
                <w:rFonts w:cs="Arial"/>
              </w:rPr>
              <w:t>2</w:t>
            </w:r>
            <w:r w:rsidRPr="008D6BA9">
              <w:rPr>
                <w:rFonts w:cs="Arial"/>
              </w:rPr>
              <w:t>1</w:t>
            </w:r>
            <w:r w:rsidR="008D6BA9" w:rsidRPr="008D6BA9">
              <w:rPr>
                <w:rFonts w:cs="Arial"/>
              </w:rPr>
              <w:t xml:space="preserve"> and again these are provided by a firm of consulting actuaries.</w:t>
            </w:r>
          </w:p>
        </w:tc>
        <w:tc>
          <w:tcPr>
            <w:tcW w:w="3260" w:type="dxa"/>
            <w:shd w:val="clear" w:color="auto" w:fill="auto"/>
            <w:tcMar>
              <w:top w:w="113" w:type="dxa"/>
              <w:bottom w:w="113" w:type="dxa"/>
            </w:tcMar>
          </w:tcPr>
          <w:p w14:paraId="239D7BBA" w14:textId="77777777" w:rsidR="005E1DBB" w:rsidRPr="008D6BA9" w:rsidRDefault="005E1DBB" w:rsidP="00EB3FC5">
            <w:pPr>
              <w:rPr>
                <w:rFonts w:cs="Courier New"/>
                <w:szCs w:val="22"/>
              </w:rPr>
            </w:pPr>
          </w:p>
          <w:p w14:paraId="68C19112" w14:textId="49AB2891" w:rsidR="003E6A46" w:rsidRPr="008D6BA9" w:rsidRDefault="007258F0" w:rsidP="00EB3FC5">
            <w:pPr>
              <w:rPr>
                <w:rFonts w:cs="Courier New"/>
                <w:szCs w:val="22"/>
              </w:rPr>
            </w:pPr>
            <w:r w:rsidRPr="008D6BA9">
              <w:rPr>
                <w:rFonts w:cs="Courier New"/>
                <w:szCs w:val="22"/>
              </w:rPr>
              <w:t xml:space="preserve">A 1% variation in asset values would increase or decrease the estimated net pensions liability by </w:t>
            </w:r>
          </w:p>
        </w:tc>
      </w:tr>
      <w:tr w:rsidR="00AD4586" w:rsidRPr="00EC06E7" w14:paraId="059BAA51" w14:textId="77777777" w:rsidTr="001B447B">
        <w:tc>
          <w:tcPr>
            <w:tcW w:w="1276" w:type="dxa"/>
            <w:shd w:val="clear" w:color="auto" w:fill="auto"/>
            <w:tcMar>
              <w:top w:w="113" w:type="dxa"/>
              <w:bottom w:w="113" w:type="dxa"/>
            </w:tcMar>
          </w:tcPr>
          <w:p w14:paraId="1700FF5C" w14:textId="77777777" w:rsidR="007877CC" w:rsidRPr="008D6BA9" w:rsidRDefault="002B39EE" w:rsidP="00F3391B">
            <w:pPr>
              <w:rPr>
                <w:rFonts w:cs="Courier New"/>
                <w:szCs w:val="22"/>
              </w:rPr>
            </w:pPr>
            <w:r w:rsidRPr="008D6BA9">
              <w:rPr>
                <w:rFonts w:cs="Courier New"/>
                <w:szCs w:val="22"/>
              </w:rPr>
              <w:t>Debtor</w:t>
            </w:r>
            <w:r w:rsidR="006475AF" w:rsidRPr="008D6BA9">
              <w:rPr>
                <w:rFonts w:cs="Courier New"/>
                <w:szCs w:val="22"/>
              </w:rPr>
              <w:t>s</w:t>
            </w:r>
          </w:p>
        </w:tc>
        <w:tc>
          <w:tcPr>
            <w:tcW w:w="5103" w:type="dxa"/>
            <w:shd w:val="clear" w:color="auto" w:fill="auto"/>
            <w:tcMar>
              <w:top w:w="113" w:type="dxa"/>
              <w:bottom w:w="113" w:type="dxa"/>
            </w:tcMar>
          </w:tcPr>
          <w:p w14:paraId="1C51290B" w14:textId="756C7AF1" w:rsidR="00B5624B" w:rsidRPr="008D6BA9" w:rsidRDefault="00E34536" w:rsidP="00FF0358">
            <w:pPr>
              <w:rPr>
                <w:rFonts w:cs="Courier New"/>
                <w:szCs w:val="22"/>
              </w:rPr>
            </w:pPr>
            <w:r w:rsidRPr="008D6BA9">
              <w:rPr>
                <w:rFonts w:cs="Courier New"/>
                <w:szCs w:val="22"/>
              </w:rPr>
              <w:t xml:space="preserve">The </w:t>
            </w:r>
            <w:r w:rsidR="002B39EE" w:rsidRPr="008D6BA9">
              <w:rPr>
                <w:rFonts w:cs="Courier New"/>
                <w:szCs w:val="22"/>
              </w:rPr>
              <w:t>most significant debtor</w:t>
            </w:r>
            <w:r w:rsidRPr="008D6BA9">
              <w:rPr>
                <w:rFonts w:cs="Courier New"/>
                <w:szCs w:val="22"/>
              </w:rPr>
              <w:t xml:space="preserve"> is</w:t>
            </w:r>
            <w:r w:rsidR="002B39EE" w:rsidRPr="008D6BA9">
              <w:rPr>
                <w:rFonts w:cs="Courier New"/>
                <w:szCs w:val="22"/>
              </w:rPr>
              <w:t xml:space="preserve">sue for the </w:t>
            </w:r>
            <w:r w:rsidR="005124B6" w:rsidRPr="008D6BA9">
              <w:rPr>
                <w:rFonts w:cs="Courier New"/>
                <w:szCs w:val="22"/>
              </w:rPr>
              <w:t>c</w:t>
            </w:r>
            <w:r w:rsidR="002B39EE" w:rsidRPr="008D6BA9">
              <w:rPr>
                <w:rFonts w:cs="Courier New"/>
                <w:szCs w:val="22"/>
              </w:rPr>
              <w:t>ouncil is its</w:t>
            </w:r>
            <w:r w:rsidRPr="008D6BA9">
              <w:rPr>
                <w:rFonts w:cs="Courier New"/>
                <w:szCs w:val="22"/>
              </w:rPr>
              <w:t xml:space="preserve"> </w:t>
            </w:r>
            <w:r w:rsidR="002B39EE" w:rsidRPr="008D6BA9">
              <w:rPr>
                <w:rFonts w:cs="Courier New"/>
                <w:szCs w:val="22"/>
              </w:rPr>
              <w:t>responsibility</w:t>
            </w:r>
            <w:r w:rsidRPr="008D6BA9">
              <w:rPr>
                <w:rFonts w:cs="Courier New"/>
                <w:szCs w:val="22"/>
              </w:rPr>
              <w:t xml:space="preserve"> for collecting £</w:t>
            </w:r>
            <w:r w:rsidR="00F76964" w:rsidRPr="008D6BA9">
              <w:rPr>
                <w:rFonts w:cs="Courier New"/>
                <w:szCs w:val="22"/>
              </w:rPr>
              <w:t>93</w:t>
            </w:r>
            <w:r w:rsidR="00DB7456" w:rsidRPr="008D6BA9">
              <w:rPr>
                <w:rFonts w:cs="Courier New"/>
                <w:szCs w:val="22"/>
              </w:rPr>
              <w:t>.</w:t>
            </w:r>
            <w:r w:rsidR="00F76964" w:rsidRPr="008D6BA9">
              <w:rPr>
                <w:rFonts w:cs="Courier New"/>
                <w:szCs w:val="22"/>
              </w:rPr>
              <w:t>34</w:t>
            </w:r>
            <w:r w:rsidR="003C2005" w:rsidRPr="008D6BA9">
              <w:rPr>
                <w:rFonts w:cs="Courier New"/>
                <w:szCs w:val="22"/>
              </w:rPr>
              <w:t>5</w:t>
            </w:r>
            <w:r w:rsidRPr="008D6BA9">
              <w:rPr>
                <w:rFonts w:cs="Courier New"/>
                <w:szCs w:val="22"/>
              </w:rPr>
              <w:t xml:space="preserve">m in business rates and council tax. It is however </w:t>
            </w:r>
            <w:r w:rsidR="00B91598" w:rsidRPr="008D6BA9">
              <w:rPr>
                <w:rFonts w:cs="Courier New"/>
                <w:szCs w:val="22"/>
              </w:rPr>
              <w:t>mainly a</w:t>
            </w:r>
            <w:r w:rsidR="003C2871">
              <w:rPr>
                <w:rFonts w:cs="Courier New"/>
                <w:szCs w:val="22"/>
              </w:rPr>
              <w:t>n</w:t>
            </w:r>
            <w:r w:rsidR="00B91598" w:rsidRPr="008D6BA9">
              <w:rPr>
                <w:rFonts w:cs="Courier New"/>
                <w:szCs w:val="22"/>
              </w:rPr>
              <w:t xml:space="preserve"> agent f</w:t>
            </w:r>
            <w:r w:rsidR="007D58DC" w:rsidRPr="008D6BA9">
              <w:rPr>
                <w:rFonts w:cs="Courier New"/>
                <w:szCs w:val="22"/>
              </w:rPr>
              <w:t>or</w:t>
            </w:r>
            <w:r w:rsidRPr="008D6BA9">
              <w:rPr>
                <w:rFonts w:cs="Courier New"/>
                <w:szCs w:val="22"/>
              </w:rPr>
              <w:t xml:space="preserve"> </w:t>
            </w:r>
            <w:r w:rsidR="00B4397B" w:rsidRPr="008D6BA9">
              <w:rPr>
                <w:rFonts w:cs="Courier New"/>
                <w:szCs w:val="22"/>
              </w:rPr>
              <w:t xml:space="preserve">government and </w:t>
            </w:r>
            <w:r w:rsidR="004A13DA" w:rsidRPr="008D6BA9">
              <w:rPr>
                <w:rFonts w:cs="Courier New"/>
                <w:szCs w:val="22"/>
              </w:rPr>
              <w:t xml:space="preserve">major </w:t>
            </w:r>
            <w:r w:rsidRPr="008D6BA9">
              <w:rPr>
                <w:rFonts w:cs="Courier New"/>
                <w:szCs w:val="22"/>
              </w:rPr>
              <w:t>preceptors. The major recovery risk resulting from shortfalls in c</w:t>
            </w:r>
            <w:r w:rsidR="00B4397B" w:rsidRPr="008D6BA9">
              <w:rPr>
                <w:rFonts w:cs="Courier New"/>
                <w:szCs w:val="22"/>
              </w:rPr>
              <w:t>ollection falls to these bodies</w:t>
            </w:r>
            <w:r w:rsidR="0014342F" w:rsidRPr="008D6BA9">
              <w:rPr>
                <w:rFonts w:cs="Courier New"/>
                <w:szCs w:val="22"/>
              </w:rPr>
              <w:t>.</w:t>
            </w:r>
            <w:r w:rsidR="00DB4FDD" w:rsidRPr="008D6BA9">
              <w:rPr>
                <w:rFonts w:cs="Courier New"/>
                <w:szCs w:val="22"/>
              </w:rPr>
              <w:t xml:space="preserve"> </w:t>
            </w:r>
            <w:r w:rsidR="0014342F" w:rsidRPr="008D6BA9">
              <w:rPr>
                <w:rFonts w:cs="Courier New"/>
                <w:szCs w:val="22"/>
              </w:rPr>
              <w:t xml:space="preserve">Various notes present debtor information. </w:t>
            </w:r>
            <w:r w:rsidRPr="008D6BA9">
              <w:rPr>
                <w:rFonts w:cs="Courier New"/>
                <w:szCs w:val="22"/>
              </w:rPr>
              <w:t xml:space="preserve">Note </w:t>
            </w:r>
            <w:r w:rsidR="0070131A" w:rsidRPr="008D6BA9">
              <w:rPr>
                <w:rFonts w:cs="Courier New"/>
                <w:szCs w:val="22"/>
              </w:rPr>
              <w:fldChar w:fldCharType="begin"/>
            </w:r>
            <w:r w:rsidR="0070131A" w:rsidRPr="008D6BA9">
              <w:rPr>
                <w:rFonts w:cs="Courier New"/>
                <w:szCs w:val="22"/>
              </w:rPr>
              <w:instrText xml:space="preserve"> REF _Ref483393265 \r \h </w:instrText>
            </w:r>
            <w:r w:rsidR="00EC06E7" w:rsidRPr="008D6BA9">
              <w:rPr>
                <w:rFonts w:cs="Courier New"/>
                <w:szCs w:val="22"/>
              </w:rPr>
              <w:instrText xml:space="preserve"> \* MERGEFORMAT </w:instrText>
            </w:r>
            <w:r w:rsidR="0070131A" w:rsidRPr="008D6BA9">
              <w:rPr>
                <w:rFonts w:cs="Courier New"/>
                <w:szCs w:val="22"/>
              </w:rPr>
            </w:r>
            <w:r w:rsidR="0070131A" w:rsidRPr="008D6BA9">
              <w:rPr>
                <w:rFonts w:cs="Courier New"/>
                <w:szCs w:val="22"/>
              </w:rPr>
              <w:fldChar w:fldCharType="separate"/>
            </w:r>
            <w:r w:rsidR="000F49D2">
              <w:rPr>
                <w:rFonts w:cs="Courier New"/>
                <w:szCs w:val="22"/>
              </w:rPr>
              <w:t>18</w:t>
            </w:r>
            <w:r w:rsidR="0070131A" w:rsidRPr="008D6BA9">
              <w:rPr>
                <w:rFonts w:cs="Courier New"/>
                <w:szCs w:val="22"/>
              </w:rPr>
              <w:fldChar w:fldCharType="end"/>
            </w:r>
            <w:r w:rsidR="00D6717D" w:rsidRPr="008D6BA9">
              <w:rPr>
                <w:rFonts w:cs="Courier New"/>
                <w:szCs w:val="22"/>
              </w:rPr>
              <w:t>a and 18c shows net total of £</w:t>
            </w:r>
            <w:r w:rsidR="00F76964" w:rsidRPr="008D6BA9">
              <w:rPr>
                <w:rFonts w:cs="Courier New"/>
                <w:szCs w:val="22"/>
              </w:rPr>
              <w:t>2</w:t>
            </w:r>
            <w:r w:rsidR="00D6717D" w:rsidRPr="008D6BA9">
              <w:rPr>
                <w:rFonts w:cs="Courier New"/>
                <w:szCs w:val="22"/>
              </w:rPr>
              <w:t>.</w:t>
            </w:r>
            <w:r w:rsidR="00F76964" w:rsidRPr="008D6BA9">
              <w:rPr>
                <w:rFonts w:cs="Courier New"/>
                <w:szCs w:val="22"/>
              </w:rPr>
              <w:t>08</w:t>
            </w:r>
            <w:r w:rsidR="00AF2E7B" w:rsidRPr="008D6BA9">
              <w:rPr>
                <w:rFonts w:cs="Courier New"/>
                <w:szCs w:val="22"/>
              </w:rPr>
              <w:t>3</w:t>
            </w:r>
            <w:r w:rsidR="00D6717D" w:rsidRPr="008D6BA9">
              <w:rPr>
                <w:rFonts w:cs="Courier New"/>
                <w:szCs w:val="22"/>
              </w:rPr>
              <w:t>m for debtors which are classed as</w:t>
            </w:r>
            <w:r w:rsidR="0014342F" w:rsidRPr="008D6BA9">
              <w:rPr>
                <w:rFonts w:cs="Courier New"/>
                <w:szCs w:val="22"/>
              </w:rPr>
              <w:t xml:space="preserve"> financial instrument</w:t>
            </w:r>
            <w:r w:rsidR="00D6717D" w:rsidRPr="008D6BA9">
              <w:rPr>
                <w:rFonts w:cs="Courier New"/>
                <w:szCs w:val="22"/>
              </w:rPr>
              <w:t xml:space="preserve">s. The gross total </w:t>
            </w:r>
            <w:proofErr w:type="gramStart"/>
            <w:r w:rsidR="00D6717D" w:rsidRPr="008D6BA9">
              <w:rPr>
                <w:rFonts w:cs="Courier New"/>
                <w:szCs w:val="22"/>
              </w:rPr>
              <w:t xml:space="preserve">is </w:t>
            </w:r>
            <w:r w:rsidR="00196BDC" w:rsidRPr="008D6BA9">
              <w:rPr>
                <w:rFonts w:cs="Courier New"/>
                <w:szCs w:val="22"/>
              </w:rPr>
              <w:t xml:space="preserve"> £</w:t>
            </w:r>
            <w:proofErr w:type="gramEnd"/>
            <w:r w:rsidR="00F76964" w:rsidRPr="008D6BA9">
              <w:rPr>
                <w:rFonts w:cs="Courier New"/>
                <w:szCs w:val="22"/>
              </w:rPr>
              <w:t>3</w:t>
            </w:r>
            <w:r w:rsidR="00D6717D" w:rsidRPr="008D6BA9">
              <w:rPr>
                <w:rFonts w:cs="Courier New"/>
                <w:szCs w:val="22"/>
              </w:rPr>
              <w:t>.</w:t>
            </w:r>
            <w:r w:rsidR="00F76964" w:rsidRPr="008D6BA9">
              <w:rPr>
                <w:rFonts w:cs="Courier New"/>
                <w:szCs w:val="22"/>
              </w:rPr>
              <w:t>403</w:t>
            </w:r>
            <w:r w:rsidRPr="008D6BA9">
              <w:rPr>
                <w:rFonts w:cs="Courier New"/>
                <w:szCs w:val="22"/>
              </w:rPr>
              <w:t>m against which a</w:t>
            </w:r>
            <w:r w:rsidR="007D58DC" w:rsidRPr="008D6BA9">
              <w:rPr>
                <w:rFonts w:cs="Courier New"/>
                <w:szCs w:val="22"/>
              </w:rPr>
              <w:t xml:space="preserve"> bad debt</w:t>
            </w:r>
            <w:r w:rsidR="00DC2C5D" w:rsidRPr="008D6BA9">
              <w:rPr>
                <w:rFonts w:cs="Courier New"/>
                <w:szCs w:val="22"/>
              </w:rPr>
              <w:t xml:space="preserve"> provision of £</w:t>
            </w:r>
            <w:r w:rsidR="006D1EEC" w:rsidRPr="008D6BA9">
              <w:rPr>
                <w:rFonts w:cs="Courier New"/>
                <w:szCs w:val="22"/>
              </w:rPr>
              <w:t>1</w:t>
            </w:r>
            <w:r w:rsidR="009C17D5" w:rsidRPr="008D6BA9">
              <w:rPr>
                <w:rFonts w:cs="Courier New"/>
                <w:szCs w:val="22"/>
              </w:rPr>
              <w:t>.</w:t>
            </w:r>
            <w:r w:rsidR="00F76964" w:rsidRPr="008D6BA9">
              <w:rPr>
                <w:rFonts w:cs="Courier New"/>
                <w:szCs w:val="22"/>
              </w:rPr>
              <w:t>320</w:t>
            </w:r>
            <w:r w:rsidRPr="008D6BA9">
              <w:rPr>
                <w:rFonts w:cs="Courier New"/>
                <w:szCs w:val="22"/>
              </w:rPr>
              <w:t>m has been made.</w:t>
            </w:r>
          </w:p>
          <w:p w14:paraId="70A03C72" w14:textId="77777777" w:rsidR="007B53D1" w:rsidRPr="008D6BA9" w:rsidRDefault="007B53D1" w:rsidP="00FF0358">
            <w:pPr>
              <w:rPr>
                <w:rFonts w:cs="Courier New"/>
                <w:szCs w:val="22"/>
              </w:rPr>
            </w:pPr>
          </w:p>
          <w:p w14:paraId="46941F40" w14:textId="77777777" w:rsidR="001C7938" w:rsidRPr="008D6BA9" w:rsidRDefault="000A3B34" w:rsidP="00DB44EA">
            <w:pPr>
              <w:rPr>
                <w:rFonts w:cs="Courier New"/>
                <w:szCs w:val="22"/>
              </w:rPr>
            </w:pPr>
            <w:proofErr w:type="gramStart"/>
            <w:r w:rsidRPr="008D6BA9">
              <w:rPr>
                <w:rFonts w:cs="Courier New"/>
                <w:szCs w:val="22"/>
              </w:rPr>
              <w:t>This</w:t>
            </w:r>
            <w:r w:rsidR="00B37686" w:rsidRPr="008D6BA9">
              <w:rPr>
                <w:rFonts w:cs="Courier New"/>
                <w:szCs w:val="22"/>
              </w:rPr>
              <w:t xml:space="preserve"> </w:t>
            </w:r>
            <w:r w:rsidR="00DC2C5D" w:rsidRPr="008D6BA9">
              <w:rPr>
                <w:rFonts w:cs="Courier New"/>
                <w:szCs w:val="22"/>
              </w:rPr>
              <w:t>total debtors</w:t>
            </w:r>
            <w:proofErr w:type="gramEnd"/>
            <w:r w:rsidR="00DC2C5D" w:rsidRPr="008D6BA9">
              <w:rPr>
                <w:rFonts w:cs="Courier New"/>
                <w:szCs w:val="22"/>
              </w:rPr>
              <w:t xml:space="preserve"> </w:t>
            </w:r>
            <w:r w:rsidR="00B37686" w:rsidRPr="008D6BA9">
              <w:rPr>
                <w:rFonts w:cs="Courier New"/>
                <w:szCs w:val="22"/>
              </w:rPr>
              <w:t>figure include</w:t>
            </w:r>
            <w:r w:rsidRPr="008D6BA9">
              <w:rPr>
                <w:rFonts w:cs="Courier New"/>
                <w:szCs w:val="22"/>
              </w:rPr>
              <w:t>s</w:t>
            </w:r>
            <w:r w:rsidR="00B37686" w:rsidRPr="008D6BA9">
              <w:rPr>
                <w:rFonts w:cs="Courier New"/>
                <w:szCs w:val="22"/>
              </w:rPr>
              <w:t xml:space="preserve"> Housing benefit debtors</w:t>
            </w:r>
            <w:r w:rsidR="00B91598" w:rsidRPr="008D6BA9">
              <w:rPr>
                <w:rFonts w:cs="Courier New"/>
                <w:szCs w:val="22"/>
              </w:rPr>
              <w:t xml:space="preserve"> of £</w:t>
            </w:r>
            <w:r w:rsidR="00F76964" w:rsidRPr="008D6BA9">
              <w:rPr>
                <w:rFonts w:cs="Courier New"/>
                <w:szCs w:val="22"/>
              </w:rPr>
              <w:t>0</w:t>
            </w:r>
            <w:r w:rsidR="00B91598" w:rsidRPr="008D6BA9">
              <w:rPr>
                <w:rFonts w:cs="Courier New"/>
                <w:szCs w:val="22"/>
              </w:rPr>
              <w:t>.</w:t>
            </w:r>
            <w:r w:rsidR="00F76964" w:rsidRPr="008D6BA9">
              <w:rPr>
                <w:rFonts w:cs="Courier New"/>
                <w:szCs w:val="22"/>
              </w:rPr>
              <w:t>974</w:t>
            </w:r>
            <w:r w:rsidR="009C5FA5" w:rsidRPr="008D6BA9">
              <w:rPr>
                <w:rFonts w:cs="Courier New"/>
                <w:szCs w:val="22"/>
              </w:rPr>
              <w:t>m</w:t>
            </w:r>
            <w:r w:rsidR="00B37686" w:rsidRPr="008D6BA9">
              <w:rPr>
                <w:rFonts w:cs="Courier New"/>
                <w:szCs w:val="22"/>
              </w:rPr>
              <w:t xml:space="preserve"> (i.e. recovery of overpayments). Changes in the administration of benefits are pending which may affect recovery in future years. The provision made</w:t>
            </w:r>
            <w:r w:rsidR="001B567A" w:rsidRPr="008D6BA9">
              <w:rPr>
                <w:rFonts w:cs="Courier New"/>
                <w:szCs w:val="22"/>
              </w:rPr>
              <w:t xml:space="preserve"> for these debts</w:t>
            </w:r>
            <w:r w:rsidR="00B91598" w:rsidRPr="008D6BA9">
              <w:rPr>
                <w:rFonts w:cs="Courier New"/>
                <w:szCs w:val="22"/>
              </w:rPr>
              <w:t xml:space="preserve"> has therefore been </w:t>
            </w:r>
            <w:r w:rsidR="00F850BF" w:rsidRPr="008D6BA9">
              <w:rPr>
                <w:rFonts w:cs="Courier New"/>
                <w:szCs w:val="22"/>
              </w:rPr>
              <w:t>maintained</w:t>
            </w:r>
            <w:r w:rsidR="00B91598" w:rsidRPr="008D6BA9">
              <w:rPr>
                <w:rFonts w:cs="Courier New"/>
                <w:szCs w:val="22"/>
              </w:rPr>
              <w:t xml:space="preserve"> </w:t>
            </w:r>
            <w:r w:rsidR="00F850BF" w:rsidRPr="008D6BA9">
              <w:rPr>
                <w:rFonts w:cs="Courier New"/>
                <w:szCs w:val="22"/>
              </w:rPr>
              <w:t>at</w:t>
            </w:r>
            <w:r w:rsidR="00B91598" w:rsidRPr="008D6BA9">
              <w:rPr>
                <w:rFonts w:cs="Courier New"/>
                <w:szCs w:val="22"/>
              </w:rPr>
              <w:t xml:space="preserve"> </w:t>
            </w:r>
            <w:r w:rsidR="00DB7456" w:rsidRPr="008D6BA9">
              <w:rPr>
                <w:rFonts w:cs="Courier New"/>
                <w:szCs w:val="22"/>
              </w:rPr>
              <w:t>over</w:t>
            </w:r>
            <w:r w:rsidR="001068B1" w:rsidRPr="008D6BA9">
              <w:rPr>
                <w:rFonts w:cs="Courier New"/>
                <w:szCs w:val="22"/>
              </w:rPr>
              <w:t xml:space="preserve"> </w:t>
            </w:r>
            <w:r w:rsidR="00B91598" w:rsidRPr="008D6BA9">
              <w:rPr>
                <w:rFonts w:cs="Courier New"/>
                <w:szCs w:val="22"/>
              </w:rPr>
              <w:t>90</w:t>
            </w:r>
            <w:r w:rsidR="00B5624B" w:rsidRPr="008D6BA9">
              <w:rPr>
                <w:rFonts w:cs="Courier New"/>
                <w:szCs w:val="22"/>
              </w:rPr>
              <w:t>%</w:t>
            </w:r>
            <w:r w:rsidR="00B91598" w:rsidRPr="008D6BA9">
              <w:rPr>
                <w:rFonts w:cs="Courier New"/>
                <w:szCs w:val="22"/>
              </w:rPr>
              <w:t xml:space="preserve"> to</w:t>
            </w:r>
            <w:r w:rsidR="001B567A" w:rsidRPr="008D6BA9">
              <w:rPr>
                <w:rFonts w:cs="Courier New"/>
                <w:szCs w:val="22"/>
              </w:rPr>
              <w:t xml:space="preserve"> reflect this.</w:t>
            </w:r>
          </w:p>
          <w:p w14:paraId="2BF07641" w14:textId="77777777" w:rsidR="001C7938" w:rsidRPr="008D6BA9" w:rsidRDefault="001C7938" w:rsidP="00DB44EA">
            <w:pPr>
              <w:rPr>
                <w:rFonts w:cs="Courier New"/>
                <w:szCs w:val="22"/>
              </w:rPr>
            </w:pPr>
          </w:p>
          <w:p w14:paraId="0ACE665D" w14:textId="3B7FABD9" w:rsidR="003E6A46" w:rsidRPr="008D6BA9" w:rsidRDefault="00DB44EA" w:rsidP="00DB44EA">
            <w:pPr>
              <w:rPr>
                <w:rFonts w:cs="Courier New"/>
                <w:szCs w:val="22"/>
              </w:rPr>
            </w:pPr>
            <w:r w:rsidRPr="008D6BA9">
              <w:rPr>
                <w:rFonts w:cs="Courier New"/>
                <w:szCs w:val="22"/>
              </w:rPr>
              <w:t>In assessing the appropriate level of provision against general debts, then as well as the usual factors such as the age of the debt, consideration has been given to the circumstances of the Covid-19 pandemic and their implications for debt recovery. With this done, the level of coverage on general debts has been set at just under 62%</w:t>
            </w:r>
            <w:r w:rsidR="007B53D1" w:rsidRPr="008D6BA9">
              <w:rPr>
                <w:rFonts w:cs="Courier New"/>
                <w:szCs w:val="22"/>
              </w:rPr>
              <w:t>.</w:t>
            </w:r>
          </w:p>
        </w:tc>
        <w:tc>
          <w:tcPr>
            <w:tcW w:w="3260" w:type="dxa"/>
            <w:shd w:val="clear" w:color="auto" w:fill="auto"/>
            <w:tcMar>
              <w:top w:w="113" w:type="dxa"/>
              <w:bottom w:w="113" w:type="dxa"/>
            </w:tcMar>
          </w:tcPr>
          <w:p w14:paraId="2B39B16A" w14:textId="77777777" w:rsidR="007877CC" w:rsidRPr="008D6BA9" w:rsidRDefault="0014342F" w:rsidP="00EB3FC5">
            <w:pPr>
              <w:rPr>
                <w:rFonts w:cs="Courier New"/>
                <w:szCs w:val="22"/>
              </w:rPr>
            </w:pPr>
            <w:r w:rsidRPr="008D6BA9">
              <w:rPr>
                <w:rFonts w:cs="Courier New"/>
                <w:szCs w:val="22"/>
              </w:rPr>
              <w:t xml:space="preserve">Any additional impairment will be a charge to the </w:t>
            </w:r>
            <w:r w:rsidR="00EB3FC5" w:rsidRPr="008D6BA9">
              <w:rPr>
                <w:rFonts w:cs="Courier New"/>
                <w:szCs w:val="22"/>
              </w:rPr>
              <w:t>Comprehensive Income and E</w:t>
            </w:r>
            <w:r w:rsidRPr="008D6BA9">
              <w:rPr>
                <w:rFonts w:cs="Courier New"/>
                <w:szCs w:val="22"/>
              </w:rPr>
              <w:t xml:space="preserve">xpenditure </w:t>
            </w:r>
            <w:r w:rsidR="00EB3FC5" w:rsidRPr="008D6BA9">
              <w:rPr>
                <w:rFonts w:cs="Courier New"/>
                <w:szCs w:val="22"/>
              </w:rPr>
              <w:t>Statement</w:t>
            </w:r>
            <w:r w:rsidRPr="008D6BA9">
              <w:rPr>
                <w:rFonts w:cs="Courier New"/>
                <w:szCs w:val="22"/>
              </w:rPr>
              <w:t>.</w:t>
            </w:r>
          </w:p>
          <w:p w14:paraId="5F57E8C0" w14:textId="77777777" w:rsidR="00196BDC" w:rsidRPr="008D6BA9" w:rsidRDefault="00196BDC" w:rsidP="00EB3FC5">
            <w:pPr>
              <w:rPr>
                <w:rFonts w:cs="Courier New"/>
                <w:szCs w:val="22"/>
              </w:rPr>
            </w:pPr>
          </w:p>
          <w:p w14:paraId="4A890543" w14:textId="2BA93199" w:rsidR="007B53D1" w:rsidRPr="008D6BA9" w:rsidRDefault="00B6434D" w:rsidP="00B6434D">
            <w:pPr>
              <w:rPr>
                <w:rFonts w:cs="Courier New"/>
                <w:szCs w:val="22"/>
              </w:rPr>
            </w:pPr>
            <w:r w:rsidRPr="008D6BA9">
              <w:rPr>
                <w:rFonts w:cs="Courier New"/>
                <w:szCs w:val="22"/>
              </w:rPr>
              <w:t xml:space="preserve">A 1% increase in the </w:t>
            </w:r>
            <w:r w:rsidR="00196BDC" w:rsidRPr="008D6BA9">
              <w:rPr>
                <w:rFonts w:cs="Courier New"/>
                <w:szCs w:val="22"/>
              </w:rPr>
              <w:t xml:space="preserve">impairment of doubtful debts would result in an additional charge of </w:t>
            </w:r>
            <w:r w:rsidR="00D6717D" w:rsidRPr="008D6BA9">
              <w:rPr>
                <w:rFonts w:cs="Courier New"/>
                <w:szCs w:val="22"/>
              </w:rPr>
              <w:t>£0.0</w:t>
            </w:r>
            <w:r w:rsidR="00DB44EA" w:rsidRPr="008D6BA9">
              <w:rPr>
                <w:rFonts w:cs="Courier New"/>
                <w:szCs w:val="22"/>
              </w:rPr>
              <w:t>34</w:t>
            </w:r>
            <w:r w:rsidR="00196BDC" w:rsidRPr="008D6BA9">
              <w:rPr>
                <w:rFonts w:cs="Courier New"/>
                <w:szCs w:val="22"/>
              </w:rPr>
              <w:t>m to the CI&amp;ES.</w:t>
            </w:r>
          </w:p>
        </w:tc>
      </w:tr>
      <w:tr w:rsidR="00AD4586" w:rsidRPr="00EC06E7" w14:paraId="128F5A75" w14:textId="77777777" w:rsidTr="000E0F45">
        <w:tc>
          <w:tcPr>
            <w:tcW w:w="1276"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14:paraId="3FE1AA23" w14:textId="77777777" w:rsidR="00A90974" w:rsidRPr="008D6BA9" w:rsidRDefault="00A90974" w:rsidP="00F72503">
            <w:pPr>
              <w:rPr>
                <w:rFonts w:cs="Courier New"/>
                <w:szCs w:val="22"/>
              </w:rPr>
            </w:pPr>
            <w:r w:rsidRPr="008D6BA9">
              <w:rPr>
                <w:rFonts w:cs="Courier New"/>
                <w:szCs w:val="22"/>
              </w:rPr>
              <w:t>Asset valuations</w:t>
            </w:r>
          </w:p>
        </w:tc>
        <w:tc>
          <w:tcPr>
            <w:tcW w:w="5103"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14:paraId="4F48C9D8" w14:textId="107F5FA0" w:rsidR="00196BDC" w:rsidRPr="008D6BA9" w:rsidRDefault="001068B1" w:rsidP="00196BDC">
            <w:pPr>
              <w:rPr>
                <w:rFonts w:cs="Courier New"/>
                <w:szCs w:val="22"/>
              </w:rPr>
            </w:pPr>
            <w:r w:rsidRPr="008D6BA9">
              <w:rPr>
                <w:rFonts w:cs="Courier New"/>
                <w:szCs w:val="22"/>
              </w:rPr>
              <w:t xml:space="preserve">Note </w:t>
            </w:r>
            <w:r w:rsidR="000227A5" w:rsidRPr="008D6BA9">
              <w:rPr>
                <w:rFonts w:cs="Courier New"/>
                <w:szCs w:val="22"/>
              </w:rPr>
              <w:fldChar w:fldCharType="begin"/>
            </w:r>
            <w:r w:rsidR="000227A5" w:rsidRPr="008D6BA9">
              <w:rPr>
                <w:rFonts w:cs="Courier New"/>
                <w:szCs w:val="22"/>
              </w:rPr>
              <w:instrText xml:space="preserve"> REF _Ref483395995 \r \h </w:instrText>
            </w:r>
            <w:r w:rsidR="00EC06E7" w:rsidRPr="008D6BA9">
              <w:rPr>
                <w:rFonts w:cs="Courier New"/>
                <w:szCs w:val="22"/>
              </w:rPr>
              <w:instrText xml:space="preserve"> \* MERGEFORMAT </w:instrText>
            </w:r>
            <w:r w:rsidR="000227A5" w:rsidRPr="008D6BA9">
              <w:rPr>
                <w:rFonts w:cs="Courier New"/>
                <w:szCs w:val="22"/>
              </w:rPr>
            </w:r>
            <w:r w:rsidR="000227A5" w:rsidRPr="008D6BA9">
              <w:rPr>
                <w:rFonts w:cs="Courier New"/>
                <w:szCs w:val="22"/>
              </w:rPr>
              <w:fldChar w:fldCharType="separate"/>
            </w:r>
            <w:r w:rsidR="000F49D2">
              <w:rPr>
                <w:rFonts w:cs="Courier New"/>
                <w:szCs w:val="22"/>
              </w:rPr>
              <w:t>15</w:t>
            </w:r>
            <w:r w:rsidR="000227A5" w:rsidRPr="008D6BA9">
              <w:rPr>
                <w:rFonts w:cs="Courier New"/>
                <w:szCs w:val="22"/>
              </w:rPr>
              <w:fldChar w:fldCharType="end"/>
            </w:r>
            <w:r w:rsidR="000C162B" w:rsidRPr="008D6BA9">
              <w:rPr>
                <w:rFonts w:cs="Courier New"/>
                <w:szCs w:val="22"/>
              </w:rPr>
              <w:t>e</w:t>
            </w:r>
            <w:r w:rsidR="00A90974" w:rsidRPr="008D6BA9">
              <w:rPr>
                <w:rFonts w:cs="Courier New"/>
                <w:szCs w:val="22"/>
              </w:rPr>
              <w:t xml:space="preserve"> shows</w:t>
            </w:r>
            <w:r w:rsidR="009C5FA5" w:rsidRPr="008D6BA9">
              <w:rPr>
                <w:rFonts w:cs="Courier New"/>
                <w:szCs w:val="22"/>
              </w:rPr>
              <w:t xml:space="preserve"> that fixed assets valued at </w:t>
            </w:r>
            <w:r w:rsidR="00B919BC" w:rsidRPr="008D6BA9">
              <w:rPr>
                <w:rFonts w:cs="Courier New"/>
                <w:szCs w:val="22"/>
              </w:rPr>
              <w:t>£</w:t>
            </w:r>
            <w:r w:rsidR="00DB7456" w:rsidRPr="008D6BA9">
              <w:rPr>
                <w:rFonts w:cs="Courier New"/>
                <w:szCs w:val="22"/>
              </w:rPr>
              <w:t>2</w:t>
            </w:r>
            <w:r w:rsidR="000C162B" w:rsidRPr="008D6BA9">
              <w:rPr>
                <w:rFonts w:cs="Courier New"/>
                <w:szCs w:val="22"/>
              </w:rPr>
              <w:t>7</w:t>
            </w:r>
            <w:r w:rsidR="00DB7456" w:rsidRPr="008D6BA9">
              <w:rPr>
                <w:rFonts w:cs="Courier New"/>
                <w:szCs w:val="22"/>
              </w:rPr>
              <w:t>.</w:t>
            </w:r>
            <w:r w:rsidR="00D91CE3" w:rsidRPr="008D6BA9">
              <w:rPr>
                <w:rFonts w:cs="Courier New"/>
                <w:szCs w:val="22"/>
              </w:rPr>
              <w:t>55</w:t>
            </w:r>
            <w:r w:rsidR="000C162B" w:rsidRPr="008D6BA9">
              <w:rPr>
                <w:rFonts w:cs="Courier New"/>
                <w:szCs w:val="22"/>
              </w:rPr>
              <w:t>7</w:t>
            </w:r>
            <w:r w:rsidR="00A90974" w:rsidRPr="008D6BA9">
              <w:rPr>
                <w:rFonts w:cs="Courier New"/>
                <w:szCs w:val="22"/>
              </w:rPr>
              <w:t xml:space="preserve">m </w:t>
            </w:r>
            <w:r w:rsidR="00DB7456" w:rsidRPr="008D6BA9">
              <w:rPr>
                <w:rFonts w:cs="Courier New"/>
                <w:szCs w:val="22"/>
              </w:rPr>
              <w:t>(£</w:t>
            </w:r>
            <w:r w:rsidR="000C162B" w:rsidRPr="008D6BA9">
              <w:rPr>
                <w:rFonts w:cs="Courier New"/>
                <w:szCs w:val="22"/>
              </w:rPr>
              <w:t>2</w:t>
            </w:r>
            <w:r w:rsidR="00D91CE3" w:rsidRPr="008D6BA9">
              <w:rPr>
                <w:rFonts w:cs="Courier New"/>
                <w:szCs w:val="22"/>
              </w:rPr>
              <w:t>7</w:t>
            </w:r>
            <w:r w:rsidR="000C162B" w:rsidRPr="008D6BA9">
              <w:rPr>
                <w:rFonts w:cs="Courier New"/>
                <w:szCs w:val="22"/>
              </w:rPr>
              <w:t>.</w:t>
            </w:r>
            <w:r w:rsidR="00D91CE3" w:rsidRPr="008D6BA9">
              <w:rPr>
                <w:rFonts w:cs="Courier New"/>
                <w:szCs w:val="22"/>
              </w:rPr>
              <w:t>45</w:t>
            </w:r>
            <w:r w:rsidR="000C162B" w:rsidRPr="008D6BA9">
              <w:rPr>
                <w:rFonts w:cs="Courier New"/>
                <w:szCs w:val="22"/>
              </w:rPr>
              <w:t>0</w:t>
            </w:r>
            <w:r w:rsidR="00DB7456" w:rsidRPr="008D6BA9">
              <w:rPr>
                <w:rFonts w:cs="Courier New"/>
                <w:szCs w:val="22"/>
              </w:rPr>
              <w:t>m of Operational Land and Buildings and £0.1</w:t>
            </w:r>
            <w:r w:rsidR="000C162B" w:rsidRPr="008D6BA9">
              <w:rPr>
                <w:rFonts w:cs="Courier New"/>
                <w:szCs w:val="22"/>
              </w:rPr>
              <w:t>07</w:t>
            </w:r>
            <w:r w:rsidR="00DB7456" w:rsidRPr="008D6BA9">
              <w:rPr>
                <w:rFonts w:cs="Courier New"/>
                <w:szCs w:val="22"/>
              </w:rPr>
              <w:t xml:space="preserve">m of Community Assets) </w:t>
            </w:r>
            <w:r w:rsidR="00A90974" w:rsidRPr="008D6BA9">
              <w:rPr>
                <w:rFonts w:cs="Courier New"/>
                <w:szCs w:val="22"/>
              </w:rPr>
              <w:t xml:space="preserve">are carried at either </w:t>
            </w:r>
            <w:r w:rsidR="00EA1DF2" w:rsidRPr="008D6BA9">
              <w:rPr>
                <w:rFonts w:cs="Courier New"/>
                <w:szCs w:val="22"/>
              </w:rPr>
              <w:t>current</w:t>
            </w:r>
            <w:r w:rsidR="00A90974" w:rsidRPr="008D6BA9">
              <w:rPr>
                <w:rFonts w:cs="Courier New"/>
                <w:szCs w:val="22"/>
              </w:rPr>
              <w:t xml:space="preserve"> value</w:t>
            </w:r>
            <w:r w:rsidR="000C162B" w:rsidRPr="008D6BA9">
              <w:rPr>
                <w:rFonts w:cs="Courier New"/>
                <w:szCs w:val="22"/>
              </w:rPr>
              <w:t xml:space="preserve"> (£</w:t>
            </w:r>
            <w:r w:rsidR="00984DE2" w:rsidRPr="008D6BA9">
              <w:rPr>
                <w:rFonts w:cs="Courier New"/>
                <w:szCs w:val="22"/>
              </w:rPr>
              <w:t>10.281</w:t>
            </w:r>
            <w:r w:rsidR="000C162B" w:rsidRPr="008D6BA9">
              <w:rPr>
                <w:rFonts w:cs="Courier New"/>
                <w:szCs w:val="22"/>
              </w:rPr>
              <w:t>m)</w:t>
            </w:r>
            <w:r w:rsidR="00A90974" w:rsidRPr="008D6BA9">
              <w:rPr>
                <w:rFonts w:cs="Courier New"/>
                <w:szCs w:val="22"/>
              </w:rPr>
              <w:t xml:space="preserve"> or depreciated replacement cost value</w:t>
            </w:r>
            <w:r w:rsidR="000C162B" w:rsidRPr="008D6BA9">
              <w:rPr>
                <w:rFonts w:cs="Courier New"/>
                <w:szCs w:val="22"/>
              </w:rPr>
              <w:t xml:space="preserve"> (</w:t>
            </w:r>
            <w:r w:rsidR="003C2871">
              <w:rPr>
                <w:rFonts w:cs="Courier New"/>
                <w:szCs w:val="22"/>
              </w:rPr>
              <w:t>£</w:t>
            </w:r>
            <w:r w:rsidR="000C162B" w:rsidRPr="008D6BA9">
              <w:rPr>
                <w:rFonts w:cs="Courier New"/>
                <w:szCs w:val="22"/>
              </w:rPr>
              <w:t>17.2</w:t>
            </w:r>
            <w:r w:rsidR="00984DE2" w:rsidRPr="008D6BA9">
              <w:rPr>
                <w:rFonts w:cs="Courier New"/>
                <w:szCs w:val="22"/>
              </w:rPr>
              <w:t>76</w:t>
            </w:r>
            <w:r w:rsidR="000C162B" w:rsidRPr="008D6BA9">
              <w:rPr>
                <w:rFonts w:cs="Courier New"/>
                <w:szCs w:val="22"/>
              </w:rPr>
              <w:t>m)</w:t>
            </w:r>
            <w:r w:rsidR="00A90974" w:rsidRPr="008D6BA9">
              <w:rPr>
                <w:rFonts w:cs="Courier New"/>
                <w:szCs w:val="22"/>
              </w:rPr>
              <w:t xml:space="preserve">. </w:t>
            </w:r>
          </w:p>
          <w:p w14:paraId="36744819" w14:textId="77777777" w:rsidR="00196BDC" w:rsidRPr="008D6BA9" w:rsidRDefault="00196BDC" w:rsidP="00196BDC">
            <w:pPr>
              <w:rPr>
                <w:rFonts w:cs="Courier New"/>
                <w:szCs w:val="22"/>
              </w:rPr>
            </w:pPr>
          </w:p>
          <w:p w14:paraId="25FEBEC0" w14:textId="4809ECF4" w:rsidR="00196BDC" w:rsidRPr="008D6BA9" w:rsidRDefault="00196BDC" w:rsidP="00196BDC">
            <w:pPr>
              <w:rPr>
                <w:rFonts w:cs="Courier New"/>
                <w:szCs w:val="22"/>
              </w:rPr>
            </w:pPr>
            <w:r w:rsidRPr="008D6BA9">
              <w:rPr>
                <w:rFonts w:cs="Courier New"/>
                <w:szCs w:val="22"/>
              </w:rPr>
              <w:t xml:space="preserve">Note </w:t>
            </w:r>
            <w:r w:rsidR="00B6434D" w:rsidRPr="008D6BA9">
              <w:rPr>
                <w:rFonts w:cs="Courier New"/>
                <w:szCs w:val="22"/>
              </w:rPr>
              <w:fldChar w:fldCharType="begin"/>
            </w:r>
            <w:r w:rsidR="00B6434D" w:rsidRPr="008D6BA9">
              <w:rPr>
                <w:rFonts w:cs="Courier New"/>
                <w:szCs w:val="22"/>
              </w:rPr>
              <w:instrText xml:space="preserve"> REF _Ref514758837 \r \h </w:instrText>
            </w:r>
            <w:r w:rsidR="000A49D7" w:rsidRPr="008D6BA9">
              <w:rPr>
                <w:rFonts w:cs="Courier New"/>
                <w:szCs w:val="22"/>
              </w:rPr>
              <w:instrText xml:space="preserve"> \* MERGEFORMAT </w:instrText>
            </w:r>
            <w:r w:rsidR="00B6434D" w:rsidRPr="008D6BA9">
              <w:rPr>
                <w:rFonts w:cs="Courier New"/>
                <w:szCs w:val="22"/>
              </w:rPr>
            </w:r>
            <w:r w:rsidR="00B6434D" w:rsidRPr="008D6BA9">
              <w:rPr>
                <w:rFonts w:cs="Courier New"/>
                <w:szCs w:val="22"/>
              </w:rPr>
              <w:fldChar w:fldCharType="separate"/>
            </w:r>
            <w:r w:rsidR="000F49D2">
              <w:rPr>
                <w:rFonts w:cs="Courier New"/>
                <w:szCs w:val="22"/>
              </w:rPr>
              <w:t>16</w:t>
            </w:r>
            <w:r w:rsidR="00B6434D" w:rsidRPr="008D6BA9">
              <w:rPr>
                <w:rFonts w:cs="Courier New"/>
                <w:szCs w:val="22"/>
              </w:rPr>
              <w:fldChar w:fldCharType="end"/>
            </w:r>
            <w:r w:rsidRPr="008D6BA9">
              <w:rPr>
                <w:rFonts w:cs="Courier New"/>
                <w:szCs w:val="22"/>
              </w:rPr>
              <w:t xml:space="preserve"> shows that investment properties valued at £</w:t>
            </w:r>
            <w:r w:rsidR="00DB7456" w:rsidRPr="008D6BA9">
              <w:rPr>
                <w:rFonts w:cs="Courier New"/>
                <w:szCs w:val="22"/>
              </w:rPr>
              <w:t>10.</w:t>
            </w:r>
            <w:r w:rsidR="00D91CE3" w:rsidRPr="008D6BA9">
              <w:rPr>
                <w:rFonts w:cs="Courier New"/>
                <w:szCs w:val="22"/>
              </w:rPr>
              <w:t>144</w:t>
            </w:r>
            <w:r w:rsidRPr="008D6BA9">
              <w:rPr>
                <w:rFonts w:cs="Courier New"/>
                <w:szCs w:val="22"/>
              </w:rPr>
              <w:t>m are carried at current value.</w:t>
            </w:r>
          </w:p>
          <w:p w14:paraId="1B35FC88" w14:textId="77777777" w:rsidR="00055BCC" w:rsidRPr="008D6BA9" w:rsidRDefault="00055BCC" w:rsidP="00055BCC">
            <w:pPr>
              <w:rPr>
                <w:rFonts w:cs="Courier New"/>
                <w:szCs w:val="22"/>
              </w:rPr>
            </w:pPr>
          </w:p>
          <w:p w14:paraId="18365DAC" w14:textId="7EAE609B" w:rsidR="00A37D68" w:rsidRPr="008D6BA9" w:rsidRDefault="00A90974" w:rsidP="00055BCC">
            <w:pPr>
              <w:rPr>
                <w:rFonts w:cs="Courier New"/>
                <w:szCs w:val="22"/>
              </w:rPr>
            </w:pPr>
            <w:r w:rsidRPr="008D6BA9">
              <w:rPr>
                <w:rFonts w:cs="Courier New"/>
                <w:szCs w:val="22"/>
              </w:rPr>
              <w:t>The valuations have been carried out by</w:t>
            </w:r>
            <w:r w:rsidR="002302B9" w:rsidRPr="008D6BA9">
              <w:rPr>
                <w:rFonts w:cs="Courier New"/>
                <w:szCs w:val="22"/>
              </w:rPr>
              <w:t xml:space="preserve"> qualified valuers</w:t>
            </w:r>
            <w:r w:rsidRPr="008D6BA9">
              <w:rPr>
                <w:rFonts w:cs="Courier New"/>
                <w:szCs w:val="22"/>
              </w:rPr>
              <w:t xml:space="preserve"> in accordance with </w:t>
            </w:r>
            <w:r w:rsidR="003825E5" w:rsidRPr="008D6BA9">
              <w:rPr>
                <w:rFonts w:cs="Courier New"/>
                <w:szCs w:val="22"/>
              </w:rPr>
              <w:t>Royal Institution of Chartered Surveyors</w:t>
            </w:r>
            <w:r w:rsidRPr="008D6BA9">
              <w:rPr>
                <w:rFonts w:cs="Courier New"/>
                <w:szCs w:val="22"/>
              </w:rPr>
              <w:t xml:space="preserve"> Guidance</w:t>
            </w:r>
            <w:r w:rsidR="00055BCC" w:rsidRPr="008D6BA9">
              <w:rPr>
                <w:rFonts w:cs="Courier New"/>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14:paraId="78B44B33" w14:textId="77777777" w:rsidR="00A90974" w:rsidRPr="008D6BA9" w:rsidRDefault="00A90974" w:rsidP="00FF0358">
            <w:pPr>
              <w:rPr>
                <w:rFonts w:cs="Courier New"/>
                <w:szCs w:val="22"/>
              </w:rPr>
            </w:pPr>
            <w:r w:rsidRPr="008D6BA9">
              <w:rPr>
                <w:rFonts w:cs="Courier New"/>
                <w:szCs w:val="22"/>
              </w:rPr>
              <w:t xml:space="preserve">The values are only </w:t>
            </w:r>
            <w:proofErr w:type="gramStart"/>
            <w:r w:rsidRPr="008D6BA9">
              <w:rPr>
                <w:rFonts w:cs="Courier New"/>
                <w:szCs w:val="22"/>
              </w:rPr>
              <w:t>estimates</w:t>
            </w:r>
            <w:proofErr w:type="gramEnd"/>
            <w:r w:rsidRPr="008D6BA9">
              <w:rPr>
                <w:rFonts w:cs="Courier New"/>
                <w:szCs w:val="22"/>
              </w:rPr>
              <w:t xml:space="preserve"> and thus could over or understate the actual values realisable if sale actually occurred.</w:t>
            </w:r>
          </w:p>
          <w:p w14:paraId="37B5DAD0" w14:textId="77777777" w:rsidR="00196BDC" w:rsidRPr="008D6BA9" w:rsidRDefault="00196BDC" w:rsidP="00FF0358">
            <w:pPr>
              <w:rPr>
                <w:rFonts w:cs="Courier New"/>
                <w:szCs w:val="22"/>
              </w:rPr>
            </w:pPr>
          </w:p>
          <w:p w14:paraId="56983DFF" w14:textId="4159936E" w:rsidR="00196BDC" w:rsidRPr="008D6BA9" w:rsidRDefault="00A37D68" w:rsidP="00DB7456">
            <w:pPr>
              <w:rPr>
                <w:rFonts w:cs="Courier New"/>
                <w:szCs w:val="22"/>
              </w:rPr>
            </w:pPr>
            <w:r w:rsidRPr="008D6BA9">
              <w:rPr>
                <w:rFonts w:cs="Courier New"/>
                <w:szCs w:val="22"/>
              </w:rPr>
              <w:t xml:space="preserve">The valuations in respect of Investment Properties are those most subject to market variations. </w:t>
            </w:r>
            <w:r w:rsidR="00196BDC" w:rsidRPr="008D6BA9">
              <w:rPr>
                <w:rFonts w:cs="Courier New"/>
                <w:szCs w:val="22"/>
              </w:rPr>
              <w:t>A fall in the value of the</w:t>
            </w:r>
            <w:r w:rsidRPr="008D6BA9">
              <w:rPr>
                <w:rFonts w:cs="Courier New"/>
                <w:szCs w:val="22"/>
              </w:rPr>
              <w:t>se</w:t>
            </w:r>
            <w:r w:rsidR="00196BDC" w:rsidRPr="008D6BA9">
              <w:rPr>
                <w:rFonts w:cs="Courier New"/>
                <w:szCs w:val="22"/>
              </w:rPr>
              <w:t xml:space="preserve"> w</w:t>
            </w:r>
            <w:r w:rsidRPr="008D6BA9">
              <w:rPr>
                <w:rFonts w:cs="Courier New"/>
                <w:szCs w:val="22"/>
              </w:rPr>
              <w:t>ou</w:t>
            </w:r>
            <w:r w:rsidR="00196BDC" w:rsidRPr="008D6BA9">
              <w:rPr>
                <w:rFonts w:cs="Courier New"/>
                <w:szCs w:val="22"/>
              </w:rPr>
              <w:t>l</w:t>
            </w:r>
            <w:r w:rsidRPr="008D6BA9">
              <w:rPr>
                <w:rFonts w:cs="Courier New"/>
                <w:szCs w:val="22"/>
              </w:rPr>
              <w:t>d</w:t>
            </w:r>
            <w:r w:rsidR="00196BDC" w:rsidRPr="008D6BA9">
              <w:rPr>
                <w:rFonts w:cs="Courier New"/>
                <w:szCs w:val="22"/>
              </w:rPr>
              <w:t xml:space="preserve"> result in a charge to the CI&amp;ES. Every 10% fall in the total value of the </w:t>
            </w:r>
            <w:r w:rsidR="00BC0AA6" w:rsidRPr="008D6BA9">
              <w:rPr>
                <w:rFonts w:cs="Courier New"/>
                <w:szCs w:val="22"/>
              </w:rPr>
              <w:t>c</w:t>
            </w:r>
            <w:r w:rsidR="00196BDC" w:rsidRPr="008D6BA9">
              <w:rPr>
                <w:rFonts w:cs="Courier New"/>
                <w:szCs w:val="22"/>
              </w:rPr>
              <w:t>ouncil’s investment properties would result in a £</w:t>
            </w:r>
            <w:r w:rsidR="00DB7456" w:rsidRPr="008D6BA9">
              <w:rPr>
                <w:rFonts w:cs="Courier New"/>
                <w:szCs w:val="22"/>
              </w:rPr>
              <w:t>1.0</w:t>
            </w:r>
            <w:r w:rsidR="00D91CE3" w:rsidRPr="008D6BA9">
              <w:rPr>
                <w:rFonts w:cs="Courier New"/>
                <w:szCs w:val="22"/>
              </w:rPr>
              <w:t>14</w:t>
            </w:r>
            <w:r w:rsidR="00196BDC" w:rsidRPr="008D6BA9">
              <w:rPr>
                <w:rFonts w:cs="Courier New"/>
                <w:szCs w:val="22"/>
              </w:rPr>
              <w:t>m charge to the CI&amp;ES.</w:t>
            </w:r>
          </w:p>
          <w:p w14:paraId="298F30B6" w14:textId="77777777" w:rsidR="00A37D68" w:rsidRPr="008D6BA9" w:rsidRDefault="00A37D68" w:rsidP="00DB7456">
            <w:pPr>
              <w:rPr>
                <w:rFonts w:cs="Courier New"/>
                <w:szCs w:val="22"/>
              </w:rPr>
            </w:pPr>
          </w:p>
          <w:p w14:paraId="754C7E1F" w14:textId="3E7533F8" w:rsidR="00A37D68" w:rsidRPr="008D6BA9" w:rsidRDefault="00A37D68" w:rsidP="00DB7456">
            <w:pPr>
              <w:rPr>
                <w:rFonts w:cs="Courier New"/>
                <w:szCs w:val="22"/>
              </w:rPr>
            </w:pPr>
            <w:r w:rsidRPr="008D6BA9">
              <w:rPr>
                <w:rFonts w:cs="Courier New"/>
                <w:szCs w:val="22"/>
              </w:rPr>
              <w:t xml:space="preserve">Likewise, a </w:t>
            </w:r>
            <w:r w:rsidR="00F62ABC" w:rsidRPr="008D6BA9">
              <w:rPr>
                <w:rFonts w:cs="Courier New"/>
                <w:szCs w:val="22"/>
              </w:rPr>
              <w:t>10% in the value of other assets valued at current cost would produce a variation of £</w:t>
            </w:r>
            <w:r w:rsidR="00984DE2" w:rsidRPr="008D6BA9">
              <w:rPr>
                <w:rFonts w:cs="Courier New"/>
                <w:szCs w:val="22"/>
              </w:rPr>
              <w:t>1.208m</w:t>
            </w:r>
            <w:r w:rsidR="00F62ABC" w:rsidRPr="008D6BA9">
              <w:rPr>
                <w:rFonts w:cs="Courier New"/>
                <w:szCs w:val="22"/>
              </w:rPr>
              <w:t>. How much, if any, of this would be chargeable to the CIES would depend on the individual assets affected and</w:t>
            </w:r>
            <w:r w:rsidR="00D91CE3" w:rsidRPr="008D6BA9">
              <w:rPr>
                <w:rFonts w:cs="Courier New"/>
                <w:szCs w:val="22"/>
              </w:rPr>
              <w:t xml:space="preserve"> on</w:t>
            </w:r>
            <w:r w:rsidR="00F62ABC" w:rsidRPr="008D6BA9">
              <w:rPr>
                <w:rFonts w:cs="Courier New"/>
                <w:szCs w:val="22"/>
              </w:rPr>
              <w:t xml:space="preserve"> </w:t>
            </w:r>
            <w:proofErr w:type="gramStart"/>
            <w:r w:rsidR="00F62ABC" w:rsidRPr="008D6BA9">
              <w:rPr>
                <w:rFonts w:cs="Courier New"/>
                <w:szCs w:val="22"/>
              </w:rPr>
              <w:t>whether or not</w:t>
            </w:r>
            <w:proofErr w:type="gramEnd"/>
            <w:r w:rsidR="00F62ABC" w:rsidRPr="008D6BA9">
              <w:rPr>
                <w:rFonts w:cs="Courier New"/>
                <w:szCs w:val="22"/>
              </w:rPr>
              <w:t xml:space="preserve"> there were associated balances in the Revaluation Reserve.</w:t>
            </w:r>
          </w:p>
        </w:tc>
      </w:tr>
      <w:tr w:rsidR="00AD4586" w:rsidRPr="00EC06E7" w14:paraId="6D68F317" w14:textId="77777777" w:rsidTr="000E0F45">
        <w:tc>
          <w:tcPr>
            <w:tcW w:w="1276"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14:paraId="208E0343" w14:textId="77777777" w:rsidR="00B4397B" w:rsidRPr="008D6BA9" w:rsidRDefault="00AD4586" w:rsidP="00F72503">
            <w:pPr>
              <w:rPr>
                <w:rFonts w:cs="Courier New"/>
                <w:szCs w:val="22"/>
              </w:rPr>
            </w:pPr>
            <w:r w:rsidRPr="008D6BA9">
              <w:rPr>
                <w:rFonts w:cs="Courier New"/>
                <w:szCs w:val="22"/>
              </w:rPr>
              <w:t>Provisions</w:t>
            </w:r>
          </w:p>
        </w:tc>
        <w:tc>
          <w:tcPr>
            <w:tcW w:w="5103"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14:paraId="031FE322" w14:textId="47A187A8" w:rsidR="00FF0358" w:rsidRPr="008D6BA9" w:rsidRDefault="00C64334" w:rsidP="00DB7456">
            <w:pPr>
              <w:rPr>
                <w:rFonts w:cs="Courier New"/>
                <w:szCs w:val="22"/>
              </w:rPr>
            </w:pPr>
            <w:r w:rsidRPr="008D6BA9">
              <w:rPr>
                <w:rFonts w:cs="Courier New"/>
                <w:szCs w:val="22"/>
              </w:rPr>
              <w:t>A</w:t>
            </w:r>
            <w:r w:rsidR="00AD4586" w:rsidRPr="008D6BA9">
              <w:rPr>
                <w:rFonts w:cs="Courier New"/>
                <w:szCs w:val="22"/>
              </w:rPr>
              <w:t xml:space="preserve"> provision </w:t>
            </w:r>
            <w:r w:rsidR="00B919BC" w:rsidRPr="008D6BA9">
              <w:rPr>
                <w:rFonts w:cs="Courier New"/>
                <w:szCs w:val="22"/>
              </w:rPr>
              <w:t>of £</w:t>
            </w:r>
            <w:r w:rsidR="00172F1B" w:rsidRPr="008D6BA9">
              <w:rPr>
                <w:rFonts w:cs="Courier New"/>
                <w:szCs w:val="22"/>
              </w:rPr>
              <w:t>2</w:t>
            </w:r>
            <w:r w:rsidR="00B919BC" w:rsidRPr="008D6BA9">
              <w:rPr>
                <w:rFonts w:cs="Courier New"/>
                <w:szCs w:val="22"/>
              </w:rPr>
              <w:t>.</w:t>
            </w:r>
            <w:r w:rsidR="00B8631D" w:rsidRPr="008D6BA9">
              <w:rPr>
                <w:rFonts w:cs="Courier New"/>
                <w:szCs w:val="22"/>
              </w:rPr>
              <w:t>0</w:t>
            </w:r>
            <w:r w:rsidR="00DB7456" w:rsidRPr="008D6BA9">
              <w:rPr>
                <w:rFonts w:cs="Courier New"/>
                <w:szCs w:val="22"/>
              </w:rPr>
              <w:t>8</w:t>
            </w:r>
            <w:r w:rsidR="00B8631D" w:rsidRPr="008D6BA9">
              <w:rPr>
                <w:rFonts w:cs="Courier New"/>
                <w:szCs w:val="22"/>
              </w:rPr>
              <w:t>1</w:t>
            </w:r>
            <w:r w:rsidR="004C7271" w:rsidRPr="008D6BA9">
              <w:rPr>
                <w:rFonts w:cs="Courier New"/>
                <w:szCs w:val="22"/>
              </w:rPr>
              <w:t>m</w:t>
            </w:r>
            <w:r w:rsidR="002302B9" w:rsidRPr="008D6BA9">
              <w:rPr>
                <w:rFonts w:cs="Courier New"/>
                <w:szCs w:val="22"/>
              </w:rPr>
              <w:t xml:space="preserve"> </w:t>
            </w:r>
            <w:r w:rsidR="00AD4586" w:rsidRPr="008D6BA9">
              <w:rPr>
                <w:rFonts w:cs="Courier New"/>
                <w:szCs w:val="22"/>
              </w:rPr>
              <w:t>has been recognised for the best estimate of the amount that businesses have been overcharged</w:t>
            </w:r>
            <w:r w:rsidRPr="008D6BA9">
              <w:rPr>
                <w:rFonts w:cs="Courier New"/>
                <w:szCs w:val="22"/>
              </w:rPr>
              <w:t xml:space="preserve"> business rates</w:t>
            </w:r>
            <w:r w:rsidR="00AD4586" w:rsidRPr="008D6BA9">
              <w:rPr>
                <w:rFonts w:cs="Courier New"/>
                <w:szCs w:val="22"/>
              </w:rPr>
              <w:t xml:space="preserve"> up to </w:t>
            </w:r>
            <w:r w:rsidR="00255FA7" w:rsidRPr="008D6BA9">
              <w:rPr>
                <w:rFonts w:cs="Courier New"/>
                <w:szCs w:val="22"/>
              </w:rPr>
              <w:t xml:space="preserve">31 March </w:t>
            </w:r>
            <w:r w:rsidR="003D255A" w:rsidRPr="008D6BA9">
              <w:rPr>
                <w:rFonts w:cs="Courier New"/>
                <w:szCs w:val="22"/>
              </w:rPr>
              <w:t>20</w:t>
            </w:r>
            <w:r w:rsidR="000A49D7" w:rsidRPr="008D6BA9">
              <w:rPr>
                <w:rFonts w:cs="Courier New"/>
                <w:szCs w:val="22"/>
              </w:rPr>
              <w:t>2</w:t>
            </w:r>
            <w:r w:rsidR="00B8631D" w:rsidRPr="008D6BA9">
              <w:rPr>
                <w:rFonts w:cs="Courier New"/>
                <w:szCs w:val="22"/>
              </w:rPr>
              <w:t>1</w:t>
            </w:r>
            <w:r w:rsidR="00AD4586" w:rsidRPr="008D6BA9">
              <w:rPr>
                <w:rFonts w:cs="Courier New"/>
                <w:szCs w:val="22"/>
              </w:rPr>
              <w:t xml:space="preserve">. The estimate </w:t>
            </w:r>
            <w:r w:rsidR="000A49D7" w:rsidRPr="008D6BA9">
              <w:rPr>
                <w:rFonts w:cs="Courier New"/>
                <w:szCs w:val="22"/>
              </w:rPr>
              <w:t xml:space="preserve">in respect of appeals against the rating lists prior to that for 2017 </w:t>
            </w:r>
            <w:r w:rsidR="00AD4586" w:rsidRPr="008D6BA9">
              <w:rPr>
                <w:rFonts w:cs="Courier New"/>
                <w:szCs w:val="22"/>
              </w:rPr>
              <w:t>has been calculated using the Valuation Office</w:t>
            </w:r>
            <w:r w:rsidR="0009556B" w:rsidRPr="008D6BA9">
              <w:rPr>
                <w:rFonts w:cs="Courier New"/>
                <w:szCs w:val="22"/>
              </w:rPr>
              <w:t xml:space="preserve"> Agency</w:t>
            </w:r>
            <w:r w:rsidR="00AD4586" w:rsidRPr="008D6BA9">
              <w:rPr>
                <w:rFonts w:cs="Courier New"/>
                <w:szCs w:val="22"/>
              </w:rPr>
              <w:t xml:space="preserve"> (VO</w:t>
            </w:r>
            <w:r w:rsidR="0009556B" w:rsidRPr="008D6BA9">
              <w:rPr>
                <w:rFonts w:cs="Courier New"/>
                <w:szCs w:val="22"/>
              </w:rPr>
              <w:t>A</w:t>
            </w:r>
            <w:r w:rsidR="00AD4586" w:rsidRPr="008D6BA9">
              <w:rPr>
                <w:rFonts w:cs="Courier New"/>
                <w:szCs w:val="22"/>
              </w:rPr>
              <w:t>) ratings list of appeals and the analysis of successful appeals to date</w:t>
            </w:r>
            <w:r w:rsidR="00172F1B" w:rsidRPr="008D6BA9">
              <w:rPr>
                <w:rFonts w:cs="Courier New"/>
                <w:szCs w:val="22"/>
              </w:rPr>
              <w:t xml:space="preserve">. In respect of the 2017 list, there have, </w:t>
            </w:r>
            <w:proofErr w:type="gramStart"/>
            <w:r w:rsidR="00172F1B" w:rsidRPr="008D6BA9">
              <w:rPr>
                <w:rFonts w:cs="Courier New"/>
                <w:szCs w:val="22"/>
              </w:rPr>
              <w:t>as yet</w:t>
            </w:r>
            <w:proofErr w:type="gramEnd"/>
            <w:r w:rsidR="00172F1B" w:rsidRPr="008D6BA9">
              <w:rPr>
                <w:rFonts w:cs="Courier New"/>
                <w:szCs w:val="22"/>
              </w:rPr>
              <w:t xml:space="preserve">, been only a very limited number of appeals at a national level and so the appropriate level of provision is more difficult to gauge. The </w:t>
            </w:r>
            <w:r w:rsidR="00BC0AA6" w:rsidRPr="008D6BA9">
              <w:rPr>
                <w:rFonts w:cs="Courier New"/>
                <w:szCs w:val="22"/>
              </w:rPr>
              <w:t>c</w:t>
            </w:r>
            <w:r w:rsidR="00172F1B" w:rsidRPr="008D6BA9">
              <w:rPr>
                <w:rFonts w:cs="Courier New"/>
                <w:szCs w:val="22"/>
              </w:rPr>
              <w:t>ouncil’s provision has been set at 4% of the net rates payable for each year</w:t>
            </w:r>
            <w:r w:rsidR="00B8631D" w:rsidRPr="008D6BA9">
              <w:rPr>
                <w:rFonts w:cs="Courier New"/>
                <w:szCs w:val="22"/>
              </w:rPr>
              <w:t>, after making allowance for reductions in rateable values at the ‘Check’ and ‘Challenge’ stages of the 2017 List appeals process</w:t>
            </w:r>
            <w:r w:rsidR="00172F1B" w:rsidRPr="008D6BA9">
              <w:rPr>
                <w:rFonts w:cs="Courier New"/>
                <w:szCs w:val="22"/>
              </w:rPr>
              <w:t xml:space="preserve">. Benchmarking information indicates that this is a little higher than the average for councils of this size and type. </w:t>
            </w:r>
            <w:r w:rsidR="000C4D1C" w:rsidRPr="008D6BA9">
              <w:rPr>
                <w:rFonts w:cs="Courier New"/>
                <w:szCs w:val="22"/>
              </w:rPr>
              <w:t xml:space="preserve">See </w:t>
            </w:r>
            <w:r w:rsidR="003239DC" w:rsidRPr="008D6BA9">
              <w:rPr>
                <w:rFonts w:cs="Courier New"/>
                <w:szCs w:val="22"/>
              </w:rPr>
              <w:t>N</w:t>
            </w:r>
            <w:r w:rsidR="0070131A" w:rsidRPr="008D6BA9">
              <w:rPr>
                <w:rFonts w:cs="Courier New"/>
                <w:szCs w:val="22"/>
              </w:rPr>
              <w:t xml:space="preserve">ote </w:t>
            </w:r>
            <w:r w:rsidR="0070131A" w:rsidRPr="008D6BA9">
              <w:rPr>
                <w:rFonts w:cs="Courier New"/>
                <w:szCs w:val="22"/>
              </w:rPr>
              <w:fldChar w:fldCharType="begin"/>
            </w:r>
            <w:r w:rsidR="0070131A" w:rsidRPr="008D6BA9">
              <w:rPr>
                <w:rFonts w:cs="Courier New"/>
                <w:szCs w:val="22"/>
              </w:rPr>
              <w:instrText xml:space="preserve"> REF _Ref483393315 \r \h </w:instrText>
            </w:r>
            <w:r w:rsidR="00EC06E7" w:rsidRPr="008D6BA9">
              <w:rPr>
                <w:rFonts w:cs="Courier New"/>
                <w:szCs w:val="22"/>
              </w:rPr>
              <w:instrText xml:space="preserve"> \* MERGEFORMAT </w:instrText>
            </w:r>
            <w:r w:rsidR="0070131A" w:rsidRPr="008D6BA9">
              <w:rPr>
                <w:rFonts w:cs="Courier New"/>
                <w:szCs w:val="22"/>
              </w:rPr>
            </w:r>
            <w:r w:rsidR="0070131A" w:rsidRPr="008D6BA9">
              <w:rPr>
                <w:rFonts w:cs="Courier New"/>
                <w:szCs w:val="22"/>
              </w:rPr>
              <w:fldChar w:fldCharType="separate"/>
            </w:r>
            <w:r w:rsidR="000F49D2">
              <w:rPr>
                <w:rFonts w:cs="Courier New"/>
                <w:szCs w:val="22"/>
              </w:rPr>
              <w:t>23</w:t>
            </w:r>
            <w:r w:rsidR="0070131A" w:rsidRPr="008D6BA9">
              <w:rPr>
                <w:rFonts w:cs="Courier New"/>
                <w:szCs w:val="22"/>
              </w:rPr>
              <w:fldChar w:fldCharType="end"/>
            </w:r>
            <w:r w:rsidRPr="008D6BA9">
              <w:rPr>
                <w:rFonts w:cs="Courier New"/>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14:paraId="79592EE5" w14:textId="29AEEAF2" w:rsidR="003E6A46" w:rsidRPr="008D6BA9" w:rsidRDefault="00B6434D" w:rsidP="00B1137E">
            <w:pPr>
              <w:rPr>
                <w:rFonts w:cs="Courier New"/>
                <w:szCs w:val="22"/>
              </w:rPr>
            </w:pPr>
            <w:r w:rsidRPr="008D6BA9">
              <w:rPr>
                <w:rFonts w:cs="Courier New"/>
                <w:szCs w:val="22"/>
              </w:rPr>
              <w:t xml:space="preserve">If the value of successful appeals exceeded the </w:t>
            </w:r>
            <w:proofErr w:type="gramStart"/>
            <w:r w:rsidRPr="008D6BA9">
              <w:rPr>
                <w:rFonts w:cs="Courier New"/>
                <w:szCs w:val="22"/>
              </w:rPr>
              <w:t>provision</w:t>
            </w:r>
            <w:proofErr w:type="gramEnd"/>
            <w:r w:rsidRPr="008D6BA9">
              <w:rPr>
                <w:rFonts w:cs="Courier New"/>
                <w:szCs w:val="22"/>
              </w:rPr>
              <w:t xml:space="preserve"> there would be a reduction in the local share of business rates income available to fund the Authority’s services. Similarly, an increase in the provision to cover such appeals would be a charge to the Collection Fund which would also reduce the local share of business rates income available to fund the Authority’s services. A 1% increase in the provision would result in an additional charge to the Collection Fund of </w:t>
            </w:r>
            <w:r w:rsidR="00DB7456" w:rsidRPr="008D6BA9">
              <w:rPr>
                <w:rFonts w:cs="Courier New"/>
                <w:szCs w:val="22"/>
              </w:rPr>
              <w:t>£0.0</w:t>
            </w:r>
            <w:r w:rsidR="00B8631D" w:rsidRPr="008D6BA9">
              <w:rPr>
                <w:rFonts w:cs="Courier New"/>
                <w:szCs w:val="22"/>
              </w:rPr>
              <w:t>52</w:t>
            </w:r>
            <w:r w:rsidR="00ED3548" w:rsidRPr="008D6BA9">
              <w:rPr>
                <w:rFonts w:cs="Courier New"/>
                <w:szCs w:val="22"/>
              </w:rPr>
              <w:t>m</w:t>
            </w:r>
            <w:r w:rsidRPr="008D6BA9">
              <w:rPr>
                <w:rFonts w:cs="Courier New"/>
                <w:szCs w:val="22"/>
              </w:rPr>
              <w:t xml:space="preserve">, of which this Authority's share of the cost would be </w:t>
            </w:r>
            <w:r w:rsidR="0073426E" w:rsidRPr="008D6BA9">
              <w:rPr>
                <w:rFonts w:cs="Courier New"/>
                <w:szCs w:val="22"/>
              </w:rPr>
              <w:t>40</w:t>
            </w:r>
            <w:r w:rsidRPr="008D6BA9">
              <w:rPr>
                <w:rFonts w:cs="Courier New"/>
                <w:szCs w:val="22"/>
              </w:rPr>
              <w:t>% or £0.0</w:t>
            </w:r>
            <w:r w:rsidR="00261F9C" w:rsidRPr="008D6BA9">
              <w:rPr>
                <w:rFonts w:cs="Courier New"/>
                <w:szCs w:val="22"/>
              </w:rPr>
              <w:t>2</w:t>
            </w:r>
            <w:r w:rsidR="0073426E" w:rsidRPr="008D6BA9">
              <w:rPr>
                <w:rFonts w:cs="Courier New"/>
                <w:szCs w:val="22"/>
              </w:rPr>
              <w:t>1</w:t>
            </w:r>
            <w:r w:rsidRPr="008D6BA9">
              <w:rPr>
                <w:rFonts w:cs="Courier New"/>
                <w:szCs w:val="22"/>
              </w:rPr>
              <w:t>m.</w:t>
            </w:r>
          </w:p>
        </w:tc>
      </w:tr>
      <w:tr w:rsidR="00E32B17" w:rsidRPr="00EC06E7" w14:paraId="2E02C65F" w14:textId="77777777" w:rsidTr="000E0F45">
        <w:tc>
          <w:tcPr>
            <w:tcW w:w="1276"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14:paraId="6E42997C" w14:textId="77777777" w:rsidR="00E32B17" w:rsidRPr="008D6BA9" w:rsidRDefault="00E32B17" w:rsidP="001B447B">
            <w:pPr>
              <w:autoSpaceDE w:val="0"/>
              <w:autoSpaceDN w:val="0"/>
              <w:adjustRightInd w:val="0"/>
              <w:rPr>
                <w:rFonts w:cs="Courier New"/>
                <w:szCs w:val="22"/>
              </w:rPr>
            </w:pPr>
            <w:r w:rsidRPr="008D6BA9">
              <w:rPr>
                <w:rFonts w:cs="Arial"/>
                <w:szCs w:val="22"/>
              </w:rPr>
              <w:t>Fair value measure</w:t>
            </w:r>
            <w:r w:rsidR="008626B7" w:rsidRPr="008D6BA9">
              <w:rPr>
                <w:rFonts w:cs="Arial"/>
                <w:szCs w:val="22"/>
              </w:rPr>
              <w:t>-</w:t>
            </w:r>
            <w:proofErr w:type="spellStart"/>
            <w:r w:rsidRPr="008D6BA9">
              <w:rPr>
                <w:rFonts w:cs="Arial"/>
                <w:szCs w:val="22"/>
              </w:rPr>
              <w:t>ments</w:t>
            </w:r>
            <w:proofErr w:type="spellEnd"/>
          </w:p>
        </w:tc>
        <w:tc>
          <w:tcPr>
            <w:tcW w:w="5103"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14:paraId="0C072C0D" w14:textId="2E90DB5B" w:rsidR="003E6A46" w:rsidRPr="008D6BA9" w:rsidRDefault="00E32B17" w:rsidP="00B1137E">
            <w:pPr>
              <w:rPr>
                <w:rFonts w:cs="Courier New"/>
                <w:szCs w:val="22"/>
              </w:rPr>
            </w:pPr>
            <w:r w:rsidRPr="008D6BA9">
              <w:rPr>
                <w:rFonts w:cs="Courier New"/>
                <w:szCs w:val="22"/>
              </w:rPr>
              <w:t>When the fair values of financial assets and financial liabilities cannot be measured based on quoted prices in active markets (i.e. Level 1 inputs), their fair value is measured using valuation techniques (e.g. quoted prices for similar assets or liabilities in active markets). Where possible, the inputs to these</w:t>
            </w:r>
            <w:r w:rsidR="00FF0358" w:rsidRPr="008D6BA9">
              <w:rPr>
                <w:rFonts w:cs="Courier New"/>
                <w:szCs w:val="22"/>
              </w:rPr>
              <w:t xml:space="preserve"> </w:t>
            </w:r>
            <w:r w:rsidRPr="008D6BA9">
              <w:rPr>
                <w:rFonts w:cs="Courier New"/>
                <w:szCs w:val="22"/>
              </w:rPr>
              <w:t>valuation techniques are based on</w:t>
            </w:r>
            <w:r w:rsidR="00FF0358" w:rsidRPr="008D6BA9">
              <w:rPr>
                <w:rFonts w:cs="Courier New"/>
                <w:szCs w:val="22"/>
              </w:rPr>
              <w:t xml:space="preserve"> o</w:t>
            </w:r>
            <w:r w:rsidRPr="008D6BA9">
              <w:rPr>
                <w:rFonts w:cs="Courier New"/>
                <w:szCs w:val="22"/>
              </w:rPr>
              <w:t>bservable data, but where this is not</w:t>
            </w:r>
            <w:r w:rsidR="00FF0358" w:rsidRPr="008D6BA9">
              <w:rPr>
                <w:rFonts w:cs="Courier New"/>
                <w:szCs w:val="22"/>
              </w:rPr>
              <w:t xml:space="preserve"> </w:t>
            </w:r>
            <w:r w:rsidRPr="008D6BA9">
              <w:rPr>
                <w:rFonts w:cs="Courier New"/>
                <w:szCs w:val="22"/>
              </w:rPr>
              <w:t>possible judgement is required in</w:t>
            </w:r>
            <w:r w:rsidR="00FF0358" w:rsidRPr="008D6BA9">
              <w:rPr>
                <w:rFonts w:cs="Courier New"/>
                <w:szCs w:val="22"/>
              </w:rPr>
              <w:t xml:space="preserve"> </w:t>
            </w:r>
            <w:r w:rsidRPr="008D6BA9">
              <w:rPr>
                <w:rFonts w:cs="Courier New"/>
                <w:szCs w:val="22"/>
              </w:rPr>
              <w:t>establishing fair values. These</w:t>
            </w:r>
            <w:r w:rsidR="00FF0358" w:rsidRPr="008D6BA9">
              <w:rPr>
                <w:rFonts w:cs="Courier New"/>
                <w:szCs w:val="22"/>
              </w:rPr>
              <w:t xml:space="preserve"> </w:t>
            </w:r>
            <w:r w:rsidRPr="008D6BA9">
              <w:rPr>
                <w:rFonts w:cs="Courier New"/>
                <w:szCs w:val="22"/>
              </w:rPr>
              <w:t>judgements typically include</w:t>
            </w:r>
            <w:r w:rsidR="00FF0358" w:rsidRPr="008D6BA9">
              <w:rPr>
                <w:rFonts w:cs="Courier New"/>
                <w:szCs w:val="22"/>
              </w:rPr>
              <w:t xml:space="preserve"> </w:t>
            </w:r>
            <w:r w:rsidRPr="008D6BA9">
              <w:rPr>
                <w:rFonts w:cs="Courier New"/>
                <w:szCs w:val="22"/>
              </w:rPr>
              <w:t>considerations such as uncertainty and</w:t>
            </w:r>
            <w:r w:rsidR="00FF0358" w:rsidRPr="008D6BA9">
              <w:rPr>
                <w:rFonts w:cs="Courier New"/>
                <w:szCs w:val="22"/>
              </w:rPr>
              <w:t xml:space="preserve"> </w:t>
            </w:r>
            <w:r w:rsidRPr="008D6BA9">
              <w:rPr>
                <w:rFonts w:cs="Courier New"/>
                <w:szCs w:val="22"/>
              </w:rPr>
              <w:t>risk. However, changes in the</w:t>
            </w:r>
            <w:r w:rsidR="00FF0358" w:rsidRPr="008D6BA9">
              <w:rPr>
                <w:rFonts w:cs="Courier New"/>
                <w:szCs w:val="22"/>
              </w:rPr>
              <w:t xml:space="preserve"> </w:t>
            </w:r>
            <w:r w:rsidRPr="008D6BA9">
              <w:rPr>
                <w:rFonts w:cs="Courier New"/>
                <w:szCs w:val="22"/>
              </w:rPr>
              <w:t>assumptions used could affect the fair</w:t>
            </w:r>
            <w:r w:rsidR="00FF0358" w:rsidRPr="008D6BA9">
              <w:rPr>
                <w:rFonts w:cs="Courier New"/>
                <w:szCs w:val="22"/>
              </w:rPr>
              <w:t xml:space="preserve"> </w:t>
            </w:r>
            <w:r w:rsidRPr="008D6BA9">
              <w:rPr>
                <w:rFonts w:cs="Courier New"/>
                <w:szCs w:val="22"/>
              </w:rPr>
              <w:t xml:space="preserve">value of the </w:t>
            </w:r>
            <w:r w:rsidR="00BC0AA6" w:rsidRPr="008D6BA9">
              <w:rPr>
                <w:rFonts w:cs="Courier New"/>
                <w:szCs w:val="22"/>
              </w:rPr>
              <w:t>c</w:t>
            </w:r>
            <w:r w:rsidRPr="008D6BA9">
              <w:rPr>
                <w:rFonts w:cs="Courier New"/>
                <w:szCs w:val="22"/>
              </w:rPr>
              <w:t>ouncil's assets and liabilities.</w:t>
            </w:r>
            <w:r w:rsidR="00FF0358" w:rsidRPr="008D6BA9">
              <w:rPr>
                <w:rFonts w:cs="Courier New"/>
                <w:szCs w:val="22"/>
              </w:rPr>
              <w:t xml:space="preserve"> </w:t>
            </w:r>
            <w:r w:rsidRPr="008D6BA9">
              <w:rPr>
                <w:rFonts w:cs="Courier New"/>
                <w:szCs w:val="22"/>
              </w:rPr>
              <w:t>Where Level 1 inputs are not available, the</w:t>
            </w:r>
            <w:r w:rsidR="00FF0358" w:rsidRPr="008D6BA9">
              <w:rPr>
                <w:rFonts w:cs="Courier New"/>
                <w:szCs w:val="22"/>
              </w:rPr>
              <w:t xml:space="preserve"> </w:t>
            </w:r>
            <w:r w:rsidR="00BC0AA6" w:rsidRPr="008D6BA9">
              <w:rPr>
                <w:rFonts w:cs="Courier New"/>
                <w:szCs w:val="22"/>
              </w:rPr>
              <w:t>c</w:t>
            </w:r>
            <w:r w:rsidRPr="008D6BA9">
              <w:rPr>
                <w:rFonts w:cs="Courier New"/>
                <w:szCs w:val="22"/>
              </w:rPr>
              <w:t>ouncil employs relevant experts to</w:t>
            </w:r>
            <w:r w:rsidR="00FF0358" w:rsidRPr="008D6BA9">
              <w:rPr>
                <w:rFonts w:cs="Courier New"/>
                <w:szCs w:val="22"/>
              </w:rPr>
              <w:t xml:space="preserve"> </w:t>
            </w:r>
            <w:r w:rsidRPr="008D6BA9">
              <w:rPr>
                <w:rFonts w:cs="Courier New"/>
                <w:szCs w:val="22"/>
              </w:rPr>
              <w:t>identify the most appropriate valuation</w:t>
            </w:r>
            <w:r w:rsidR="00FF0358" w:rsidRPr="008D6BA9">
              <w:rPr>
                <w:rFonts w:cs="Courier New"/>
                <w:szCs w:val="22"/>
              </w:rPr>
              <w:t xml:space="preserve"> </w:t>
            </w:r>
            <w:r w:rsidRPr="008D6BA9">
              <w:rPr>
                <w:rFonts w:cs="Courier New"/>
                <w:szCs w:val="22"/>
              </w:rPr>
              <w:t xml:space="preserve">techniques to </w:t>
            </w:r>
            <w:r w:rsidR="00FF0358" w:rsidRPr="008D6BA9">
              <w:rPr>
                <w:rFonts w:cs="Courier New"/>
                <w:szCs w:val="22"/>
              </w:rPr>
              <w:t>d</w:t>
            </w:r>
            <w:r w:rsidRPr="008D6BA9">
              <w:rPr>
                <w:rFonts w:cs="Courier New"/>
                <w:szCs w:val="22"/>
              </w:rPr>
              <w:t>etermine fair value (for</w:t>
            </w:r>
            <w:r w:rsidR="00FF0358" w:rsidRPr="008D6BA9">
              <w:rPr>
                <w:rFonts w:cs="Courier New"/>
                <w:szCs w:val="22"/>
              </w:rPr>
              <w:t xml:space="preserve"> </w:t>
            </w:r>
            <w:r w:rsidRPr="008D6BA9">
              <w:rPr>
                <w:rFonts w:cs="Courier New"/>
                <w:szCs w:val="22"/>
              </w:rPr>
              <w:t>example for investment properties, the</w:t>
            </w:r>
            <w:r w:rsidR="00FF0358" w:rsidRPr="008D6BA9">
              <w:rPr>
                <w:rFonts w:cs="Courier New"/>
                <w:szCs w:val="22"/>
              </w:rPr>
              <w:t xml:space="preserve"> </w:t>
            </w:r>
            <w:r w:rsidR="00BC0AA6" w:rsidRPr="008D6BA9">
              <w:rPr>
                <w:rFonts w:cs="Courier New"/>
                <w:szCs w:val="22"/>
              </w:rPr>
              <w:t>c</w:t>
            </w:r>
            <w:r w:rsidRPr="008D6BA9">
              <w:rPr>
                <w:rFonts w:cs="Courier New"/>
                <w:szCs w:val="22"/>
              </w:rPr>
              <w:t>ouncil's Senior Valuer). Information</w:t>
            </w:r>
            <w:r w:rsidR="00FF0358" w:rsidRPr="008D6BA9">
              <w:rPr>
                <w:rFonts w:cs="Courier New"/>
                <w:szCs w:val="22"/>
              </w:rPr>
              <w:t xml:space="preserve"> </w:t>
            </w:r>
            <w:r w:rsidRPr="008D6BA9">
              <w:rPr>
                <w:rFonts w:cs="Courier New"/>
                <w:szCs w:val="22"/>
              </w:rPr>
              <w:t>about the valuation techniques and inputs</w:t>
            </w:r>
            <w:r w:rsidR="00FF0358" w:rsidRPr="008D6BA9">
              <w:rPr>
                <w:rFonts w:cs="Courier New"/>
                <w:szCs w:val="22"/>
              </w:rPr>
              <w:t xml:space="preserve"> </w:t>
            </w:r>
            <w:r w:rsidRPr="008D6BA9">
              <w:rPr>
                <w:rFonts w:cs="Courier New"/>
                <w:szCs w:val="22"/>
              </w:rPr>
              <w:t>used in determining the fair value of the</w:t>
            </w:r>
            <w:r w:rsidR="00FF0358" w:rsidRPr="008D6BA9">
              <w:rPr>
                <w:rFonts w:cs="Courier New"/>
                <w:szCs w:val="22"/>
              </w:rPr>
              <w:t xml:space="preserve"> </w:t>
            </w:r>
            <w:r w:rsidR="00BC0AA6" w:rsidRPr="008D6BA9">
              <w:rPr>
                <w:rFonts w:cs="Courier New"/>
                <w:szCs w:val="22"/>
              </w:rPr>
              <w:t>c</w:t>
            </w:r>
            <w:r w:rsidRPr="008D6BA9">
              <w:rPr>
                <w:rFonts w:cs="Courier New"/>
                <w:szCs w:val="22"/>
              </w:rPr>
              <w:t>ouncil's assets and liabilities is disclosed</w:t>
            </w:r>
            <w:r w:rsidR="00FF0358" w:rsidRPr="008D6BA9">
              <w:rPr>
                <w:rFonts w:cs="Courier New"/>
                <w:szCs w:val="22"/>
              </w:rPr>
              <w:t xml:space="preserve"> </w:t>
            </w:r>
            <w:r w:rsidR="003239DC" w:rsidRPr="008D6BA9">
              <w:rPr>
                <w:rFonts w:cs="Courier New"/>
                <w:szCs w:val="22"/>
              </w:rPr>
              <w:t>in N</w:t>
            </w:r>
            <w:r w:rsidR="00566312" w:rsidRPr="008D6BA9">
              <w:rPr>
                <w:rFonts w:cs="Courier New"/>
                <w:szCs w:val="22"/>
              </w:rPr>
              <w:t>otes</w:t>
            </w:r>
            <w:r w:rsidR="0070131A" w:rsidRPr="008D6BA9">
              <w:rPr>
                <w:rFonts w:cs="Courier New"/>
                <w:szCs w:val="22"/>
              </w:rPr>
              <w:t xml:space="preserve"> </w:t>
            </w:r>
            <w:r w:rsidR="0070131A" w:rsidRPr="008D6BA9">
              <w:rPr>
                <w:rFonts w:cs="Courier New"/>
                <w:szCs w:val="22"/>
              </w:rPr>
              <w:fldChar w:fldCharType="begin"/>
            </w:r>
            <w:r w:rsidR="0070131A" w:rsidRPr="008D6BA9">
              <w:rPr>
                <w:rFonts w:cs="Courier New"/>
                <w:szCs w:val="22"/>
              </w:rPr>
              <w:instrText xml:space="preserve"> REF _Ref483390677 \r \h </w:instrText>
            </w:r>
            <w:r w:rsidR="00EC06E7" w:rsidRPr="008D6BA9">
              <w:rPr>
                <w:rFonts w:cs="Courier New"/>
                <w:szCs w:val="22"/>
              </w:rPr>
              <w:instrText xml:space="preserve"> \* MERGEFORMAT </w:instrText>
            </w:r>
            <w:r w:rsidR="0070131A" w:rsidRPr="008D6BA9">
              <w:rPr>
                <w:rFonts w:cs="Courier New"/>
                <w:szCs w:val="22"/>
              </w:rPr>
            </w:r>
            <w:r w:rsidR="0070131A" w:rsidRPr="008D6BA9">
              <w:rPr>
                <w:rFonts w:cs="Courier New"/>
                <w:szCs w:val="22"/>
              </w:rPr>
              <w:fldChar w:fldCharType="separate"/>
            </w:r>
            <w:r w:rsidR="000F49D2">
              <w:rPr>
                <w:rFonts w:cs="Courier New"/>
                <w:szCs w:val="22"/>
              </w:rPr>
              <w:t>2</w:t>
            </w:r>
            <w:r w:rsidR="0070131A" w:rsidRPr="008D6BA9">
              <w:rPr>
                <w:rFonts w:cs="Courier New"/>
                <w:szCs w:val="22"/>
              </w:rPr>
              <w:fldChar w:fldCharType="end"/>
            </w:r>
            <w:r w:rsidR="00566312" w:rsidRPr="008D6BA9">
              <w:rPr>
                <w:rFonts w:cs="Courier New"/>
                <w:szCs w:val="22"/>
              </w:rPr>
              <w:t xml:space="preserve">, </w:t>
            </w:r>
            <w:r w:rsidR="0070131A" w:rsidRPr="008D6BA9">
              <w:rPr>
                <w:rFonts w:cs="Courier New"/>
                <w:szCs w:val="22"/>
              </w:rPr>
              <w:fldChar w:fldCharType="begin"/>
            </w:r>
            <w:r w:rsidR="0070131A" w:rsidRPr="008D6BA9">
              <w:rPr>
                <w:rFonts w:cs="Courier New"/>
                <w:szCs w:val="22"/>
              </w:rPr>
              <w:instrText xml:space="preserve"> REF _Ref483393341 \r \h </w:instrText>
            </w:r>
            <w:r w:rsidR="00EC06E7" w:rsidRPr="008D6BA9">
              <w:rPr>
                <w:rFonts w:cs="Courier New"/>
                <w:szCs w:val="22"/>
              </w:rPr>
              <w:instrText xml:space="preserve"> \* MERGEFORMAT </w:instrText>
            </w:r>
            <w:r w:rsidR="0070131A" w:rsidRPr="008D6BA9">
              <w:rPr>
                <w:rFonts w:cs="Courier New"/>
                <w:szCs w:val="22"/>
              </w:rPr>
            </w:r>
            <w:r w:rsidR="0070131A" w:rsidRPr="008D6BA9">
              <w:rPr>
                <w:rFonts w:cs="Courier New"/>
                <w:szCs w:val="22"/>
              </w:rPr>
              <w:fldChar w:fldCharType="separate"/>
            </w:r>
            <w:r w:rsidR="000F49D2">
              <w:rPr>
                <w:rFonts w:cs="Courier New"/>
                <w:szCs w:val="22"/>
              </w:rPr>
              <w:t>16</w:t>
            </w:r>
            <w:r w:rsidR="0070131A" w:rsidRPr="008D6BA9">
              <w:rPr>
                <w:rFonts w:cs="Courier New"/>
                <w:szCs w:val="22"/>
              </w:rPr>
              <w:fldChar w:fldCharType="end"/>
            </w:r>
            <w:r w:rsidRPr="008D6BA9">
              <w:rPr>
                <w:rFonts w:cs="Courier New"/>
                <w:szCs w:val="22"/>
              </w:rPr>
              <w:t xml:space="preserve"> and </w:t>
            </w:r>
            <w:r w:rsidR="0070131A" w:rsidRPr="008D6BA9">
              <w:rPr>
                <w:rFonts w:cs="Courier New"/>
                <w:szCs w:val="22"/>
              </w:rPr>
              <w:fldChar w:fldCharType="begin"/>
            </w:r>
            <w:r w:rsidR="0070131A" w:rsidRPr="008D6BA9">
              <w:rPr>
                <w:rFonts w:cs="Courier New"/>
                <w:szCs w:val="22"/>
              </w:rPr>
              <w:instrText xml:space="preserve"> REF _Ref483393345 \r \h </w:instrText>
            </w:r>
            <w:r w:rsidR="00EC06E7" w:rsidRPr="008D6BA9">
              <w:rPr>
                <w:rFonts w:cs="Courier New"/>
                <w:szCs w:val="22"/>
              </w:rPr>
              <w:instrText xml:space="preserve"> \* MERGEFORMAT </w:instrText>
            </w:r>
            <w:r w:rsidR="0070131A" w:rsidRPr="008D6BA9">
              <w:rPr>
                <w:rFonts w:cs="Courier New"/>
                <w:szCs w:val="22"/>
              </w:rPr>
            </w:r>
            <w:r w:rsidR="0070131A" w:rsidRPr="008D6BA9">
              <w:rPr>
                <w:rFonts w:cs="Courier New"/>
                <w:szCs w:val="22"/>
              </w:rPr>
              <w:fldChar w:fldCharType="separate"/>
            </w:r>
            <w:r w:rsidR="000F49D2">
              <w:rPr>
                <w:rFonts w:cs="Courier New"/>
                <w:szCs w:val="22"/>
              </w:rPr>
              <w:t>18</w:t>
            </w:r>
            <w:r w:rsidR="0070131A" w:rsidRPr="008D6BA9">
              <w:rPr>
                <w:rFonts w:cs="Courier New"/>
                <w:szCs w:val="22"/>
              </w:rPr>
              <w:fldChar w:fldCharType="end"/>
            </w:r>
            <w:r w:rsidRPr="008D6BA9">
              <w:rPr>
                <w:rFonts w:cs="Courier New"/>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14:paraId="0A31A7E6" w14:textId="77777777" w:rsidR="00E32B17" w:rsidRPr="008D6BA9" w:rsidRDefault="00FF0358" w:rsidP="00D847D6">
            <w:pPr>
              <w:rPr>
                <w:rFonts w:cs="Courier New"/>
                <w:szCs w:val="22"/>
              </w:rPr>
            </w:pPr>
            <w:r w:rsidRPr="008D6BA9">
              <w:rPr>
                <w:rFonts w:cs="Courier New"/>
                <w:szCs w:val="22"/>
              </w:rPr>
              <w:t xml:space="preserve">The </w:t>
            </w:r>
            <w:r w:rsidR="00BC0AA6" w:rsidRPr="008D6BA9">
              <w:rPr>
                <w:rFonts w:cs="Courier New"/>
                <w:szCs w:val="22"/>
              </w:rPr>
              <w:t>c</w:t>
            </w:r>
            <w:r w:rsidRPr="008D6BA9">
              <w:rPr>
                <w:rFonts w:cs="Courier New"/>
                <w:szCs w:val="22"/>
              </w:rPr>
              <w:t xml:space="preserve">ouncil uses </w:t>
            </w:r>
            <w:r w:rsidR="00566312" w:rsidRPr="008D6BA9">
              <w:rPr>
                <w:rFonts w:cs="Courier New"/>
                <w:szCs w:val="22"/>
              </w:rPr>
              <w:t xml:space="preserve">the market approach to </w:t>
            </w:r>
            <w:r w:rsidRPr="008D6BA9">
              <w:rPr>
                <w:rFonts w:cs="Courier New"/>
                <w:szCs w:val="22"/>
              </w:rPr>
              <w:t>value of some of its investment</w:t>
            </w:r>
            <w:r w:rsidR="00566312" w:rsidRPr="008D6BA9">
              <w:rPr>
                <w:rFonts w:cs="Courier New"/>
                <w:szCs w:val="22"/>
              </w:rPr>
              <w:t xml:space="preserve"> </w:t>
            </w:r>
            <w:r w:rsidRPr="008D6BA9">
              <w:rPr>
                <w:rFonts w:cs="Courier New"/>
                <w:szCs w:val="22"/>
              </w:rPr>
              <w:t>properties and financial assets. The</w:t>
            </w:r>
            <w:r w:rsidR="00566312" w:rsidRPr="008D6BA9">
              <w:rPr>
                <w:rFonts w:cs="Courier New"/>
                <w:szCs w:val="22"/>
              </w:rPr>
              <w:t xml:space="preserve"> </w:t>
            </w:r>
            <w:r w:rsidRPr="008D6BA9">
              <w:rPr>
                <w:rFonts w:cs="Courier New"/>
                <w:szCs w:val="22"/>
              </w:rPr>
              <w:t>unobservable inputs used</w:t>
            </w:r>
            <w:r w:rsidR="00566312" w:rsidRPr="008D6BA9">
              <w:rPr>
                <w:rFonts w:cs="Courier New"/>
                <w:szCs w:val="22"/>
              </w:rPr>
              <w:t xml:space="preserve"> </w:t>
            </w:r>
            <w:r w:rsidRPr="008D6BA9">
              <w:rPr>
                <w:rFonts w:cs="Courier New"/>
                <w:szCs w:val="22"/>
              </w:rPr>
              <w:t>in the fair value measurement include</w:t>
            </w:r>
            <w:r w:rsidR="00566312" w:rsidRPr="008D6BA9">
              <w:rPr>
                <w:rFonts w:cs="Courier New"/>
                <w:szCs w:val="22"/>
              </w:rPr>
              <w:t xml:space="preserve"> </w:t>
            </w:r>
            <w:r w:rsidRPr="008D6BA9">
              <w:rPr>
                <w:rFonts w:cs="Courier New"/>
                <w:szCs w:val="22"/>
              </w:rPr>
              <w:t>management assumptions regarding</w:t>
            </w:r>
            <w:r w:rsidR="00566312" w:rsidRPr="008D6BA9">
              <w:rPr>
                <w:rFonts w:cs="Courier New"/>
                <w:szCs w:val="22"/>
              </w:rPr>
              <w:t xml:space="preserve"> </w:t>
            </w:r>
            <w:r w:rsidRPr="008D6BA9">
              <w:rPr>
                <w:rFonts w:cs="Courier New"/>
                <w:szCs w:val="22"/>
              </w:rPr>
              <w:t>rent</w:t>
            </w:r>
            <w:r w:rsidR="00566312" w:rsidRPr="008D6BA9">
              <w:rPr>
                <w:rFonts w:cs="Courier New"/>
                <w:szCs w:val="22"/>
              </w:rPr>
              <w:t xml:space="preserve"> yield and</w:t>
            </w:r>
            <w:r w:rsidRPr="008D6BA9">
              <w:rPr>
                <w:rFonts w:cs="Courier New"/>
                <w:szCs w:val="22"/>
              </w:rPr>
              <w:t xml:space="preserve"> growth, vacancy levels (for</w:t>
            </w:r>
            <w:r w:rsidR="00566312" w:rsidRPr="008D6BA9">
              <w:rPr>
                <w:rFonts w:cs="Courier New"/>
                <w:szCs w:val="22"/>
              </w:rPr>
              <w:t xml:space="preserve"> investment properties). </w:t>
            </w:r>
            <w:r w:rsidRPr="008D6BA9">
              <w:rPr>
                <w:rFonts w:cs="Courier New"/>
                <w:szCs w:val="22"/>
              </w:rPr>
              <w:t>Significant</w:t>
            </w:r>
            <w:r w:rsidR="00D847D6" w:rsidRPr="008D6BA9">
              <w:rPr>
                <w:rFonts w:cs="Courier New"/>
                <w:szCs w:val="22"/>
              </w:rPr>
              <w:t xml:space="preserve"> </w:t>
            </w:r>
            <w:r w:rsidRPr="008D6BA9">
              <w:rPr>
                <w:rFonts w:cs="Courier New"/>
                <w:szCs w:val="22"/>
              </w:rPr>
              <w:t>changes in any of the unobservable</w:t>
            </w:r>
            <w:r w:rsidR="00D847D6" w:rsidRPr="008D6BA9">
              <w:rPr>
                <w:rFonts w:cs="Courier New"/>
                <w:szCs w:val="22"/>
              </w:rPr>
              <w:t xml:space="preserve"> </w:t>
            </w:r>
            <w:r w:rsidRPr="008D6BA9">
              <w:rPr>
                <w:rFonts w:cs="Courier New"/>
                <w:szCs w:val="22"/>
              </w:rPr>
              <w:t>inputs would result in a lower or higher fair value</w:t>
            </w:r>
            <w:r w:rsidR="00D847D6" w:rsidRPr="008D6BA9">
              <w:rPr>
                <w:rFonts w:cs="Courier New"/>
                <w:szCs w:val="22"/>
              </w:rPr>
              <w:t xml:space="preserve"> </w:t>
            </w:r>
            <w:r w:rsidRPr="008D6BA9">
              <w:rPr>
                <w:rFonts w:cs="Courier New"/>
                <w:szCs w:val="22"/>
              </w:rPr>
              <w:t>measurement for the investment</w:t>
            </w:r>
            <w:r w:rsidR="00D847D6" w:rsidRPr="008D6BA9">
              <w:rPr>
                <w:rFonts w:cs="Courier New"/>
                <w:szCs w:val="22"/>
              </w:rPr>
              <w:t xml:space="preserve"> </w:t>
            </w:r>
            <w:r w:rsidRPr="008D6BA9">
              <w:rPr>
                <w:rFonts w:cs="Courier New"/>
                <w:szCs w:val="22"/>
              </w:rPr>
              <w:t>properties and financial assets.</w:t>
            </w:r>
          </w:p>
        </w:tc>
      </w:tr>
    </w:tbl>
    <w:p w14:paraId="3B80FD9C" w14:textId="77777777" w:rsidR="00EA1DF2" w:rsidRPr="00EC06E7" w:rsidRDefault="00EA1DF2" w:rsidP="00E13B4D"/>
    <w:p w14:paraId="5E8E0E01" w14:textId="77777777" w:rsidR="00D847D6" w:rsidRPr="00EC06E7" w:rsidRDefault="00D847D6" w:rsidP="00E13B4D"/>
    <w:p w14:paraId="0ABC2F62" w14:textId="77777777" w:rsidR="002E54FF" w:rsidRPr="00EC06E7" w:rsidRDefault="006E1448" w:rsidP="004E5A07">
      <w:pPr>
        <w:pStyle w:val="Heading2"/>
      </w:pPr>
      <w:bookmarkStart w:id="47" w:name="_Toc483390971"/>
      <w:bookmarkStart w:id="48" w:name="_Toc77603781"/>
      <w:r w:rsidRPr="00EC06E7">
        <w:t>Material items of income and expense</w:t>
      </w:r>
      <w:bookmarkEnd w:id="47"/>
      <w:bookmarkEnd w:id="48"/>
    </w:p>
    <w:p w14:paraId="70726F1B" w14:textId="77777777" w:rsidR="002E54FF" w:rsidRPr="00EC06E7" w:rsidRDefault="002E54FF" w:rsidP="007735EC">
      <w:pPr>
        <w:rPr>
          <w:rFonts w:cs="Courier New"/>
          <w:szCs w:val="22"/>
        </w:rPr>
      </w:pPr>
    </w:p>
    <w:p w14:paraId="711D5AF6" w14:textId="044319EC" w:rsidR="003E5507" w:rsidRDefault="008264EF" w:rsidP="009A4D91">
      <w:pPr>
        <w:rPr>
          <w:rFonts w:cs="Courier New"/>
          <w:szCs w:val="22"/>
        </w:rPr>
      </w:pPr>
      <w:r w:rsidRPr="00EC06E7">
        <w:rPr>
          <w:rFonts w:cs="Courier New"/>
          <w:szCs w:val="22"/>
        </w:rPr>
        <w:t xml:space="preserve">All material items have been disclosed in the statement or in the </w:t>
      </w:r>
      <w:r w:rsidR="001743B1" w:rsidRPr="00EC06E7">
        <w:rPr>
          <w:rFonts w:cs="Courier New"/>
          <w:szCs w:val="22"/>
        </w:rPr>
        <w:t>notes to the main financial statements</w:t>
      </w:r>
      <w:r w:rsidRPr="00EC06E7">
        <w:rPr>
          <w:rFonts w:cs="Courier New"/>
          <w:szCs w:val="22"/>
        </w:rPr>
        <w:t>.</w:t>
      </w:r>
      <w:r w:rsidR="00B6434D">
        <w:rPr>
          <w:rFonts w:cs="Courier New"/>
          <w:szCs w:val="22"/>
        </w:rPr>
        <w:t xml:space="preserve"> For the purposes of this note </w:t>
      </w:r>
      <w:r w:rsidR="00B6434D" w:rsidRPr="00B6434D">
        <w:rPr>
          <w:rFonts w:cs="Courier New"/>
          <w:szCs w:val="22"/>
        </w:rPr>
        <w:t xml:space="preserve">the </w:t>
      </w:r>
      <w:r w:rsidR="00BC0AA6">
        <w:rPr>
          <w:rFonts w:cs="Courier New"/>
          <w:szCs w:val="22"/>
        </w:rPr>
        <w:t>c</w:t>
      </w:r>
      <w:r w:rsidR="00B6434D" w:rsidRPr="00B6434D">
        <w:rPr>
          <w:rFonts w:cs="Courier New"/>
          <w:szCs w:val="22"/>
        </w:rPr>
        <w:t>ouncil considers material i</w:t>
      </w:r>
      <w:r w:rsidR="00B6434D">
        <w:rPr>
          <w:rFonts w:cs="Courier New"/>
          <w:szCs w:val="22"/>
        </w:rPr>
        <w:t>tems to be those greater than £0</w:t>
      </w:r>
      <w:r w:rsidR="00B6434D" w:rsidRPr="00B6434D">
        <w:rPr>
          <w:rFonts w:cs="Courier New"/>
          <w:szCs w:val="22"/>
        </w:rPr>
        <w:t>.</w:t>
      </w:r>
      <w:r w:rsidR="00FA018B">
        <w:rPr>
          <w:rFonts w:cs="Courier New"/>
          <w:szCs w:val="22"/>
        </w:rPr>
        <w:t>6</w:t>
      </w:r>
      <w:r w:rsidR="00541297">
        <w:rPr>
          <w:rFonts w:cs="Courier New"/>
          <w:szCs w:val="22"/>
        </w:rPr>
        <w:t>2</w:t>
      </w:r>
      <w:r w:rsidR="00FA018B">
        <w:rPr>
          <w:rFonts w:cs="Courier New"/>
          <w:szCs w:val="22"/>
        </w:rPr>
        <w:t>0</w:t>
      </w:r>
      <w:r w:rsidR="00B6434D" w:rsidRPr="00B6434D">
        <w:rPr>
          <w:rFonts w:cs="Courier New"/>
          <w:szCs w:val="22"/>
        </w:rPr>
        <w:t>m</w:t>
      </w:r>
      <w:r w:rsidR="00D9181C">
        <w:rPr>
          <w:rFonts w:cs="Courier New"/>
          <w:szCs w:val="22"/>
        </w:rPr>
        <w:t xml:space="preserve"> (201</w:t>
      </w:r>
      <w:r w:rsidR="00FA018B">
        <w:rPr>
          <w:rFonts w:cs="Courier New"/>
          <w:szCs w:val="22"/>
        </w:rPr>
        <w:t xml:space="preserve">9/20 </w:t>
      </w:r>
      <w:r w:rsidR="00D9181C">
        <w:rPr>
          <w:rFonts w:cs="Courier New"/>
          <w:szCs w:val="22"/>
        </w:rPr>
        <w:t>£0.</w:t>
      </w:r>
      <w:r w:rsidR="003C2005">
        <w:rPr>
          <w:rFonts w:cs="Courier New"/>
          <w:szCs w:val="22"/>
        </w:rPr>
        <w:t>6</w:t>
      </w:r>
      <w:r w:rsidR="00FA018B">
        <w:rPr>
          <w:rFonts w:cs="Courier New"/>
          <w:szCs w:val="22"/>
        </w:rPr>
        <w:t>75</w:t>
      </w:r>
      <w:r w:rsidR="00D9181C">
        <w:rPr>
          <w:rFonts w:cs="Courier New"/>
          <w:szCs w:val="22"/>
        </w:rPr>
        <w:t>m)</w:t>
      </w:r>
      <w:r w:rsidR="003E5507">
        <w:rPr>
          <w:rFonts w:cs="Courier New"/>
          <w:szCs w:val="22"/>
        </w:rPr>
        <w:t xml:space="preserve">. This equates to </w:t>
      </w:r>
      <w:r w:rsidR="00FA018B">
        <w:rPr>
          <w:rFonts w:cs="Courier New"/>
          <w:szCs w:val="22"/>
        </w:rPr>
        <w:t>1.5</w:t>
      </w:r>
      <w:r w:rsidR="003E5507">
        <w:rPr>
          <w:rFonts w:cs="Courier New"/>
          <w:szCs w:val="22"/>
        </w:rPr>
        <w:t xml:space="preserve">% of the </w:t>
      </w:r>
      <w:r w:rsidR="00BC0AA6">
        <w:rPr>
          <w:rFonts w:cs="Courier New"/>
          <w:szCs w:val="22"/>
        </w:rPr>
        <w:t>c</w:t>
      </w:r>
      <w:r w:rsidR="003E5507">
        <w:rPr>
          <w:rFonts w:cs="Courier New"/>
          <w:szCs w:val="22"/>
        </w:rPr>
        <w:t xml:space="preserve">ouncil’s gross </w:t>
      </w:r>
      <w:r w:rsidR="00541297">
        <w:rPr>
          <w:rFonts w:cs="Courier New"/>
          <w:szCs w:val="22"/>
        </w:rPr>
        <w:t xml:space="preserve">service </w:t>
      </w:r>
      <w:r w:rsidR="003E5507">
        <w:rPr>
          <w:rFonts w:cs="Courier New"/>
          <w:szCs w:val="22"/>
        </w:rPr>
        <w:t xml:space="preserve">expenditure for the preceding financial year and matches the </w:t>
      </w:r>
      <w:r w:rsidR="00FA018B">
        <w:rPr>
          <w:rFonts w:cs="Courier New"/>
          <w:szCs w:val="22"/>
        </w:rPr>
        <w:t xml:space="preserve">level </w:t>
      </w:r>
      <w:r w:rsidR="003E5507">
        <w:rPr>
          <w:rFonts w:cs="Courier New"/>
          <w:szCs w:val="22"/>
        </w:rPr>
        <w:t xml:space="preserve">threshold </w:t>
      </w:r>
      <w:r w:rsidR="00FA018B">
        <w:rPr>
          <w:rFonts w:cs="Courier New"/>
          <w:szCs w:val="22"/>
        </w:rPr>
        <w:t xml:space="preserve">applied </w:t>
      </w:r>
      <w:r w:rsidR="003E5507">
        <w:rPr>
          <w:rFonts w:cs="Courier New"/>
          <w:szCs w:val="22"/>
        </w:rPr>
        <w:t xml:space="preserve">by the </w:t>
      </w:r>
      <w:r w:rsidR="00BC0AA6">
        <w:rPr>
          <w:rFonts w:cs="Courier New"/>
          <w:szCs w:val="22"/>
        </w:rPr>
        <w:t>c</w:t>
      </w:r>
      <w:r w:rsidR="003E5507">
        <w:rPr>
          <w:rFonts w:cs="Courier New"/>
          <w:szCs w:val="22"/>
        </w:rPr>
        <w:t>ouncil’s auditor</w:t>
      </w:r>
      <w:r w:rsidR="00FA018B">
        <w:rPr>
          <w:rFonts w:cs="Courier New"/>
          <w:szCs w:val="22"/>
        </w:rPr>
        <w:t xml:space="preserve"> for the preceding year’s audit</w:t>
      </w:r>
      <w:r w:rsidR="003E5507">
        <w:rPr>
          <w:rFonts w:cs="Courier New"/>
          <w:szCs w:val="22"/>
        </w:rPr>
        <w:t>, a</w:t>
      </w:r>
      <w:r w:rsidR="00541297">
        <w:rPr>
          <w:rFonts w:cs="Courier New"/>
          <w:szCs w:val="22"/>
        </w:rPr>
        <w:t>lthough the actual audit materiality level for 2020</w:t>
      </w:r>
      <w:r w:rsidR="00FA018B">
        <w:rPr>
          <w:rFonts w:cs="Courier New"/>
          <w:szCs w:val="22"/>
        </w:rPr>
        <w:t>/21</w:t>
      </w:r>
      <w:r w:rsidR="00541297">
        <w:rPr>
          <w:rFonts w:cs="Courier New"/>
          <w:szCs w:val="22"/>
        </w:rPr>
        <w:t xml:space="preserve"> remains subject to confirmation.</w:t>
      </w:r>
      <w:bookmarkStart w:id="49" w:name="_Toc483390972"/>
    </w:p>
    <w:p w14:paraId="0E378ED3" w14:textId="77777777" w:rsidR="009A4D91" w:rsidRDefault="009A4D91" w:rsidP="009A4D91">
      <w:pPr>
        <w:rPr>
          <w:rFonts w:cs="Courier New"/>
          <w:szCs w:val="22"/>
        </w:rPr>
      </w:pPr>
    </w:p>
    <w:p w14:paraId="046EE715" w14:textId="77777777" w:rsidR="009A4D91" w:rsidRPr="009A4D91" w:rsidRDefault="009A4D91" w:rsidP="009A4D91">
      <w:pPr>
        <w:rPr>
          <w:rFonts w:cs="Courier New"/>
          <w:szCs w:val="22"/>
        </w:rPr>
      </w:pPr>
    </w:p>
    <w:p w14:paraId="2DA3CD79" w14:textId="77777777" w:rsidR="002E54FF" w:rsidRPr="00EC06E7" w:rsidRDefault="006E1448" w:rsidP="004E5A07">
      <w:pPr>
        <w:pStyle w:val="Heading2"/>
      </w:pPr>
      <w:bookmarkStart w:id="50" w:name="_Toc77603782"/>
      <w:r w:rsidRPr="00EC06E7">
        <w:t>Events after the reporting period</w:t>
      </w:r>
      <w:bookmarkEnd w:id="49"/>
      <w:bookmarkEnd w:id="50"/>
    </w:p>
    <w:p w14:paraId="000E6152" w14:textId="77777777" w:rsidR="008705F1" w:rsidRPr="00EC06E7" w:rsidRDefault="008705F1" w:rsidP="007735EC"/>
    <w:p w14:paraId="42B82968" w14:textId="6B820BFE" w:rsidR="00CA396B" w:rsidRPr="00EC06E7" w:rsidRDefault="005228D7" w:rsidP="00122210">
      <w:pPr>
        <w:rPr>
          <w:rFonts w:cs="Arial"/>
          <w:color w:val="000000"/>
          <w:szCs w:val="22"/>
        </w:rPr>
      </w:pPr>
      <w:r w:rsidRPr="00EC06E7">
        <w:rPr>
          <w:rFonts w:cs="Courier New"/>
          <w:szCs w:val="22"/>
        </w:rPr>
        <w:t xml:space="preserve">The </w:t>
      </w:r>
      <w:r w:rsidR="00A92FF3">
        <w:rPr>
          <w:rFonts w:cs="Courier New"/>
          <w:szCs w:val="22"/>
        </w:rPr>
        <w:t>un</w:t>
      </w:r>
      <w:r>
        <w:rPr>
          <w:rFonts w:cs="Courier New"/>
          <w:szCs w:val="22"/>
        </w:rPr>
        <w:t>audited</w:t>
      </w:r>
      <w:r w:rsidRPr="00EC06E7">
        <w:rPr>
          <w:rFonts w:cs="Courier New"/>
          <w:szCs w:val="22"/>
        </w:rPr>
        <w:t xml:space="preserve"> Statement of Accounts was authorised for issue by the </w:t>
      </w:r>
      <w:r>
        <w:rPr>
          <w:rFonts w:cs="Courier New"/>
          <w:szCs w:val="22"/>
        </w:rPr>
        <w:t>D</w:t>
      </w:r>
      <w:r w:rsidR="00A92FF3">
        <w:rPr>
          <w:rFonts w:cs="Courier New"/>
          <w:szCs w:val="22"/>
        </w:rPr>
        <w:t>ir</w:t>
      </w:r>
      <w:r>
        <w:rPr>
          <w:rFonts w:cs="Courier New"/>
          <w:szCs w:val="22"/>
        </w:rPr>
        <w:t>e</w:t>
      </w:r>
      <w:r w:rsidR="00A92FF3">
        <w:rPr>
          <w:rFonts w:cs="Courier New"/>
          <w:szCs w:val="22"/>
        </w:rPr>
        <w:t>c</w:t>
      </w:r>
      <w:r>
        <w:rPr>
          <w:rFonts w:cs="Courier New"/>
          <w:szCs w:val="22"/>
        </w:rPr>
        <w:t>t</w:t>
      </w:r>
      <w:r w:rsidR="00A92FF3">
        <w:rPr>
          <w:rFonts w:cs="Courier New"/>
          <w:szCs w:val="22"/>
        </w:rPr>
        <w:t>or</w:t>
      </w:r>
      <w:r>
        <w:rPr>
          <w:rFonts w:cs="Courier New"/>
          <w:szCs w:val="22"/>
        </w:rPr>
        <w:t xml:space="preserve"> </w:t>
      </w:r>
      <w:r w:rsidR="00A92FF3">
        <w:rPr>
          <w:rFonts w:cs="Courier New"/>
          <w:szCs w:val="22"/>
        </w:rPr>
        <w:t>of</w:t>
      </w:r>
      <w:r>
        <w:rPr>
          <w:rFonts w:cs="Courier New"/>
          <w:szCs w:val="22"/>
        </w:rPr>
        <w:t xml:space="preserve"> Finance </w:t>
      </w:r>
      <w:r w:rsidRPr="00EC06E7">
        <w:rPr>
          <w:rFonts w:cs="Courier New"/>
          <w:szCs w:val="22"/>
        </w:rPr>
        <w:t xml:space="preserve">on </w:t>
      </w:r>
      <w:r w:rsidR="007F2F2C" w:rsidRPr="007F2F2C">
        <w:t>31 July 2021</w:t>
      </w:r>
      <w:r w:rsidR="006C52CE" w:rsidRPr="00404561">
        <w:rPr>
          <w:rFonts w:cs="Courier New"/>
          <w:szCs w:val="22"/>
        </w:rPr>
        <w:t>.</w:t>
      </w:r>
      <w:r w:rsidR="006C52CE" w:rsidRPr="00EC06E7">
        <w:rPr>
          <w:rFonts w:cs="Courier New"/>
          <w:szCs w:val="22"/>
        </w:rPr>
        <w:t xml:space="preserve"> Subsequent events are not reflected in the financial statements or in the notes.</w:t>
      </w:r>
      <w:r w:rsidR="00122210" w:rsidRPr="00EC06E7">
        <w:rPr>
          <w:rFonts w:cs="Courier New"/>
          <w:szCs w:val="22"/>
        </w:rPr>
        <w:t xml:space="preserve"> </w:t>
      </w:r>
      <w:r w:rsidR="00122210" w:rsidRPr="00EC06E7">
        <w:rPr>
          <w:rFonts w:cs="Arial"/>
          <w:color w:val="000000"/>
          <w:szCs w:val="22"/>
        </w:rPr>
        <w:t xml:space="preserve">Where events taking place before this date provided information about conditions existing at </w:t>
      </w:r>
      <w:r w:rsidR="00255FA7">
        <w:rPr>
          <w:rFonts w:cs="Arial"/>
          <w:color w:val="000000"/>
          <w:szCs w:val="22"/>
        </w:rPr>
        <w:t xml:space="preserve">31 March </w:t>
      </w:r>
      <w:r w:rsidR="003D255A">
        <w:rPr>
          <w:rFonts w:cs="Arial"/>
          <w:color w:val="000000"/>
          <w:szCs w:val="22"/>
        </w:rPr>
        <w:t>20</w:t>
      </w:r>
      <w:r w:rsidR="00D04503">
        <w:rPr>
          <w:rFonts w:cs="Arial"/>
          <w:color w:val="000000"/>
          <w:szCs w:val="22"/>
        </w:rPr>
        <w:t>2</w:t>
      </w:r>
      <w:r w:rsidR="00A92FF3">
        <w:rPr>
          <w:rFonts w:cs="Arial"/>
          <w:color w:val="000000"/>
          <w:szCs w:val="22"/>
        </w:rPr>
        <w:t>1</w:t>
      </w:r>
      <w:r w:rsidR="00122210" w:rsidRPr="00EC06E7">
        <w:rPr>
          <w:rFonts w:cs="Arial"/>
          <w:color w:val="000000"/>
          <w:szCs w:val="22"/>
        </w:rPr>
        <w:t>, the figures in the financial statements and notes have been adjusted in all material respects to reflect the impact of this information.</w:t>
      </w:r>
    </w:p>
    <w:p w14:paraId="2E19517A" w14:textId="2D0D202F" w:rsidR="00122210" w:rsidRPr="00EC06E7" w:rsidRDefault="00122210" w:rsidP="00122210">
      <w:pPr>
        <w:rPr>
          <w:rFonts w:cs="Courier New"/>
          <w:szCs w:val="22"/>
        </w:rPr>
      </w:pPr>
    </w:p>
    <w:p w14:paraId="1C577C81" w14:textId="657AA4ED" w:rsidR="00CA396B" w:rsidRDefault="00CA396B" w:rsidP="001422EA">
      <w:pPr>
        <w:rPr>
          <w:rFonts w:cs="Arial"/>
          <w:color w:val="000000"/>
          <w:szCs w:val="22"/>
        </w:rPr>
      </w:pPr>
      <w:r w:rsidRPr="00734B47">
        <w:rPr>
          <w:rFonts w:cs="Arial"/>
          <w:color w:val="000000"/>
          <w:szCs w:val="22"/>
        </w:rPr>
        <w:t>T</w:t>
      </w:r>
      <w:r w:rsidR="00122210" w:rsidRPr="00734B47">
        <w:rPr>
          <w:rFonts w:cs="Arial"/>
          <w:color w:val="000000"/>
          <w:szCs w:val="22"/>
        </w:rPr>
        <w:t>here are no non-adjusting events after the Balance Sheet date.</w:t>
      </w:r>
    </w:p>
    <w:p w14:paraId="635029C4" w14:textId="77777777" w:rsidR="001422EA" w:rsidRDefault="001422EA" w:rsidP="001422EA">
      <w:pPr>
        <w:rPr>
          <w:rFonts w:cs="Courier New"/>
          <w:szCs w:val="22"/>
        </w:rPr>
      </w:pPr>
    </w:p>
    <w:p w14:paraId="5D98334A" w14:textId="77777777" w:rsidR="009A4D91" w:rsidRDefault="009A4D91" w:rsidP="001422EA">
      <w:pPr>
        <w:rPr>
          <w:rFonts w:cs="Courier New"/>
          <w:szCs w:val="22"/>
        </w:rPr>
      </w:pPr>
    </w:p>
    <w:p w14:paraId="32F48643" w14:textId="7E8CBD3E" w:rsidR="00BE0338" w:rsidRDefault="00BE0338">
      <w:pPr>
        <w:jc w:val="left"/>
        <w:rPr>
          <w:rFonts w:cs="Courier New"/>
          <w:szCs w:val="22"/>
        </w:rPr>
      </w:pPr>
      <w:r>
        <w:rPr>
          <w:rFonts w:cs="Courier New"/>
          <w:szCs w:val="22"/>
        </w:rPr>
        <w:br w:type="page"/>
      </w:r>
    </w:p>
    <w:p w14:paraId="7844E9AF" w14:textId="77777777" w:rsidR="009A4D91" w:rsidRPr="00EC06E7" w:rsidRDefault="009A4D91" w:rsidP="001422EA">
      <w:pPr>
        <w:rPr>
          <w:rFonts w:cs="Courier New"/>
          <w:szCs w:val="22"/>
        </w:rPr>
      </w:pPr>
    </w:p>
    <w:p w14:paraId="69CF7840" w14:textId="77777777" w:rsidR="002233F1" w:rsidRPr="001422EA" w:rsidRDefault="002233F1" w:rsidP="004E5A07">
      <w:pPr>
        <w:pStyle w:val="Heading2"/>
      </w:pPr>
      <w:bookmarkStart w:id="51" w:name="_Toc483390973"/>
      <w:bookmarkStart w:id="52" w:name="_Ref483392214"/>
      <w:bookmarkStart w:id="53" w:name="_Ref483392374"/>
      <w:bookmarkStart w:id="54" w:name="_Ref483392411"/>
      <w:bookmarkStart w:id="55" w:name="_Ref483403710"/>
      <w:bookmarkStart w:id="56" w:name="_Toc77603783"/>
      <w:r w:rsidRPr="001422EA">
        <w:t xml:space="preserve">Note to the </w:t>
      </w:r>
      <w:r w:rsidR="00C314EF" w:rsidRPr="001422EA">
        <w:t>E</w:t>
      </w:r>
      <w:r w:rsidRPr="001422EA">
        <w:t xml:space="preserve">xpenditure and </w:t>
      </w:r>
      <w:r w:rsidR="00C314EF" w:rsidRPr="001422EA">
        <w:t>F</w:t>
      </w:r>
      <w:r w:rsidRPr="001422EA">
        <w:t xml:space="preserve">unding </w:t>
      </w:r>
      <w:r w:rsidR="00C314EF" w:rsidRPr="001422EA">
        <w:t>A</w:t>
      </w:r>
      <w:r w:rsidRPr="001422EA">
        <w:t>nalysis</w:t>
      </w:r>
      <w:bookmarkEnd w:id="51"/>
      <w:bookmarkEnd w:id="52"/>
      <w:bookmarkEnd w:id="53"/>
      <w:bookmarkEnd w:id="54"/>
      <w:bookmarkEnd w:id="55"/>
      <w:bookmarkEnd w:id="56"/>
    </w:p>
    <w:p w14:paraId="57452D21" w14:textId="77777777" w:rsidR="001422EA" w:rsidRDefault="001422EA" w:rsidP="001C38B7">
      <w:pPr>
        <w:rPr>
          <w:rFonts w:cs="Arial"/>
          <w:color w:val="000000"/>
          <w:szCs w:val="22"/>
        </w:rPr>
      </w:pPr>
    </w:p>
    <w:p w14:paraId="13E12AD3" w14:textId="20CD4FD9" w:rsidR="002233F1" w:rsidRDefault="001C38B7" w:rsidP="002233F1">
      <w:pPr>
        <w:rPr>
          <w:rFonts w:cs="Arial"/>
          <w:color w:val="000000"/>
          <w:szCs w:val="22"/>
        </w:rPr>
      </w:pPr>
      <w:r w:rsidRPr="001C38B7">
        <w:rPr>
          <w:rFonts w:cs="Arial"/>
          <w:color w:val="000000"/>
          <w:szCs w:val="22"/>
        </w:rPr>
        <w:t>The Expenditure and Funding Analysis</w:t>
      </w:r>
      <w:r w:rsidR="00F604CA">
        <w:rPr>
          <w:rFonts w:cs="Arial"/>
          <w:color w:val="000000"/>
          <w:szCs w:val="22"/>
        </w:rPr>
        <w:t>, which forms</w:t>
      </w:r>
      <w:r w:rsidRPr="001C38B7">
        <w:rPr>
          <w:rFonts w:cs="Arial"/>
          <w:color w:val="000000"/>
          <w:szCs w:val="22"/>
        </w:rPr>
        <w:t xml:space="preserve"> </w:t>
      </w:r>
      <w:r>
        <w:rPr>
          <w:rFonts w:cs="Arial"/>
          <w:color w:val="000000"/>
          <w:szCs w:val="22"/>
        </w:rPr>
        <w:t>Note</w:t>
      </w:r>
      <w:r w:rsidR="00F604CA">
        <w:rPr>
          <w:rFonts w:cs="Arial"/>
          <w:color w:val="000000"/>
          <w:szCs w:val="22"/>
        </w:rPr>
        <w:t xml:space="preserve"> 1 to the Accounts,</w:t>
      </w:r>
      <w:r>
        <w:rPr>
          <w:rFonts w:cs="Arial"/>
          <w:color w:val="000000"/>
          <w:szCs w:val="22"/>
        </w:rPr>
        <w:t xml:space="preserve"> </w:t>
      </w:r>
      <w:r w:rsidRPr="001C38B7">
        <w:rPr>
          <w:rFonts w:cs="Arial"/>
          <w:color w:val="000000"/>
          <w:szCs w:val="22"/>
        </w:rPr>
        <w:t>can be found on page</w:t>
      </w:r>
      <w:r w:rsidR="0082679D">
        <w:rPr>
          <w:rFonts w:cs="Arial"/>
          <w:color w:val="000000"/>
          <w:szCs w:val="22"/>
        </w:rPr>
        <w:t xml:space="preserve"> </w:t>
      </w:r>
      <w:r w:rsidR="00FC30F8">
        <w:rPr>
          <w:rFonts w:cs="Arial"/>
          <w:color w:val="000000"/>
          <w:szCs w:val="22"/>
        </w:rPr>
        <w:t>4</w:t>
      </w:r>
      <w:r w:rsidR="00F52125">
        <w:rPr>
          <w:rFonts w:cs="Arial"/>
          <w:color w:val="000000"/>
          <w:szCs w:val="22"/>
        </w:rPr>
        <w:t>6</w:t>
      </w:r>
      <w:r>
        <w:rPr>
          <w:rFonts w:cs="Arial"/>
          <w:color w:val="000000"/>
          <w:szCs w:val="22"/>
        </w:rPr>
        <w:t>.</w:t>
      </w:r>
    </w:p>
    <w:p w14:paraId="5B2E252A" w14:textId="1454A4DC" w:rsidR="00AA07B4" w:rsidRDefault="00AA07B4" w:rsidP="002233F1">
      <w:pPr>
        <w:rPr>
          <w:rFonts w:cs="Arial"/>
          <w:color w:val="000000"/>
          <w:szCs w:val="22"/>
        </w:rPr>
      </w:pPr>
    </w:p>
    <w:p w14:paraId="0E455548" w14:textId="04648AE3" w:rsidR="00AA07B4" w:rsidRDefault="00872117" w:rsidP="002233F1">
      <w:pPr>
        <w:rPr>
          <w:rFonts w:cs="Arial"/>
          <w:color w:val="000000"/>
          <w:szCs w:val="22"/>
        </w:rPr>
      </w:pPr>
      <w:r>
        <w:rPr>
          <w:rFonts w:cs="Arial"/>
          <w:color w:val="000000"/>
          <w:szCs w:val="22"/>
        </w:rPr>
        <w:fldChar w:fldCharType="begin"/>
      </w:r>
      <w:r>
        <w:rPr>
          <w:rFonts w:cs="Arial"/>
          <w:color w:val="000000"/>
          <w:szCs w:val="22"/>
        </w:rPr>
        <w:instrText xml:space="preserve"> LINK Excel.Sheet.8 "\\\\alpha\\accounts$\\CLOSURE\\Closure 20-21\\04 SoA Working Papers\\00B1 CIES, EFA, Notes 8 &amp; 9\\CIES, EFA, Notes 8 &amp; 9 2020-21.xls!Note 8 Embedded Tables!R2C1:R18C7" "" \a \p </w:instrText>
      </w:r>
      <w:r>
        <w:rPr>
          <w:rFonts w:cs="Arial"/>
          <w:color w:val="000000"/>
          <w:szCs w:val="22"/>
        </w:rPr>
        <w:fldChar w:fldCharType="separate"/>
      </w:r>
      <w:r w:rsidR="001C71EF">
        <w:rPr>
          <w:rFonts w:cs="Arial"/>
          <w:color w:val="000000"/>
          <w:szCs w:val="22"/>
        </w:rPr>
        <w:object w:dxaOrig="10239" w:dyaOrig="6477" w14:anchorId="64DD2850">
          <v:shape id="_x0000_i1031" type="#_x0000_t75" style="width:489.75pt;height:331.45pt" o:ole="">
            <v:imagedata r:id="rId58" o:title=""/>
            <o:lock v:ext="edit" aspectratio="f"/>
          </v:shape>
        </w:object>
      </w:r>
      <w:r>
        <w:rPr>
          <w:rFonts w:cs="Arial"/>
          <w:color w:val="000000"/>
          <w:szCs w:val="22"/>
        </w:rPr>
        <w:fldChar w:fldCharType="end"/>
      </w:r>
    </w:p>
    <w:p w14:paraId="3D6C6A09" w14:textId="77777777" w:rsidR="00AA07B4" w:rsidRDefault="00AA07B4" w:rsidP="002233F1">
      <w:pPr>
        <w:rPr>
          <w:rFonts w:cs="Arial"/>
          <w:color w:val="000000"/>
          <w:szCs w:val="22"/>
        </w:rPr>
      </w:pPr>
    </w:p>
    <w:p w14:paraId="67B7F94B" w14:textId="77777777" w:rsidR="00B6235E" w:rsidRDefault="00B6235E" w:rsidP="002233F1">
      <w:pPr>
        <w:rPr>
          <w:rFonts w:cs="Arial"/>
          <w:color w:val="000000"/>
          <w:szCs w:val="22"/>
        </w:rPr>
      </w:pPr>
    </w:p>
    <w:p w14:paraId="17E3A5DD" w14:textId="77777777" w:rsidR="001422EA" w:rsidRDefault="001422EA">
      <w:pPr>
        <w:jc w:val="left"/>
      </w:pPr>
      <w:r>
        <w:br w:type="page"/>
      </w:r>
    </w:p>
    <w:p w14:paraId="135ECD2E" w14:textId="76DDAF04" w:rsidR="00B6235E" w:rsidRDefault="00B6235E" w:rsidP="007735EC"/>
    <w:p w14:paraId="31902277" w14:textId="3948A009" w:rsidR="00AA07B4" w:rsidRDefault="00AA07B4" w:rsidP="007735EC">
      <w:r>
        <w:fldChar w:fldCharType="begin"/>
      </w:r>
      <w:r>
        <w:instrText xml:space="preserve"> LINK Excel.Sheet.8 "\\\\alpha\\accounts$\\CLOSURE\\Closure 20-21\\04 SoA Working Papers\\00B1 CIES, EFA, Notes 8 &amp; 9\\CIES, EFA, Notes 8 &amp; 9 2020-21.xls!Note 8 Embedded Tables!R21C1:R37C7" "" \a \p </w:instrText>
      </w:r>
      <w:r>
        <w:fldChar w:fldCharType="separate"/>
      </w:r>
      <w:r w:rsidR="001C71EF">
        <w:object w:dxaOrig="10239" w:dyaOrig="6492" w14:anchorId="73DF466A">
          <v:shape id="_x0000_i1032" type="#_x0000_t75" style="width:489.75pt;height:330.8pt" o:ole="">
            <v:imagedata r:id="rId59" o:title=""/>
            <o:lock v:ext="edit" aspectratio="f"/>
          </v:shape>
        </w:object>
      </w:r>
      <w:r>
        <w:fldChar w:fldCharType="end"/>
      </w:r>
    </w:p>
    <w:p w14:paraId="34F24386" w14:textId="77777777" w:rsidR="00AA07B4" w:rsidRDefault="00AA07B4" w:rsidP="007735EC"/>
    <w:p w14:paraId="1630AB67" w14:textId="77777777" w:rsidR="00360AA7" w:rsidRPr="00EC06E7" w:rsidRDefault="00360AA7" w:rsidP="003B0FFF">
      <w:pPr>
        <w:rPr>
          <w:b/>
        </w:rPr>
      </w:pPr>
      <w:bookmarkStart w:id="57" w:name="_Hlk61004261"/>
      <w:r w:rsidRPr="00EC06E7">
        <w:rPr>
          <w:b/>
        </w:rPr>
        <w:t xml:space="preserve">Note </w:t>
      </w:r>
      <w:proofErr w:type="gramStart"/>
      <w:r w:rsidRPr="00EC06E7">
        <w:rPr>
          <w:b/>
        </w:rPr>
        <w:t>A</w:t>
      </w:r>
      <w:proofErr w:type="gramEnd"/>
      <w:r w:rsidRPr="00EC06E7">
        <w:rPr>
          <w:b/>
        </w:rPr>
        <w:t xml:space="preserve"> Adjustments for Capital Purposes</w:t>
      </w:r>
    </w:p>
    <w:p w14:paraId="642C3CA6" w14:textId="77777777" w:rsidR="003B0FFF" w:rsidRPr="00EC06E7" w:rsidRDefault="003B0FFF" w:rsidP="003B0FFF">
      <w:r w:rsidRPr="00EC06E7">
        <w:t>This column adds in depreciation and impairment and reval</w:t>
      </w:r>
      <w:r w:rsidR="00175E67" w:rsidRPr="00EC06E7">
        <w:t>uation gai</w:t>
      </w:r>
      <w:r w:rsidRPr="00EC06E7">
        <w:t>ns and lo</w:t>
      </w:r>
      <w:r w:rsidR="00CA396B" w:rsidRPr="00EC06E7">
        <w:t>s</w:t>
      </w:r>
      <w:r w:rsidRPr="00EC06E7">
        <w:t xml:space="preserve">ses in the service line, and for: </w:t>
      </w:r>
    </w:p>
    <w:p w14:paraId="101F88EB" w14:textId="77777777" w:rsidR="00360AA7" w:rsidRPr="00EC06E7" w:rsidRDefault="00360AA7" w:rsidP="00E948BF">
      <w:pPr>
        <w:pStyle w:val="ListParagraph"/>
        <w:numPr>
          <w:ilvl w:val="0"/>
          <w:numId w:val="23"/>
        </w:numPr>
      </w:pPr>
      <w:r w:rsidRPr="00EC06E7">
        <w:t>Other operating expenditure – adjusts for capital disposals with a transfer of income on disposal of assets and the amounts written off for those assets</w:t>
      </w:r>
    </w:p>
    <w:p w14:paraId="24D46655" w14:textId="77777777" w:rsidR="00360AA7" w:rsidRPr="00EC06E7" w:rsidRDefault="00360AA7" w:rsidP="00E948BF">
      <w:pPr>
        <w:pStyle w:val="ListParagraph"/>
        <w:numPr>
          <w:ilvl w:val="0"/>
          <w:numId w:val="23"/>
        </w:numPr>
      </w:pPr>
      <w:r w:rsidRPr="00EC06E7">
        <w:t>Finance and investment income and expenditure – the statutory charges for capital financing, i.e. Minimum Revenue Provision (MRP) and other revenue contributions, are deducted from other income and expenditure as these are not chargeable under generally accepted accounting practices (GAAP)</w:t>
      </w:r>
      <w:r w:rsidR="003B0FFF" w:rsidRPr="00EC06E7">
        <w:t>.</w:t>
      </w:r>
    </w:p>
    <w:p w14:paraId="03667EE2" w14:textId="77777777" w:rsidR="00360AA7" w:rsidRPr="00EC06E7" w:rsidRDefault="00360AA7" w:rsidP="00E948BF">
      <w:pPr>
        <w:pStyle w:val="ListParagraph"/>
        <w:numPr>
          <w:ilvl w:val="0"/>
          <w:numId w:val="23"/>
        </w:numPr>
      </w:pPr>
      <w:r w:rsidRPr="00EC06E7">
        <w:t xml:space="preserve">Taxation and non-specific grant income and expenditure – capital grants are adjusted for income not chargeable under GAAP. Revenue grants are adjusted from </w:t>
      </w:r>
      <w:proofErr w:type="gramStart"/>
      <w:r w:rsidRPr="00EC06E7">
        <w:t>those receivable</w:t>
      </w:r>
      <w:proofErr w:type="gramEnd"/>
      <w:r w:rsidRPr="00EC06E7">
        <w:t xml:space="preserve"> during the year to those receivable without conditions or for which conditions were satisfied throughout the year. The Taxation and </w:t>
      </w:r>
      <w:proofErr w:type="gramStart"/>
      <w:r w:rsidRPr="00EC06E7">
        <w:t>Non Specific</w:t>
      </w:r>
      <w:proofErr w:type="gramEnd"/>
      <w:r w:rsidRPr="00EC06E7">
        <w:t xml:space="preserve"> Grant Income and Expenditure line is credited with capital grants receivable in the year without conditions or for which conditions were satisfied within the year.</w:t>
      </w:r>
    </w:p>
    <w:p w14:paraId="0E1E59D4" w14:textId="77777777" w:rsidR="003B0FFF" w:rsidRPr="00EC06E7" w:rsidRDefault="003B0FFF" w:rsidP="003B0FFF"/>
    <w:p w14:paraId="3D68D68F" w14:textId="77777777" w:rsidR="00360AA7" w:rsidRPr="00EC06E7" w:rsidRDefault="003B0FFF" w:rsidP="003B0FFF">
      <w:pPr>
        <w:rPr>
          <w:b/>
        </w:rPr>
      </w:pPr>
      <w:r w:rsidRPr="00EC06E7">
        <w:rPr>
          <w:b/>
        </w:rPr>
        <w:t>Note B</w:t>
      </w:r>
      <w:r w:rsidR="00360AA7" w:rsidRPr="00EC06E7">
        <w:rPr>
          <w:b/>
        </w:rPr>
        <w:t xml:space="preserve"> Net Change for Pension Adjustments</w:t>
      </w:r>
    </w:p>
    <w:p w14:paraId="79FBFCCB" w14:textId="77777777" w:rsidR="00360AA7" w:rsidRPr="00EC06E7" w:rsidRDefault="003B0FFF" w:rsidP="003B0FFF">
      <w:r w:rsidRPr="00EC06E7">
        <w:t xml:space="preserve">The net change for the </w:t>
      </w:r>
      <w:r w:rsidR="00360AA7" w:rsidRPr="00EC06E7">
        <w:t xml:space="preserve">removal of pension contributions and the addition of the IAS 19 Employee Benefits pension related expenditure and </w:t>
      </w:r>
      <w:r w:rsidRPr="00EC06E7">
        <w:t>income are reflected as follows:</w:t>
      </w:r>
    </w:p>
    <w:p w14:paraId="531DF793" w14:textId="77777777" w:rsidR="00360AA7" w:rsidRPr="00EC06E7" w:rsidRDefault="00360AA7" w:rsidP="00E948BF">
      <w:pPr>
        <w:pStyle w:val="ListParagraph"/>
        <w:numPr>
          <w:ilvl w:val="0"/>
          <w:numId w:val="24"/>
        </w:numPr>
      </w:pPr>
      <w:r w:rsidRPr="00EC06E7">
        <w:t xml:space="preserve">For services </w:t>
      </w:r>
      <w:r w:rsidR="003B0FFF" w:rsidRPr="00EC06E7">
        <w:t>this represents</w:t>
      </w:r>
      <w:r w:rsidRPr="00EC06E7">
        <w:t xml:space="preserve"> the removal of the employer pension contributions made by the </w:t>
      </w:r>
      <w:r w:rsidR="003B0FFF" w:rsidRPr="00EC06E7">
        <w:t>authority</w:t>
      </w:r>
      <w:r w:rsidRPr="00EC06E7">
        <w:t xml:space="preserve"> as determined by statute and their replacement with current service costs and past service costs.</w:t>
      </w:r>
    </w:p>
    <w:p w14:paraId="3FAF97BF" w14:textId="77777777" w:rsidR="00360AA7" w:rsidRPr="00EC06E7" w:rsidRDefault="00360AA7" w:rsidP="00E948BF">
      <w:pPr>
        <w:pStyle w:val="ListParagraph"/>
        <w:numPr>
          <w:ilvl w:val="0"/>
          <w:numId w:val="24"/>
        </w:numPr>
      </w:pPr>
      <w:r w:rsidRPr="00EC06E7">
        <w:t>For financing and investment income and expenditure – the net interest on the defined benefit liability is charged to the Comprehensive Income and Expenditure Statement (</w:t>
      </w:r>
      <w:r w:rsidR="00174B83" w:rsidRPr="00EC06E7">
        <w:t>CIES</w:t>
      </w:r>
      <w:r w:rsidRPr="00EC06E7">
        <w:t>)</w:t>
      </w:r>
      <w:r w:rsidR="003B0FFF" w:rsidRPr="00EC06E7">
        <w:t>.</w:t>
      </w:r>
    </w:p>
    <w:p w14:paraId="4E5D4FF4" w14:textId="77777777" w:rsidR="003B0FFF" w:rsidRPr="00EC06E7" w:rsidRDefault="003B0FFF" w:rsidP="003B0FFF"/>
    <w:p w14:paraId="6CD12E1C" w14:textId="77777777" w:rsidR="00664D02" w:rsidRDefault="00664D02">
      <w:pPr>
        <w:jc w:val="left"/>
        <w:rPr>
          <w:b/>
        </w:rPr>
      </w:pPr>
      <w:r>
        <w:rPr>
          <w:b/>
        </w:rPr>
        <w:br w:type="page"/>
      </w:r>
    </w:p>
    <w:p w14:paraId="2FE2ECA5" w14:textId="77777777" w:rsidR="00360AA7" w:rsidRPr="00EC06E7" w:rsidRDefault="003B0FFF" w:rsidP="003B0FFF">
      <w:pPr>
        <w:rPr>
          <w:b/>
        </w:rPr>
      </w:pPr>
      <w:r w:rsidRPr="00EC06E7">
        <w:rPr>
          <w:b/>
        </w:rPr>
        <w:t>Note C</w:t>
      </w:r>
      <w:r w:rsidR="00360AA7" w:rsidRPr="00EC06E7">
        <w:rPr>
          <w:b/>
        </w:rPr>
        <w:t xml:space="preserve"> Other </w:t>
      </w:r>
      <w:r w:rsidR="00754327">
        <w:rPr>
          <w:b/>
        </w:rPr>
        <w:t>Statutory Adjustments</w:t>
      </w:r>
    </w:p>
    <w:p w14:paraId="2F9D552D" w14:textId="77777777" w:rsidR="00360AA7" w:rsidRPr="00EC06E7" w:rsidRDefault="00360AA7" w:rsidP="003B0FFF">
      <w:r w:rsidRPr="00EC06E7">
        <w:t xml:space="preserve">Other differences between amounts debited/credited to the </w:t>
      </w:r>
      <w:r w:rsidR="00174B83" w:rsidRPr="00EC06E7">
        <w:t>CIES</w:t>
      </w:r>
      <w:r w:rsidRPr="00EC06E7">
        <w:t xml:space="preserve"> and amounts payable/receivable to be recognised under statute are:</w:t>
      </w:r>
    </w:p>
    <w:p w14:paraId="41D97404" w14:textId="77777777" w:rsidR="00360AA7" w:rsidRPr="00EC06E7" w:rsidRDefault="00360AA7" w:rsidP="00E948BF">
      <w:pPr>
        <w:pStyle w:val="ListParagraph"/>
        <w:numPr>
          <w:ilvl w:val="0"/>
          <w:numId w:val="25"/>
        </w:numPr>
      </w:pPr>
      <w:r w:rsidRPr="00EC06E7">
        <w:t>For financing and investment income and expenditure - the other differences column recognises adjustments to the General Fund for the timing differences for premiums and discounts.</w:t>
      </w:r>
    </w:p>
    <w:p w14:paraId="4E44A108" w14:textId="77777777" w:rsidR="002D6984" w:rsidRPr="00EC06E7" w:rsidRDefault="00360AA7" w:rsidP="00E948BF">
      <w:pPr>
        <w:pStyle w:val="ListParagraph"/>
        <w:numPr>
          <w:ilvl w:val="0"/>
          <w:numId w:val="25"/>
        </w:numPr>
      </w:pPr>
      <w:r w:rsidRPr="00EC06E7">
        <w:t>For taxation and non-specific grant income - the charge represents the difference between what is chargeable under statute for Council Tax and Business Rates that was forecast to be received at the start of the year, and the income recognised under GAAP. This is a timing difference as any difference is brought forward in the surpluses or deficits on the Collection Fund.</w:t>
      </w:r>
    </w:p>
    <w:p w14:paraId="39E2991B" w14:textId="77777777" w:rsidR="00735A6E" w:rsidRDefault="00735A6E" w:rsidP="00735A6E"/>
    <w:p w14:paraId="45187B8C" w14:textId="77777777" w:rsidR="00754327" w:rsidRPr="00754327" w:rsidRDefault="00754327" w:rsidP="00754327">
      <w:pPr>
        <w:rPr>
          <w:b/>
        </w:rPr>
      </w:pPr>
      <w:r w:rsidRPr="00754327">
        <w:rPr>
          <w:b/>
        </w:rPr>
        <w:t>Note D Other Non-</w:t>
      </w:r>
      <w:proofErr w:type="gramStart"/>
      <w:r w:rsidRPr="00754327">
        <w:rPr>
          <w:b/>
        </w:rPr>
        <w:t>statutory</w:t>
      </w:r>
      <w:proofErr w:type="gramEnd"/>
      <w:r w:rsidRPr="00754327">
        <w:rPr>
          <w:b/>
        </w:rPr>
        <w:t xml:space="preserve"> Adjustments</w:t>
      </w:r>
    </w:p>
    <w:p w14:paraId="5748826C" w14:textId="77777777" w:rsidR="00754327" w:rsidRDefault="00754327" w:rsidP="00754327">
      <w:r>
        <w:t>Other non-statutory adjustments represent amounts debited/credited to service segments which need to be adjusted against the ‘Other income and expenditure from the Expenditure and Funding Analysis’ line to comply with the presentational requirements in the Comprehensive Income and Expenditure Statement. These are:</w:t>
      </w:r>
    </w:p>
    <w:p w14:paraId="13C05DE7" w14:textId="77777777" w:rsidR="00754327" w:rsidRDefault="00754327" w:rsidP="00E948BF">
      <w:pPr>
        <w:pStyle w:val="ListParagraph"/>
        <w:numPr>
          <w:ilvl w:val="0"/>
          <w:numId w:val="32"/>
        </w:numPr>
      </w:pPr>
      <w:r>
        <w:t>For financing and investment income and expenditure, adjustments in respect of the income and expenditure on investment properties and in respect of charges for the provision for non-collection of outstanding debts.</w:t>
      </w:r>
    </w:p>
    <w:p w14:paraId="55DF1346" w14:textId="77777777" w:rsidR="00291D15" w:rsidRDefault="00291D15" w:rsidP="00735A6E"/>
    <w:bookmarkEnd w:id="57"/>
    <w:p w14:paraId="69F352A6" w14:textId="77777777" w:rsidR="00754327" w:rsidRPr="00EC06E7" w:rsidRDefault="00754327" w:rsidP="00735A6E"/>
    <w:p w14:paraId="36B68B90" w14:textId="77777777" w:rsidR="00C42DFE" w:rsidRPr="001422EA" w:rsidRDefault="00C42DFE" w:rsidP="004E5A07">
      <w:pPr>
        <w:pStyle w:val="Heading2"/>
      </w:pPr>
      <w:bookmarkStart w:id="58" w:name="_Toc483390974"/>
      <w:bookmarkStart w:id="59" w:name="_Ref483403726"/>
      <w:bookmarkStart w:id="60" w:name="_Toc77603784"/>
      <w:r w:rsidRPr="001422EA">
        <w:t xml:space="preserve">Expenditure and </w:t>
      </w:r>
      <w:r w:rsidR="00CD0CB6" w:rsidRPr="001422EA">
        <w:t xml:space="preserve">Income </w:t>
      </w:r>
      <w:r w:rsidRPr="001422EA">
        <w:t>A</w:t>
      </w:r>
      <w:r w:rsidR="00CD0CB6" w:rsidRPr="001422EA">
        <w:t xml:space="preserve">nalysed </w:t>
      </w:r>
      <w:proofErr w:type="gramStart"/>
      <w:r w:rsidR="00CD0CB6" w:rsidRPr="001422EA">
        <w:t>By</w:t>
      </w:r>
      <w:proofErr w:type="gramEnd"/>
      <w:r w:rsidR="00CD0CB6" w:rsidRPr="001422EA">
        <w:t xml:space="preserve"> Nature</w:t>
      </w:r>
      <w:bookmarkEnd w:id="58"/>
      <w:bookmarkEnd w:id="59"/>
      <w:bookmarkEnd w:id="60"/>
    </w:p>
    <w:p w14:paraId="1414E450" w14:textId="77777777" w:rsidR="00C42DFE" w:rsidRPr="00EC06E7" w:rsidRDefault="00C42DFE" w:rsidP="00C42DFE">
      <w:pPr>
        <w:rPr>
          <w:rFonts w:cs="Courier New"/>
          <w:b/>
          <w:sz w:val="20"/>
          <w:szCs w:val="20"/>
        </w:rPr>
      </w:pPr>
    </w:p>
    <w:p w14:paraId="0087921B" w14:textId="77777777" w:rsidR="00C42DFE" w:rsidRPr="00EC06E7" w:rsidRDefault="00C42DFE" w:rsidP="00C42DFE">
      <w:r w:rsidRPr="00EC06E7">
        <w:t xml:space="preserve">The authority’s expenditure and income </w:t>
      </w:r>
      <w:proofErr w:type="gramStart"/>
      <w:r w:rsidRPr="00EC06E7">
        <w:t>is</w:t>
      </w:r>
      <w:proofErr w:type="gramEnd"/>
      <w:r w:rsidRPr="00EC06E7">
        <w:t xml:space="preserve"> analysed as follows:</w:t>
      </w:r>
    </w:p>
    <w:p w14:paraId="6BFCBC65" w14:textId="49BDABD8" w:rsidR="00C42DFE" w:rsidRDefault="00C42DFE" w:rsidP="00C42DFE"/>
    <w:p w14:paraId="0C7651C4" w14:textId="031BDD2E" w:rsidR="006B0920" w:rsidRDefault="0070487B" w:rsidP="00C42DFE">
      <w:r>
        <w:fldChar w:fldCharType="begin"/>
      </w:r>
      <w:r>
        <w:instrText xml:space="preserve"> LINK Excel.Sheet.8 "\\\\alpha\\accounts$\\CLOSURE\\Closure 20-21\\04 SoA Working Papers\\00B1 CIES, EFA, Notes 8 &amp; 9\\CIES, EFA, Notes 8 &amp; 9 2020-21.xls!Note 9 Embedded Table!R2C1:R20C3" "" \a \p </w:instrText>
      </w:r>
      <w:r>
        <w:fldChar w:fldCharType="separate"/>
      </w:r>
      <w:r w:rsidR="001C71EF">
        <w:object w:dxaOrig="9769" w:dyaOrig="6320" w14:anchorId="68CF5DB0">
          <v:shape id="_x0000_i1033" type="#_x0000_t75" style="width:468pt;height:324pt" o:ole="">
            <v:imagedata r:id="rId60" o:title=""/>
            <o:lock v:ext="edit" aspectratio="f"/>
          </v:shape>
        </w:object>
      </w:r>
      <w:r>
        <w:fldChar w:fldCharType="end"/>
      </w:r>
    </w:p>
    <w:p w14:paraId="4BCAD0FE" w14:textId="77777777" w:rsidR="006B0920" w:rsidRDefault="006B0920" w:rsidP="00C42DFE"/>
    <w:p w14:paraId="069C01FF" w14:textId="77777777" w:rsidR="00556B5C" w:rsidRDefault="00556B5C" w:rsidP="00C42DFE"/>
    <w:p w14:paraId="2A0534E8" w14:textId="77777777" w:rsidR="00A525C5" w:rsidRDefault="00A525C5">
      <w:pPr>
        <w:jc w:val="left"/>
        <w:rPr>
          <w:rFonts w:cs="Arial"/>
          <w:b/>
          <w:color w:val="0070C0"/>
          <w:szCs w:val="22"/>
        </w:rPr>
      </w:pPr>
      <w:bookmarkStart w:id="61" w:name="_Ref483389149"/>
      <w:bookmarkStart w:id="62" w:name="_Ref483389160"/>
      <w:bookmarkStart w:id="63" w:name="_Ref483389172"/>
      <w:bookmarkStart w:id="64" w:name="_Ref483389192"/>
      <w:bookmarkStart w:id="65" w:name="_Ref483389195"/>
      <w:bookmarkStart w:id="66" w:name="_Toc483390975"/>
      <w:r>
        <w:br w:type="page"/>
      </w:r>
    </w:p>
    <w:p w14:paraId="24CB74A3" w14:textId="77777777" w:rsidR="002E54FF" w:rsidRPr="001422EA" w:rsidRDefault="00C42DFE" w:rsidP="004E5A07">
      <w:pPr>
        <w:pStyle w:val="Heading2"/>
      </w:pPr>
      <w:bookmarkStart w:id="67" w:name="_Toc77603785"/>
      <w:r w:rsidRPr="001422EA">
        <w:t>Adj</w:t>
      </w:r>
      <w:r w:rsidR="006E1448" w:rsidRPr="001422EA">
        <w:t>ustments between accounting basis and funding basis under regulations</w:t>
      </w:r>
      <w:bookmarkEnd w:id="61"/>
      <w:bookmarkEnd w:id="62"/>
      <w:bookmarkEnd w:id="63"/>
      <w:bookmarkEnd w:id="64"/>
      <w:bookmarkEnd w:id="65"/>
      <w:bookmarkEnd w:id="66"/>
      <w:bookmarkEnd w:id="67"/>
    </w:p>
    <w:p w14:paraId="2C464837" w14:textId="77777777" w:rsidR="00051DA4" w:rsidRPr="00EC06E7" w:rsidRDefault="00F77BB5" w:rsidP="007735EC">
      <w:pPr>
        <w:rPr>
          <w:rFonts w:cs="Courier New"/>
          <w:szCs w:val="22"/>
        </w:rPr>
      </w:pPr>
      <w:r w:rsidRPr="00EC06E7">
        <w:rPr>
          <w:rFonts w:cs="Courier New"/>
          <w:szCs w:val="22"/>
        </w:rPr>
        <w:t xml:space="preserve">This note details the adjustments that are made to the total comprehensive income and expenditure recognised by the </w:t>
      </w:r>
      <w:r w:rsidR="00BC0AA6">
        <w:rPr>
          <w:rFonts w:cs="Courier New"/>
          <w:szCs w:val="22"/>
        </w:rPr>
        <w:t>c</w:t>
      </w:r>
      <w:r w:rsidRPr="00EC06E7">
        <w:rPr>
          <w:rFonts w:cs="Courier New"/>
          <w:szCs w:val="22"/>
        </w:rPr>
        <w:t xml:space="preserve">ouncil in the year in accordance with proper accounting practice to arrive at the resources that are specified by the statutory provisions as being available to the </w:t>
      </w:r>
      <w:r w:rsidR="00BC0AA6">
        <w:rPr>
          <w:rFonts w:cs="Courier New"/>
          <w:szCs w:val="22"/>
        </w:rPr>
        <w:t>c</w:t>
      </w:r>
      <w:r w:rsidRPr="00EC06E7">
        <w:rPr>
          <w:rFonts w:cs="Courier New"/>
          <w:szCs w:val="22"/>
        </w:rPr>
        <w:t>ouncil to meet future capital and revenue expenditure. The following sets out a description of the reserves that the adjustments are made against.</w:t>
      </w:r>
    </w:p>
    <w:p w14:paraId="1F4D25E6" w14:textId="77777777" w:rsidR="008F236E" w:rsidRPr="00EC06E7" w:rsidRDefault="008F236E" w:rsidP="007735EC">
      <w:pPr>
        <w:rPr>
          <w:rFonts w:cs="Courier New"/>
          <w:szCs w:val="22"/>
        </w:rPr>
      </w:pPr>
    </w:p>
    <w:p w14:paraId="6DB399B5" w14:textId="77777777" w:rsidR="00F77BB5" w:rsidRPr="00EC06E7" w:rsidRDefault="00F77BB5" w:rsidP="007735EC">
      <w:pPr>
        <w:rPr>
          <w:rFonts w:cs="Courier New"/>
          <w:b/>
          <w:szCs w:val="22"/>
        </w:rPr>
      </w:pPr>
      <w:r w:rsidRPr="00EC06E7">
        <w:rPr>
          <w:rFonts w:cs="Courier New"/>
          <w:b/>
          <w:szCs w:val="22"/>
        </w:rPr>
        <w:t>General Fund Balance</w:t>
      </w:r>
    </w:p>
    <w:p w14:paraId="1E1C9497" w14:textId="77777777" w:rsidR="00F77BB5" w:rsidRPr="00EC06E7" w:rsidRDefault="00F77BB5" w:rsidP="007735EC">
      <w:pPr>
        <w:rPr>
          <w:rFonts w:cs="Courier New"/>
          <w:szCs w:val="22"/>
        </w:rPr>
      </w:pPr>
    </w:p>
    <w:p w14:paraId="497D249F" w14:textId="48BE06EF" w:rsidR="00F77BB5" w:rsidRDefault="00F77BB5" w:rsidP="007735EC">
      <w:pPr>
        <w:rPr>
          <w:rFonts w:cs="Courier New"/>
          <w:szCs w:val="22"/>
        </w:rPr>
      </w:pPr>
      <w:r w:rsidRPr="00EC06E7">
        <w:rPr>
          <w:rFonts w:cs="Courier New"/>
          <w:szCs w:val="22"/>
        </w:rPr>
        <w:t xml:space="preserve">The General Fund is the statutory fund into which all the receipts of the </w:t>
      </w:r>
      <w:r w:rsidR="00BC0AA6">
        <w:rPr>
          <w:rFonts w:cs="Courier New"/>
          <w:szCs w:val="22"/>
        </w:rPr>
        <w:t>c</w:t>
      </w:r>
      <w:r w:rsidRPr="00EC06E7">
        <w:rPr>
          <w:rFonts w:cs="Courier New"/>
          <w:szCs w:val="22"/>
        </w:rPr>
        <w:t xml:space="preserve">ouncil are required to be paid and out of which all liabilities of the </w:t>
      </w:r>
      <w:r w:rsidR="00BC0AA6">
        <w:rPr>
          <w:rFonts w:cs="Courier New"/>
          <w:szCs w:val="22"/>
        </w:rPr>
        <w:t>c</w:t>
      </w:r>
      <w:r w:rsidRPr="00EC06E7">
        <w:rPr>
          <w:rFonts w:cs="Courier New"/>
          <w:szCs w:val="22"/>
        </w:rPr>
        <w:t>ouncil are to be met, except to the extent that statutory rules might provide otherwise. These rules can also specify the financial year in which liabilities and payments should impact on the General Fund Balance</w:t>
      </w:r>
      <w:r w:rsidR="00B4454D" w:rsidRPr="00EC06E7">
        <w:rPr>
          <w:rFonts w:cs="Courier New"/>
          <w:szCs w:val="22"/>
        </w:rPr>
        <w:t xml:space="preserve">, which is not necessarily in accordance with proper accounting practice. The General Fund Balance therefore summarises the resources that the </w:t>
      </w:r>
      <w:r w:rsidR="00BC0AA6">
        <w:rPr>
          <w:rFonts w:cs="Courier New"/>
          <w:szCs w:val="22"/>
        </w:rPr>
        <w:t>c</w:t>
      </w:r>
      <w:r w:rsidR="00B4454D" w:rsidRPr="00EC06E7">
        <w:rPr>
          <w:rFonts w:cs="Courier New"/>
          <w:szCs w:val="22"/>
        </w:rPr>
        <w:t xml:space="preserve">ouncil is statutorily empowered to spend on its services or on capital investment (or the deficit of resources that the </w:t>
      </w:r>
      <w:r w:rsidR="00BC0AA6">
        <w:rPr>
          <w:rFonts w:cs="Courier New"/>
          <w:szCs w:val="22"/>
        </w:rPr>
        <w:t>c</w:t>
      </w:r>
      <w:r w:rsidR="00B4454D" w:rsidRPr="00EC06E7">
        <w:rPr>
          <w:rFonts w:cs="Courier New"/>
          <w:szCs w:val="22"/>
        </w:rPr>
        <w:t>ouncil is required to recover) at the end of the financial year</w:t>
      </w:r>
      <w:r w:rsidR="008F236E" w:rsidRPr="00EC06E7">
        <w:rPr>
          <w:rFonts w:cs="Courier New"/>
          <w:szCs w:val="22"/>
        </w:rPr>
        <w:t xml:space="preserve"> and in</w:t>
      </w:r>
      <w:r w:rsidR="003239DC">
        <w:rPr>
          <w:rFonts w:cs="Courier New"/>
          <w:szCs w:val="22"/>
        </w:rPr>
        <w:t>cludes Earmarked Reserves (see N</w:t>
      </w:r>
      <w:r w:rsidR="008F236E" w:rsidRPr="00EC06E7">
        <w:rPr>
          <w:rFonts w:cs="Courier New"/>
          <w:szCs w:val="22"/>
        </w:rPr>
        <w:t xml:space="preserve">ote </w:t>
      </w:r>
      <w:r w:rsidR="008F236E" w:rsidRPr="00EC06E7">
        <w:rPr>
          <w:rFonts w:cs="Courier New"/>
          <w:szCs w:val="22"/>
        </w:rPr>
        <w:fldChar w:fldCharType="begin"/>
      </w:r>
      <w:r w:rsidR="008F236E" w:rsidRPr="00EC06E7">
        <w:rPr>
          <w:rFonts w:cs="Courier New"/>
          <w:szCs w:val="22"/>
        </w:rPr>
        <w:instrText xml:space="preserve"> REF _Ref483993551 \r \h </w:instrText>
      </w:r>
      <w:r w:rsidR="00EC06E7">
        <w:rPr>
          <w:rFonts w:cs="Courier New"/>
          <w:szCs w:val="22"/>
        </w:rPr>
        <w:instrText xml:space="preserve"> \* MERGEFORMAT </w:instrText>
      </w:r>
      <w:r w:rsidR="008F236E" w:rsidRPr="00EC06E7">
        <w:rPr>
          <w:rFonts w:cs="Courier New"/>
          <w:szCs w:val="22"/>
        </w:rPr>
      </w:r>
      <w:r w:rsidR="008F236E" w:rsidRPr="00EC06E7">
        <w:rPr>
          <w:rFonts w:cs="Courier New"/>
          <w:szCs w:val="22"/>
        </w:rPr>
        <w:fldChar w:fldCharType="separate"/>
      </w:r>
      <w:r w:rsidR="000F49D2">
        <w:rPr>
          <w:rFonts w:cs="Courier New"/>
          <w:szCs w:val="22"/>
        </w:rPr>
        <w:t>11</w:t>
      </w:r>
      <w:r w:rsidR="008F236E" w:rsidRPr="00EC06E7">
        <w:rPr>
          <w:rFonts w:cs="Courier New"/>
          <w:szCs w:val="22"/>
        </w:rPr>
        <w:fldChar w:fldCharType="end"/>
      </w:r>
      <w:r w:rsidR="008F236E" w:rsidRPr="00EC06E7">
        <w:rPr>
          <w:rFonts w:cs="Courier New"/>
          <w:szCs w:val="22"/>
        </w:rPr>
        <w:t>)</w:t>
      </w:r>
      <w:r w:rsidR="00B4454D" w:rsidRPr="00EC06E7">
        <w:rPr>
          <w:rFonts w:cs="Courier New"/>
          <w:szCs w:val="22"/>
        </w:rPr>
        <w:t>.</w:t>
      </w:r>
    </w:p>
    <w:p w14:paraId="60F2B157" w14:textId="77777777" w:rsidR="003239DC" w:rsidRPr="00EC06E7" w:rsidRDefault="003239DC" w:rsidP="007735EC">
      <w:pPr>
        <w:rPr>
          <w:rFonts w:cs="Courier New"/>
          <w:szCs w:val="22"/>
        </w:rPr>
      </w:pPr>
    </w:p>
    <w:p w14:paraId="598A3EAE" w14:textId="77777777" w:rsidR="00B4454D" w:rsidRPr="00EC06E7" w:rsidRDefault="00B4454D" w:rsidP="007735EC">
      <w:pPr>
        <w:rPr>
          <w:rFonts w:cs="Courier New"/>
          <w:b/>
          <w:szCs w:val="22"/>
        </w:rPr>
      </w:pPr>
      <w:r w:rsidRPr="00EC06E7">
        <w:rPr>
          <w:rFonts w:cs="Courier New"/>
          <w:b/>
          <w:szCs w:val="22"/>
        </w:rPr>
        <w:t>Capital Receipts Reserve</w:t>
      </w:r>
    </w:p>
    <w:p w14:paraId="27937E84" w14:textId="77777777" w:rsidR="00B4454D" w:rsidRPr="00EC06E7" w:rsidRDefault="00B4454D" w:rsidP="007735EC">
      <w:pPr>
        <w:rPr>
          <w:rFonts w:cs="Courier New"/>
          <w:szCs w:val="22"/>
        </w:rPr>
      </w:pPr>
    </w:p>
    <w:p w14:paraId="6069579B" w14:textId="77777777" w:rsidR="00B4454D" w:rsidRPr="00EC06E7" w:rsidRDefault="00B4454D" w:rsidP="007735EC">
      <w:pPr>
        <w:rPr>
          <w:rFonts w:cs="Courier New"/>
          <w:szCs w:val="22"/>
        </w:rPr>
      </w:pPr>
      <w:r w:rsidRPr="00EC06E7">
        <w:rPr>
          <w:rFonts w:cs="Courier New"/>
          <w:szCs w:val="22"/>
        </w:rPr>
        <w:t>The Capital Receipts Reserve holds the proceeds from the disposal of land or other assets, which are restricted by statute from being used other than to fund new capital expenditure or to be set aside to finance historical capital expenditure. The balance on the reserve shows the resources that have yet to be applied for these purposes at the year-end.</w:t>
      </w:r>
    </w:p>
    <w:p w14:paraId="4452C45A" w14:textId="77777777" w:rsidR="00B4454D" w:rsidRPr="00EC06E7" w:rsidRDefault="00B4454D" w:rsidP="007735EC">
      <w:pPr>
        <w:rPr>
          <w:rFonts w:cs="Courier New"/>
          <w:szCs w:val="22"/>
        </w:rPr>
      </w:pPr>
    </w:p>
    <w:p w14:paraId="364391E1" w14:textId="77777777" w:rsidR="00B4454D" w:rsidRPr="00EC06E7" w:rsidRDefault="00B4454D" w:rsidP="007735EC">
      <w:pPr>
        <w:rPr>
          <w:rFonts w:cs="Courier New"/>
          <w:b/>
          <w:szCs w:val="22"/>
        </w:rPr>
      </w:pPr>
      <w:r w:rsidRPr="00EC06E7">
        <w:rPr>
          <w:rFonts w:cs="Courier New"/>
          <w:b/>
          <w:szCs w:val="22"/>
        </w:rPr>
        <w:t>Capital Grants Unapplied</w:t>
      </w:r>
    </w:p>
    <w:p w14:paraId="59402EC4" w14:textId="77777777" w:rsidR="00B4454D" w:rsidRPr="00EC06E7" w:rsidRDefault="00B4454D" w:rsidP="007735EC">
      <w:pPr>
        <w:rPr>
          <w:rFonts w:cs="Courier New"/>
          <w:szCs w:val="22"/>
        </w:rPr>
      </w:pPr>
    </w:p>
    <w:p w14:paraId="0E4F00BB" w14:textId="77777777" w:rsidR="00B4454D" w:rsidRPr="00EC06E7" w:rsidRDefault="00B4454D" w:rsidP="007735EC">
      <w:pPr>
        <w:rPr>
          <w:rFonts w:cs="Courier New"/>
          <w:szCs w:val="22"/>
        </w:rPr>
      </w:pPr>
      <w:r w:rsidRPr="00EC06E7">
        <w:rPr>
          <w:rFonts w:cs="Courier New"/>
          <w:szCs w:val="22"/>
        </w:rPr>
        <w:t xml:space="preserve">The Capital Grants Unapplied Reserve holds the grants and contributions received towards capital projects for which the </w:t>
      </w:r>
      <w:r w:rsidR="00BC0AA6">
        <w:rPr>
          <w:rFonts w:cs="Courier New"/>
          <w:szCs w:val="22"/>
        </w:rPr>
        <w:t>c</w:t>
      </w:r>
      <w:r w:rsidRPr="00EC06E7">
        <w:rPr>
          <w:rFonts w:cs="Courier New"/>
          <w:szCs w:val="22"/>
        </w:rPr>
        <w:t xml:space="preserve">ouncil has met the conditions that would otherwise require repayment of the monies but which have yet to be applied to meet expenditure. The balance </w:t>
      </w:r>
      <w:r w:rsidR="006F2252" w:rsidRPr="00EC06E7">
        <w:rPr>
          <w:rFonts w:cs="Courier New"/>
          <w:szCs w:val="22"/>
        </w:rPr>
        <w:t>is restricted</w:t>
      </w:r>
      <w:r w:rsidRPr="00EC06E7">
        <w:rPr>
          <w:rFonts w:cs="Courier New"/>
          <w:szCs w:val="22"/>
        </w:rPr>
        <w:t xml:space="preserve"> by grant terms as to the capital expenditure against which it can be applied and/or the financial year in which this can take place.</w:t>
      </w:r>
    </w:p>
    <w:p w14:paraId="07DBAC27" w14:textId="77777777" w:rsidR="00472CBD" w:rsidRDefault="00472CBD">
      <w:pPr>
        <w:rPr>
          <w:rFonts w:cs="Courier New"/>
          <w:szCs w:val="22"/>
        </w:rPr>
      </w:pPr>
    </w:p>
    <w:p w14:paraId="1167F9B6" w14:textId="319056EC" w:rsidR="0090267E" w:rsidRDefault="0090267E">
      <w:pPr>
        <w:rPr>
          <w:rFonts w:cs="Courier New"/>
          <w:szCs w:val="22"/>
        </w:rPr>
      </w:pPr>
    </w:p>
    <w:p w14:paraId="09637760" w14:textId="52200A7B" w:rsidR="00756EE6" w:rsidRDefault="00CA789A">
      <w:pPr>
        <w:rPr>
          <w:rFonts w:cs="Courier New"/>
          <w:szCs w:val="22"/>
        </w:rPr>
      </w:pPr>
      <w:r>
        <w:rPr>
          <w:rFonts w:cs="Courier New"/>
          <w:szCs w:val="22"/>
        </w:rPr>
        <w:fldChar w:fldCharType="begin"/>
      </w:r>
      <w:r>
        <w:rPr>
          <w:rFonts w:cs="Courier New"/>
          <w:szCs w:val="22"/>
        </w:rPr>
        <w:instrText xml:space="preserve"> LINK Excel.Sheet.12 "\\\\alpha\\accounts$\\CLOSURE\\Closure 20-21\\04 SoA Working Papers\\10 Accounting Adjustments\\Note 10 Accounting Adjustments 2020-21.xlsx!Embedded Tables!R2C1:R27C4" "" \a \p </w:instrText>
      </w:r>
      <w:r>
        <w:rPr>
          <w:rFonts w:cs="Courier New"/>
          <w:szCs w:val="22"/>
        </w:rPr>
        <w:fldChar w:fldCharType="separate"/>
      </w:r>
      <w:r w:rsidR="001C71EF">
        <w:rPr>
          <w:rFonts w:cs="Courier New"/>
          <w:szCs w:val="22"/>
        </w:rPr>
        <w:object w:dxaOrig="9785" w:dyaOrig="10108" w14:anchorId="3B5B3627">
          <v:shape id="_x0000_i1034" type="#_x0000_t75" style="width:468pt;height:518.25pt" o:ole="">
            <v:imagedata r:id="rId61" o:title=""/>
            <o:lock v:ext="edit" aspectratio="f"/>
          </v:shape>
        </w:object>
      </w:r>
      <w:r>
        <w:rPr>
          <w:rFonts w:cs="Courier New"/>
          <w:szCs w:val="22"/>
        </w:rPr>
        <w:fldChar w:fldCharType="end"/>
      </w:r>
    </w:p>
    <w:p w14:paraId="110051AC" w14:textId="77777777" w:rsidR="00756EE6" w:rsidRDefault="00756EE6">
      <w:pPr>
        <w:rPr>
          <w:rFonts w:cs="Courier New"/>
          <w:szCs w:val="22"/>
        </w:rPr>
      </w:pPr>
    </w:p>
    <w:p w14:paraId="5CE36EAB" w14:textId="5C78CC9C" w:rsidR="0090267E" w:rsidRDefault="0090267E">
      <w:pPr>
        <w:rPr>
          <w:rFonts w:cs="Courier New"/>
          <w:szCs w:val="22"/>
        </w:rPr>
      </w:pPr>
    </w:p>
    <w:p w14:paraId="1C196EC4" w14:textId="39FE733E" w:rsidR="0090267E" w:rsidRDefault="00756EE6">
      <w:pPr>
        <w:rPr>
          <w:rFonts w:cs="Courier New"/>
          <w:szCs w:val="22"/>
        </w:rPr>
      </w:pPr>
      <w:r>
        <w:rPr>
          <w:rFonts w:cs="Courier New"/>
          <w:szCs w:val="22"/>
        </w:rPr>
        <w:fldChar w:fldCharType="begin"/>
      </w:r>
      <w:r>
        <w:rPr>
          <w:rFonts w:cs="Courier New"/>
          <w:szCs w:val="22"/>
        </w:rPr>
        <w:instrText xml:space="preserve"> LINK Excel.Sheet.12 "\\\\alpha\\accounts$\\CLOSURE\\Closure 20-21\\04 SoA Working Papers\\10 Accounting Adjustments\\Note 10 Accounting Adjustments 2020-21.xlsx!Embedded Tables!R31C1:R56C4" "" \a \p </w:instrText>
      </w:r>
      <w:r>
        <w:rPr>
          <w:rFonts w:cs="Courier New"/>
          <w:szCs w:val="22"/>
        </w:rPr>
        <w:fldChar w:fldCharType="separate"/>
      </w:r>
      <w:r w:rsidR="001C71EF">
        <w:rPr>
          <w:rFonts w:cs="Courier New"/>
          <w:szCs w:val="22"/>
        </w:rPr>
        <w:object w:dxaOrig="9785" w:dyaOrig="10108" w14:anchorId="184ED76C">
          <v:shape id="_x0000_i1035" type="#_x0000_t75" style="width:468pt;height:518.25pt" o:ole="">
            <v:imagedata r:id="rId62" o:title=""/>
            <o:lock v:ext="edit" aspectratio="f"/>
          </v:shape>
        </w:object>
      </w:r>
      <w:r>
        <w:rPr>
          <w:rFonts w:cs="Courier New"/>
          <w:szCs w:val="22"/>
        </w:rPr>
        <w:fldChar w:fldCharType="end"/>
      </w:r>
    </w:p>
    <w:p w14:paraId="16BB041C" w14:textId="77777777" w:rsidR="0090267E" w:rsidRDefault="0090267E">
      <w:pPr>
        <w:rPr>
          <w:rFonts w:cs="Courier New"/>
          <w:szCs w:val="22"/>
        </w:rPr>
      </w:pPr>
    </w:p>
    <w:p w14:paraId="1F9974C6" w14:textId="77777777" w:rsidR="0061793D" w:rsidRDefault="0061793D">
      <w:pPr>
        <w:rPr>
          <w:rFonts w:cs="Courier New"/>
          <w:szCs w:val="22"/>
        </w:rPr>
      </w:pPr>
    </w:p>
    <w:p w14:paraId="7B7754A4" w14:textId="77777777" w:rsidR="00EC100E" w:rsidRPr="00EC06E7" w:rsidRDefault="00EC100E">
      <w:pPr>
        <w:rPr>
          <w:rFonts w:cs="Arial"/>
          <w:b/>
          <w:szCs w:val="22"/>
        </w:rPr>
      </w:pPr>
      <w:r w:rsidRPr="00EC06E7">
        <w:br w:type="page"/>
      </w:r>
    </w:p>
    <w:p w14:paraId="2BF6FE9B" w14:textId="77777777" w:rsidR="00C8113E" w:rsidRPr="001422EA" w:rsidRDefault="006E1448" w:rsidP="004E5A07">
      <w:pPr>
        <w:pStyle w:val="Heading2"/>
      </w:pPr>
      <w:bookmarkStart w:id="68" w:name="_Toc483390976"/>
      <w:bookmarkStart w:id="69" w:name="_Ref483993551"/>
      <w:bookmarkStart w:id="70" w:name="_Toc77603786"/>
      <w:r w:rsidRPr="001422EA">
        <w:t>Transfers to / from earmarked reserves</w:t>
      </w:r>
      <w:bookmarkEnd w:id="68"/>
      <w:bookmarkEnd w:id="69"/>
      <w:bookmarkEnd w:id="70"/>
    </w:p>
    <w:p w14:paraId="3D9250DB" w14:textId="77777777" w:rsidR="00C8113E" w:rsidRPr="00EC06E7" w:rsidRDefault="00C8113E" w:rsidP="002046F5">
      <w:pPr>
        <w:rPr>
          <w:rFonts w:cs="Courier New"/>
          <w:szCs w:val="22"/>
        </w:rPr>
      </w:pPr>
    </w:p>
    <w:p w14:paraId="3134C584" w14:textId="7952E53A" w:rsidR="006F2748" w:rsidRDefault="006F2748" w:rsidP="002046F5">
      <w:pPr>
        <w:rPr>
          <w:rFonts w:cs="Courier New"/>
          <w:szCs w:val="22"/>
        </w:rPr>
      </w:pPr>
      <w:r w:rsidRPr="0048564D">
        <w:rPr>
          <w:rFonts w:cs="Courier New"/>
          <w:szCs w:val="22"/>
        </w:rPr>
        <w:t xml:space="preserve">The movements in </w:t>
      </w:r>
      <w:r w:rsidR="006165C6" w:rsidRPr="0048564D">
        <w:rPr>
          <w:rFonts w:cs="Courier New"/>
          <w:szCs w:val="22"/>
        </w:rPr>
        <w:t xml:space="preserve">earmarked </w:t>
      </w:r>
      <w:r w:rsidRPr="0048564D">
        <w:rPr>
          <w:rFonts w:cs="Courier New"/>
          <w:szCs w:val="22"/>
        </w:rPr>
        <w:t>reserves d</w:t>
      </w:r>
      <w:r w:rsidR="002046F5" w:rsidRPr="0048564D">
        <w:rPr>
          <w:rFonts w:cs="Courier New"/>
          <w:szCs w:val="22"/>
        </w:rPr>
        <w:t>uring the year were as follows</w:t>
      </w:r>
      <w:r w:rsidR="006165C6" w:rsidRPr="0048564D">
        <w:rPr>
          <w:rFonts w:cs="Courier New"/>
          <w:szCs w:val="22"/>
        </w:rPr>
        <w:t xml:space="preserve">. The movements in the general reserve are also included, producing the overall total for general fund reserves that appears in the Movement in Reserves Statement on </w:t>
      </w:r>
      <w:r w:rsidR="006165C6" w:rsidRPr="00417F71">
        <w:rPr>
          <w:rFonts w:cs="Courier New"/>
          <w:szCs w:val="22"/>
        </w:rPr>
        <w:t xml:space="preserve">page </w:t>
      </w:r>
      <w:r w:rsidR="00F52125">
        <w:rPr>
          <w:rFonts w:cs="Courier New"/>
          <w:szCs w:val="22"/>
        </w:rPr>
        <w:t>4</w:t>
      </w:r>
      <w:r w:rsidR="00FC30F8">
        <w:rPr>
          <w:rFonts w:cs="Courier New"/>
          <w:szCs w:val="22"/>
        </w:rPr>
        <w:t>3</w:t>
      </w:r>
      <w:r w:rsidR="006165C6" w:rsidRPr="00417F71">
        <w:rPr>
          <w:rFonts w:cs="Courier New"/>
          <w:szCs w:val="22"/>
        </w:rPr>
        <w:t>.</w:t>
      </w:r>
    </w:p>
    <w:p w14:paraId="508A1844" w14:textId="2B49F8ED" w:rsidR="009D4087" w:rsidRDefault="009D4087" w:rsidP="002046F5">
      <w:pPr>
        <w:rPr>
          <w:rFonts w:cs="Courier New"/>
          <w:szCs w:val="22"/>
        </w:rPr>
      </w:pPr>
    </w:p>
    <w:p w14:paraId="4FDF545E" w14:textId="5893490F" w:rsidR="00950553" w:rsidRDefault="004B1CDE" w:rsidP="002046F5">
      <w:pPr>
        <w:rPr>
          <w:rFonts w:cs="Courier New"/>
          <w:szCs w:val="22"/>
        </w:rPr>
      </w:pPr>
      <w:r>
        <w:rPr>
          <w:rFonts w:cs="Courier New"/>
          <w:szCs w:val="22"/>
        </w:rPr>
        <w:fldChar w:fldCharType="begin"/>
      </w:r>
      <w:r>
        <w:rPr>
          <w:rFonts w:cs="Courier New"/>
          <w:szCs w:val="22"/>
        </w:rPr>
        <w:instrText xml:space="preserve"> LINK Excel.Sheet.12 "\\\\alpha\\accounts$\\CLOSURE\\Closure 20-21\\04 SoA Working Papers\\11 Earmarked Reserves\\Note 11 Earmarked Reserves 2020-21.xlsx!Embedded Table!R2C1:R35C8" "" \a \p </w:instrText>
      </w:r>
      <w:r>
        <w:rPr>
          <w:rFonts w:cs="Courier New"/>
          <w:szCs w:val="22"/>
        </w:rPr>
        <w:fldChar w:fldCharType="separate"/>
      </w:r>
      <w:r w:rsidR="001C71EF">
        <w:rPr>
          <w:rFonts w:cs="Courier New"/>
          <w:szCs w:val="22"/>
        </w:rPr>
        <w:object w:dxaOrig="9495" w:dyaOrig="10935" w14:anchorId="11682BE2">
          <v:shape id="_x0000_i1036" type="#_x0000_t75" style="width:453.75pt;height:561.75pt" o:ole="">
            <v:imagedata r:id="rId63" o:title=""/>
            <o:lock v:ext="edit" aspectratio="f"/>
          </v:shape>
        </w:object>
      </w:r>
      <w:r>
        <w:rPr>
          <w:rFonts w:cs="Courier New"/>
          <w:szCs w:val="22"/>
        </w:rPr>
        <w:fldChar w:fldCharType="end"/>
      </w:r>
    </w:p>
    <w:p w14:paraId="3931074C" w14:textId="28F1AE73" w:rsidR="00950553" w:rsidRDefault="00950553" w:rsidP="002046F5">
      <w:pPr>
        <w:rPr>
          <w:rFonts w:cs="Courier New"/>
          <w:szCs w:val="22"/>
        </w:rPr>
      </w:pPr>
    </w:p>
    <w:p w14:paraId="3258E9C9" w14:textId="77777777" w:rsidR="00FC4A79" w:rsidRPr="00EC06E7" w:rsidRDefault="00FC4A79" w:rsidP="00FC4A79">
      <w:pPr>
        <w:ind w:left="360" w:hanging="360"/>
        <w:rPr>
          <w:rFonts w:cs="Courier New"/>
          <w:szCs w:val="22"/>
        </w:rPr>
      </w:pPr>
      <w:r w:rsidRPr="00EC06E7">
        <w:rPr>
          <w:rFonts w:cs="Courier New"/>
          <w:szCs w:val="22"/>
        </w:rPr>
        <w:t>Below is a description of the purpose of each of the earmarked reserves</w:t>
      </w:r>
      <w:r w:rsidR="00FA53DB" w:rsidRPr="00EC06E7">
        <w:rPr>
          <w:rFonts w:cs="Courier New"/>
          <w:szCs w:val="22"/>
        </w:rPr>
        <w:t xml:space="preserve"> identified above</w:t>
      </w:r>
      <w:r w:rsidR="00EF21B5" w:rsidRPr="00EC06E7">
        <w:rPr>
          <w:rFonts w:cs="Courier New"/>
          <w:szCs w:val="22"/>
        </w:rPr>
        <w:t>:</w:t>
      </w:r>
    </w:p>
    <w:p w14:paraId="41C70DEE" w14:textId="0C6E3ECD" w:rsidR="00762A3C" w:rsidRPr="00762A3C" w:rsidRDefault="00762A3C" w:rsidP="00753673">
      <w:pPr>
        <w:rPr>
          <w:rFonts w:cs="Courier New"/>
          <w:bCs/>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6378"/>
      </w:tblGrid>
      <w:tr w:rsidR="00762A3C" w:rsidRPr="00EC06E7" w14:paraId="4340518E" w14:textId="77777777" w:rsidTr="00D57B2A">
        <w:trPr>
          <w:trHeight w:val="600"/>
          <w:tblHeader/>
        </w:trPr>
        <w:tc>
          <w:tcPr>
            <w:tcW w:w="3256" w:type="dxa"/>
            <w:shd w:val="clear" w:color="auto" w:fill="B8CCE4" w:themeFill="accent1" w:themeFillTint="66"/>
            <w:vAlign w:val="center"/>
          </w:tcPr>
          <w:p w14:paraId="2208E550" w14:textId="77777777" w:rsidR="00762A3C" w:rsidRPr="00EC06E7" w:rsidRDefault="00762A3C" w:rsidP="00D57B2A">
            <w:pPr>
              <w:jc w:val="left"/>
              <w:rPr>
                <w:rFonts w:cs="Arial"/>
                <w:b/>
                <w:sz w:val="20"/>
                <w:szCs w:val="20"/>
              </w:rPr>
            </w:pPr>
            <w:r w:rsidRPr="00EC06E7">
              <w:rPr>
                <w:rFonts w:cs="Arial"/>
                <w:b/>
                <w:sz w:val="20"/>
                <w:szCs w:val="20"/>
              </w:rPr>
              <w:t>Earmarked Reserve</w:t>
            </w:r>
          </w:p>
        </w:tc>
        <w:tc>
          <w:tcPr>
            <w:tcW w:w="6378" w:type="dxa"/>
            <w:shd w:val="clear" w:color="auto" w:fill="B8CCE4" w:themeFill="accent1" w:themeFillTint="66"/>
            <w:vAlign w:val="center"/>
          </w:tcPr>
          <w:p w14:paraId="4A51E80F" w14:textId="77777777" w:rsidR="00762A3C" w:rsidRPr="00EC06E7" w:rsidRDefault="00762A3C" w:rsidP="00D57B2A">
            <w:pPr>
              <w:jc w:val="center"/>
              <w:rPr>
                <w:rFonts w:cs="Arial"/>
                <w:b/>
                <w:sz w:val="20"/>
                <w:szCs w:val="20"/>
              </w:rPr>
            </w:pPr>
            <w:r w:rsidRPr="00EC06E7">
              <w:rPr>
                <w:rFonts w:cs="Arial"/>
                <w:b/>
                <w:sz w:val="20"/>
                <w:szCs w:val="20"/>
              </w:rPr>
              <w:t>Reason / Use</w:t>
            </w:r>
          </w:p>
        </w:tc>
      </w:tr>
      <w:tr w:rsidR="00762A3C" w:rsidRPr="00EC06E7" w14:paraId="65D52776" w14:textId="77777777" w:rsidTr="00D57B2A">
        <w:trPr>
          <w:trHeight w:val="567"/>
        </w:trPr>
        <w:tc>
          <w:tcPr>
            <w:tcW w:w="3256" w:type="dxa"/>
            <w:vAlign w:val="center"/>
          </w:tcPr>
          <w:p w14:paraId="158580B7" w14:textId="77777777" w:rsidR="00762A3C" w:rsidRPr="00F47906" w:rsidRDefault="00762A3C" w:rsidP="00D57B2A">
            <w:pPr>
              <w:spacing w:before="60" w:after="60"/>
              <w:jc w:val="left"/>
              <w:rPr>
                <w:rFonts w:cs="Arial"/>
                <w:sz w:val="20"/>
                <w:szCs w:val="20"/>
              </w:rPr>
            </w:pPr>
            <w:r w:rsidRPr="00F47906">
              <w:rPr>
                <w:rFonts w:cs="Courier New"/>
                <w:sz w:val="20"/>
                <w:szCs w:val="20"/>
              </w:rPr>
              <w:t>Community Hubs</w:t>
            </w:r>
          </w:p>
        </w:tc>
        <w:tc>
          <w:tcPr>
            <w:tcW w:w="6378" w:type="dxa"/>
            <w:vAlign w:val="center"/>
          </w:tcPr>
          <w:p w14:paraId="3DA7B4F0" w14:textId="77777777" w:rsidR="00762A3C" w:rsidRPr="00F47906" w:rsidRDefault="00762A3C" w:rsidP="00D57B2A">
            <w:pPr>
              <w:spacing w:before="60" w:after="60"/>
              <w:rPr>
                <w:rFonts w:cs="Arial"/>
                <w:sz w:val="20"/>
                <w:szCs w:val="20"/>
              </w:rPr>
            </w:pPr>
            <w:r w:rsidRPr="00F47906">
              <w:rPr>
                <w:rFonts w:cs="Arial"/>
                <w:sz w:val="20"/>
                <w:szCs w:val="20"/>
              </w:rPr>
              <w:t>An accumulation of unspent core funding allocated to be spent in accordance with the local priorities determined by each of the Community Hub forums.</w:t>
            </w:r>
          </w:p>
        </w:tc>
      </w:tr>
      <w:tr w:rsidR="00762A3C" w:rsidRPr="00EC06E7" w14:paraId="1895080A" w14:textId="77777777" w:rsidTr="00D57B2A">
        <w:trPr>
          <w:trHeight w:val="567"/>
        </w:trPr>
        <w:tc>
          <w:tcPr>
            <w:tcW w:w="3256" w:type="dxa"/>
            <w:vAlign w:val="center"/>
          </w:tcPr>
          <w:p w14:paraId="3D57D6A0" w14:textId="77777777" w:rsidR="00762A3C" w:rsidRPr="00F47906" w:rsidRDefault="00762A3C" w:rsidP="00D57B2A">
            <w:pPr>
              <w:spacing w:before="60" w:after="60"/>
              <w:jc w:val="left"/>
              <w:rPr>
                <w:rFonts w:cs="Arial"/>
                <w:sz w:val="20"/>
                <w:szCs w:val="20"/>
              </w:rPr>
            </w:pPr>
            <w:r w:rsidRPr="00F47906">
              <w:rPr>
                <w:rFonts w:cs="Arial"/>
                <w:sz w:val="20"/>
                <w:szCs w:val="20"/>
              </w:rPr>
              <w:t>Elections Provision</w:t>
            </w:r>
          </w:p>
        </w:tc>
        <w:tc>
          <w:tcPr>
            <w:tcW w:w="6378" w:type="dxa"/>
            <w:vAlign w:val="center"/>
          </w:tcPr>
          <w:p w14:paraId="6DD17C28" w14:textId="77777777" w:rsidR="00762A3C" w:rsidRPr="00F47906" w:rsidRDefault="00762A3C" w:rsidP="00D57B2A">
            <w:pPr>
              <w:spacing w:before="60" w:after="60"/>
              <w:rPr>
                <w:rFonts w:cs="Arial"/>
                <w:sz w:val="20"/>
                <w:szCs w:val="20"/>
              </w:rPr>
            </w:pPr>
            <w:r w:rsidRPr="00F47906">
              <w:rPr>
                <w:rFonts w:cs="Arial"/>
                <w:sz w:val="20"/>
                <w:szCs w:val="20"/>
              </w:rPr>
              <w:t>An annual transfer from revenue is made to cover the four yearly Borough Elections.  The next election is due to take place in May 2023.</w:t>
            </w:r>
          </w:p>
        </w:tc>
      </w:tr>
      <w:tr w:rsidR="00762A3C" w:rsidRPr="00EC06E7" w14:paraId="61F873DD" w14:textId="77777777" w:rsidTr="00D57B2A">
        <w:trPr>
          <w:trHeight w:val="567"/>
        </w:trPr>
        <w:tc>
          <w:tcPr>
            <w:tcW w:w="3256" w:type="dxa"/>
            <w:vAlign w:val="center"/>
          </w:tcPr>
          <w:p w14:paraId="286224B3" w14:textId="77777777" w:rsidR="00762A3C" w:rsidRPr="00F47906" w:rsidRDefault="00762A3C" w:rsidP="00D57B2A">
            <w:pPr>
              <w:spacing w:before="60" w:after="60"/>
              <w:jc w:val="left"/>
              <w:rPr>
                <w:rFonts w:cs="Arial"/>
                <w:sz w:val="20"/>
                <w:szCs w:val="20"/>
              </w:rPr>
            </w:pPr>
            <w:r w:rsidRPr="00F47906">
              <w:rPr>
                <w:rFonts w:cs="Arial"/>
                <w:sz w:val="20"/>
                <w:szCs w:val="20"/>
              </w:rPr>
              <w:t>Housing Needs Survey</w:t>
            </w:r>
          </w:p>
        </w:tc>
        <w:tc>
          <w:tcPr>
            <w:tcW w:w="6378" w:type="dxa"/>
            <w:vAlign w:val="center"/>
          </w:tcPr>
          <w:p w14:paraId="5826C24A" w14:textId="77777777" w:rsidR="00762A3C" w:rsidRPr="00F47906" w:rsidRDefault="00762A3C" w:rsidP="00D57B2A">
            <w:pPr>
              <w:spacing w:before="60" w:after="60"/>
              <w:rPr>
                <w:rFonts w:cs="Arial"/>
                <w:sz w:val="20"/>
                <w:szCs w:val="20"/>
              </w:rPr>
            </w:pPr>
            <w:r w:rsidRPr="00F47906">
              <w:rPr>
                <w:rFonts w:cs="Arial"/>
                <w:sz w:val="20"/>
                <w:szCs w:val="20"/>
              </w:rPr>
              <w:t xml:space="preserve">Annual contribution made to fund the costs of carrying out detailed Housing Needs Surveys. </w:t>
            </w:r>
          </w:p>
        </w:tc>
      </w:tr>
      <w:tr w:rsidR="00762A3C" w:rsidRPr="00EC06E7" w14:paraId="084111F4" w14:textId="77777777" w:rsidTr="00D57B2A">
        <w:trPr>
          <w:trHeight w:val="567"/>
        </w:trPr>
        <w:tc>
          <w:tcPr>
            <w:tcW w:w="3256" w:type="dxa"/>
            <w:vAlign w:val="center"/>
          </w:tcPr>
          <w:p w14:paraId="1381BD1B" w14:textId="77777777" w:rsidR="00762A3C" w:rsidRPr="00F47906" w:rsidRDefault="00762A3C" w:rsidP="00D57B2A">
            <w:pPr>
              <w:jc w:val="left"/>
              <w:rPr>
                <w:rFonts w:cs="Courier New"/>
                <w:sz w:val="20"/>
                <w:szCs w:val="20"/>
              </w:rPr>
            </w:pPr>
            <w:r w:rsidRPr="00F47906">
              <w:rPr>
                <w:rFonts w:cs="Courier New"/>
                <w:sz w:val="20"/>
                <w:szCs w:val="20"/>
              </w:rPr>
              <w:t>Local Development Framework</w:t>
            </w:r>
          </w:p>
        </w:tc>
        <w:tc>
          <w:tcPr>
            <w:tcW w:w="6378" w:type="dxa"/>
            <w:vAlign w:val="center"/>
          </w:tcPr>
          <w:p w14:paraId="734063C9" w14:textId="77777777" w:rsidR="00762A3C" w:rsidRPr="00F47906" w:rsidRDefault="00762A3C" w:rsidP="00D57B2A">
            <w:pPr>
              <w:spacing w:before="60" w:after="60"/>
              <w:rPr>
                <w:rFonts w:cs="Arial"/>
                <w:sz w:val="20"/>
                <w:szCs w:val="20"/>
              </w:rPr>
            </w:pPr>
            <w:r w:rsidRPr="00F47906">
              <w:rPr>
                <w:rFonts w:cs="Arial"/>
                <w:sz w:val="20"/>
                <w:szCs w:val="20"/>
              </w:rPr>
              <w:t xml:space="preserve">To fund one-off costs in relation to the production of planning policy documents in relation to the Local Development Framework.   </w:t>
            </w:r>
          </w:p>
        </w:tc>
      </w:tr>
      <w:tr w:rsidR="00762A3C" w:rsidRPr="00EC06E7" w14:paraId="76592AEF" w14:textId="77777777" w:rsidTr="00D57B2A">
        <w:trPr>
          <w:trHeight w:val="567"/>
        </w:trPr>
        <w:tc>
          <w:tcPr>
            <w:tcW w:w="3256" w:type="dxa"/>
            <w:vAlign w:val="center"/>
          </w:tcPr>
          <w:p w14:paraId="435A81E7" w14:textId="77777777" w:rsidR="00762A3C" w:rsidRPr="00F47906" w:rsidRDefault="00762A3C" w:rsidP="00D57B2A">
            <w:pPr>
              <w:spacing w:before="60" w:after="60"/>
              <w:jc w:val="left"/>
              <w:rPr>
                <w:rFonts w:cs="Arial"/>
                <w:sz w:val="20"/>
                <w:szCs w:val="20"/>
              </w:rPr>
            </w:pPr>
            <w:r w:rsidRPr="00F47906">
              <w:rPr>
                <w:rFonts w:cs="Arial"/>
                <w:sz w:val="20"/>
                <w:szCs w:val="20"/>
              </w:rPr>
              <w:t>Performance Reward Grant</w:t>
            </w:r>
          </w:p>
        </w:tc>
        <w:tc>
          <w:tcPr>
            <w:tcW w:w="6378" w:type="dxa"/>
            <w:vAlign w:val="center"/>
          </w:tcPr>
          <w:p w14:paraId="0236409B" w14:textId="77777777" w:rsidR="00762A3C" w:rsidRPr="00F47906" w:rsidRDefault="00762A3C" w:rsidP="00D57B2A">
            <w:pPr>
              <w:spacing w:before="60" w:after="60"/>
              <w:rPr>
                <w:rFonts w:cs="Arial"/>
                <w:sz w:val="20"/>
                <w:szCs w:val="20"/>
              </w:rPr>
            </w:pPr>
            <w:r w:rsidRPr="00F47906">
              <w:rPr>
                <w:rFonts w:cs="Arial"/>
                <w:sz w:val="20"/>
                <w:szCs w:val="20"/>
              </w:rPr>
              <w:t xml:space="preserve">External revenue funding held by the council on behalf of South </w:t>
            </w:r>
            <w:proofErr w:type="spellStart"/>
            <w:r w:rsidRPr="00F47906">
              <w:rPr>
                <w:rFonts w:cs="Arial"/>
                <w:sz w:val="20"/>
                <w:szCs w:val="20"/>
              </w:rPr>
              <w:t>Ribble</w:t>
            </w:r>
            <w:proofErr w:type="spellEnd"/>
            <w:r w:rsidRPr="00F47906">
              <w:rPr>
                <w:rFonts w:cs="Arial"/>
                <w:sz w:val="20"/>
                <w:szCs w:val="20"/>
              </w:rPr>
              <w:t xml:space="preserve"> Partnership set aside for spending on South </w:t>
            </w:r>
            <w:proofErr w:type="spellStart"/>
            <w:r w:rsidRPr="00F47906">
              <w:rPr>
                <w:rFonts w:cs="Arial"/>
                <w:sz w:val="20"/>
                <w:szCs w:val="20"/>
              </w:rPr>
              <w:t>Ribble</w:t>
            </w:r>
            <w:proofErr w:type="spellEnd"/>
            <w:r w:rsidRPr="00F47906">
              <w:rPr>
                <w:rFonts w:cs="Arial"/>
                <w:sz w:val="20"/>
                <w:szCs w:val="20"/>
              </w:rPr>
              <w:t xml:space="preserve"> Partnership projects in future years.  </w:t>
            </w:r>
          </w:p>
        </w:tc>
      </w:tr>
      <w:tr w:rsidR="00762A3C" w:rsidRPr="00EC06E7" w14:paraId="007C98FE" w14:textId="77777777" w:rsidTr="00D57B2A">
        <w:trPr>
          <w:trHeight w:val="567"/>
        </w:trPr>
        <w:tc>
          <w:tcPr>
            <w:tcW w:w="3256" w:type="dxa"/>
            <w:vAlign w:val="center"/>
          </w:tcPr>
          <w:p w14:paraId="55D10E9B" w14:textId="77777777" w:rsidR="00762A3C" w:rsidRPr="00F47906" w:rsidRDefault="00762A3C" w:rsidP="00D57B2A">
            <w:pPr>
              <w:jc w:val="left"/>
              <w:rPr>
                <w:rFonts w:cs="Arial"/>
                <w:sz w:val="20"/>
                <w:szCs w:val="18"/>
              </w:rPr>
            </w:pPr>
            <w:r w:rsidRPr="00F47906">
              <w:rPr>
                <w:rFonts w:cs="Arial"/>
                <w:sz w:val="20"/>
                <w:szCs w:val="18"/>
              </w:rPr>
              <w:t>Organisation Restructure Costs</w:t>
            </w:r>
          </w:p>
        </w:tc>
        <w:tc>
          <w:tcPr>
            <w:tcW w:w="6378" w:type="dxa"/>
            <w:vAlign w:val="center"/>
          </w:tcPr>
          <w:p w14:paraId="502A43EC" w14:textId="77777777" w:rsidR="00762A3C" w:rsidRPr="00F47906" w:rsidRDefault="00762A3C" w:rsidP="00D57B2A">
            <w:pPr>
              <w:spacing w:before="60" w:after="60"/>
              <w:rPr>
                <w:rFonts w:cs="Arial"/>
                <w:sz w:val="20"/>
                <w:szCs w:val="20"/>
              </w:rPr>
            </w:pPr>
            <w:r w:rsidRPr="00F47906">
              <w:rPr>
                <w:rFonts w:cs="Arial"/>
                <w:sz w:val="20"/>
                <w:szCs w:val="20"/>
              </w:rPr>
              <w:t>To be used to assist in funding the one-off costs of any service reviews designed to improve the efficiency of the council.</w:t>
            </w:r>
          </w:p>
        </w:tc>
      </w:tr>
      <w:tr w:rsidR="00762A3C" w:rsidRPr="00EC06E7" w14:paraId="5997741E" w14:textId="77777777" w:rsidTr="00D57B2A">
        <w:trPr>
          <w:trHeight w:val="567"/>
        </w:trPr>
        <w:tc>
          <w:tcPr>
            <w:tcW w:w="3256" w:type="dxa"/>
            <w:vAlign w:val="center"/>
          </w:tcPr>
          <w:p w14:paraId="4705FD19" w14:textId="77777777" w:rsidR="00762A3C" w:rsidRPr="00F47906" w:rsidRDefault="00762A3C" w:rsidP="00D57B2A">
            <w:pPr>
              <w:spacing w:before="60" w:after="60"/>
              <w:jc w:val="left"/>
              <w:rPr>
                <w:rFonts w:cs="Arial"/>
                <w:sz w:val="20"/>
                <w:szCs w:val="20"/>
              </w:rPr>
            </w:pPr>
            <w:r w:rsidRPr="00F47906">
              <w:rPr>
                <w:rFonts w:cs="Arial"/>
                <w:sz w:val="20"/>
                <w:szCs w:val="20"/>
              </w:rPr>
              <w:t>Borough Investment Account</w:t>
            </w:r>
          </w:p>
        </w:tc>
        <w:tc>
          <w:tcPr>
            <w:tcW w:w="6378" w:type="dxa"/>
            <w:shd w:val="clear" w:color="auto" w:fill="auto"/>
            <w:vAlign w:val="center"/>
          </w:tcPr>
          <w:p w14:paraId="4BCB8418" w14:textId="77777777" w:rsidR="00762A3C" w:rsidRPr="00F47906" w:rsidRDefault="00762A3C" w:rsidP="00D57B2A">
            <w:pPr>
              <w:spacing w:before="60" w:after="60"/>
              <w:rPr>
                <w:rFonts w:cs="Arial"/>
                <w:sz w:val="20"/>
                <w:szCs w:val="20"/>
              </w:rPr>
            </w:pPr>
            <w:r w:rsidRPr="00F47906">
              <w:rPr>
                <w:rFonts w:cs="Arial"/>
                <w:sz w:val="20"/>
                <w:szCs w:val="20"/>
              </w:rPr>
              <w:t>To facilitate income generation schemes and create a diverse and self-sustaining income portfolio to enable the council to bridge potential funding gaps.</w:t>
            </w:r>
          </w:p>
        </w:tc>
      </w:tr>
      <w:tr w:rsidR="00762A3C" w:rsidRPr="00EC06E7" w14:paraId="6F13A917" w14:textId="77777777" w:rsidTr="00D57B2A">
        <w:trPr>
          <w:trHeight w:val="567"/>
        </w:trPr>
        <w:tc>
          <w:tcPr>
            <w:tcW w:w="3256" w:type="dxa"/>
            <w:vAlign w:val="center"/>
          </w:tcPr>
          <w:p w14:paraId="224E9637" w14:textId="77777777" w:rsidR="00762A3C" w:rsidRPr="00F47906" w:rsidRDefault="00762A3C" w:rsidP="00D57B2A">
            <w:pPr>
              <w:spacing w:before="60" w:after="60"/>
              <w:jc w:val="left"/>
              <w:rPr>
                <w:rFonts w:cs="Arial"/>
                <w:sz w:val="20"/>
                <w:szCs w:val="20"/>
              </w:rPr>
            </w:pPr>
            <w:r w:rsidRPr="00F47906">
              <w:rPr>
                <w:rFonts w:cs="Arial"/>
                <w:sz w:val="20"/>
                <w:szCs w:val="20"/>
              </w:rPr>
              <w:t>Business Rates Retention</w:t>
            </w:r>
          </w:p>
        </w:tc>
        <w:tc>
          <w:tcPr>
            <w:tcW w:w="6378" w:type="dxa"/>
            <w:vAlign w:val="center"/>
          </w:tcPr>
          <w:p w14:paraId="3BE5845D" w14:textId="77777777" w:rsidR="00762A3C" w:rsidRPr="00F47906" w:rsidRDefault="00762A3C" w:rsidP="00D57B2A">
            <w:pPr>
              <w:spacing w:before="60" w:after="60"/>
              <w:rPr>
                <w:rFonts w:cs="Arial"/>
                <w:sz w:val="20"/>
                <w:szCs w:val="20"/>
              </w:rPr>
            </w:pPr>
            <w:r w:rsidRPr="00F47906">
              <w:rPr>
                <w:rFonts w:cs="Arial"/>
                <w:sz w:val="20"/>
                <w:szCs w:val="20"/>
              </w:rPr>
              <w:t xml:space="preserve">To mitigate the potential risk to the council’s medium-term financial strategy by providing funds to smooth out the inherent fluctuations that occur in the Business Rates Retention System.  </w:t>
            </w:r>
          </w:p>
        </w:tc>
      </w:tr>
      <w:tr w:rsidR="00762A3C" w:rsidRPr="00EC06E7" w14:paraId="30E7182B" w14:textId="77777777" w:rsidTr="00D57B2A">
        <w:trPr>
          <w:trHeight w:val="567"/>
        </w:trPr>
        <w:tc>
          <w:tcPr>
            <w:tcW w:w="3256" w:type="dxa"/>
            <w:vAlign w:val="center"/>
          </w:tcPr>
          <w:p w14:paraId="604AD83B" w14:textId="77777777" w:rsidR="00762A3C" w:rsidRPr="00F47906" w:rsidRDefault="00762A3C" w:rsidP="00D57B2A">
            <w:pPr>
              <w:spacing w:before="60" w:after="60"/>
              <w:jc w:val="left"/>
              <w:rPr>
                <w:rFonts w:cs="Arial"/>
                <w:sz w:val="20"/>
                <w:szCs w:val="20"/>
              </w:rPr>
            </w:pPr>
            <w:r w:rsidRPr="00F47906">
              <w:rPr>
                <w:rFonts w:cs="Arial"/>
                <w:sz w:val="20"/>
                <w:szCs w:val="20"/>
              </w:rPr>
              <w:t>City Deal</w:t>
            </w:r>
          </w:p>
        </w:tc>
        <w:tc>
          <w:tcPr>
            <w:tcW w:w="6378" w:type="dxa"/>
            <w:vAlign w:val="center"/>
          </w:tcPr>
          <w:p w14:paraId="32563975" w14:textId="77777777" w:rsidR="00762A3C" w:rsidRPr="00F47906" w:rsidRDefault="00762A3C" w:rsidP="00D57B2A">
            <w:pPr>
              <w:spacing w:before="60" w:after="60"/>
              <w:rPr>
                <w:rFonts w:cs="Arial"/>
                <w:sz w:val="20"/>
                <w:szCs w:val="20"/>
              </w:rPr>
            </w:pPr>
            <w:r w:rsidRPr="00F47906">
              <w:rPr>
                <w:rFonts w:cs="Arial"/>
                <w:sz w:val="20"/>
                <w:szCs w:val="20"/>
              </w:rPr>
              <w:t>To be used to fund additional costs in relation to the delivery of City Deal projects and outcomes.</w:t>
            </w:r>
          </w:p>
        </w:tc>
      </w:tr>
      <w:tr w:rsidR="00762A3C" w:rsidRPr="00EC06E7" w14:paraId="56BCE28C" w14:textId="77777777" w:rsidTr="00D57B2A">
        <w:trPr>
          <w:trHeight w:val="567"/>
        </w:trPr>
        <w:tc>
          <w:tcPr>
            <w:tcW w:w="3256" w:type="dxa"/>
            <w:tcBorders>
              <w:bottom w:val="single" w:sz="4" w:space="0" w:color="auto"/>
            </w:tcBorders>
            <w:vAlign w:val="center"/>
          </w:tcPr>
          <w:p w14:paraId="2C96FB38" w14:textId="77777777" w:rsidR="00762A3C" w:rsidRPr="00F47906" w:rsidRDefault="00762A3C" w:rsidP="00D57B2A">
            <w:pPr>
              <w:spacing w:before="60" w:after="60"/>
              <w:jc w:val="left"/>
              <w:rPr>
                <w:rFonts w:cs="Arial"/>
                <w:sz w:val="20"/>
                <w:szCs w:val="20"/>
              </w:rPr>
            </w:pPr>
            <w:r w:rsidRPr="00F47906">
              <w:rPr>
                <w:rFonts w:cs="Arial"/>
                <w:sz w:val="20"/>
                <w:szCs w:val="20"/>
              </w:rPr>
              <w:t>Capital Funding Reserve</w:t>
            </w:r>
          </w:p>
        </w:tc>
        <w:tc>
          <w:tcPr>
            <w:tcW w:w="6378" w:type="dxa"/>
            <w:tcBorders>
              <w:bottom w:val="single" w:sz="4" w:space="0" w:color="auto"/>
            </w:tcBorders>
          </w:tcPr>
          <w:p w14:paraId="373065C4" w14:textId="77777777" w:rsidR="00762A3C" w:rsidRPr="00F47906" w:rsidRDefault="00762A3C" w:rsidP="00D57B2A">
            <w:pPr>
              <w:rPr>
                <w:rFonts w:cs="Arial"/>
                <w:sz w:val="20"/>
                <w:szCs w:val="20"/>
              </w:rPr>
            </w:pPr>
            <w:r w:rsidRPr="00F47906">
              <w:rPr>
                <w:sz w:val="20"/>
                <w:szCs w:val="20"/>
              </w:rPr>
              <w:t>This is to fund capital expenditure in line with the council’s Corporate Plan priorities, as set out in the approved Capital Strategy and Medium-Term Financial Strategy.</w:t>
            </w:r>
          </w:p>
        </w:tc>
      </w:tr>
      <w:tr w:rsidR="00762A3C" w:rsidRPr="00EC06E7" w14:paraId="3FF8118A" w14:textId="77777777" w:rsidTr="00D57B2A">
        <w:trPr>
          <w:trHeight w:val="567"/>
        </w:trPr>
        <w:tc>
          <w:tcPr>
            <w:tcW w:w="3256" w:type="dxa"/>
            <w:tcBorders>
              <w:bottom w:val="single" w:sz="4" w:space="0" w:color="auto"/>
            </w:tcBorders>
            <w:vAlign w:val="center"/>
          </w:tcPr>
          <w:p w14:paraId="274C069A" w14:textId="77777777" w:rsidR="00762A3C" w:rsidRPr="00F47906" w:rsidRDefault="00762A3C" w:rsidP="00D57B2A">
            <w:pPr>
              <w:spacing w:before="60" w:after="60"/>
              <w:jc w:val="left"/>
              <w:rPr>
                <w:rFonts w:cs="Arial"/>
                <w:sz w:val="20"/>
                <w:szCs w:val="20"/>
              </w:rPr>
            </w:pPr>
            <w:r w:rsidRPr="00F47906">
              <w:rPr>
                <w:rFonts w:cs="Arial"/>
                <w:sz w:val="20"/>
                <w:szCs w:val="20"/>
              </w:rPr>
              <w:t>Repairs and Maintenance Fund</w:t>
            </w:r>
          </w:p>
        </w:tc>
        <w:tc>
          <w:tcPr>
            <w:tcW w:w="6378" w:type="dxa"/>
            <w:tcBorders>
              <w:bottom w:val="single" w:sz="4" w:space="0" w:color="auto"/>
            </w:tcBorders>
          </w:tcPr>
          <w:p w14:paraId="2AA61172" w14:textId="77777777" w:rsidR="00762A3C" w:rsidRPr="00F47906" w:rsidRDefault="00762A3C" w:rsidP="00D57B2A">
            <w:pPr>
              <w:rPr>
                <w:rFonts w:cs="Arial"/>
                <w:sz w:val="20"/>
                <w:szCs w:val="20"/>
              </w:rPr>
            </w:pPr>
            <w:r w:rsidRPr="00F47906">
              <w:rPr>
                <w:sz w:val="20"/>
                <w:szCs w:val="20"/>
              </w:rPr>
              <w:t xml:space="preserve">The revenue budget includes an annual provision for the costs of repairs and maintenance of the council’s property assets. The purpose of the reserve is to meet the costs of any major repairs and maintenance works which cannot be met from this base budget. </w:t>
            </w:r>
          </w:p>
        </w:tc>
      </w:tr>
      <w:tr w:rsidR="00762A3C" w:rsidRPr="00EC06E7" w14:paraId="6A0AC3DF" w14:textId="77777777" w:rsidTr="00D57B2A">
        <w:trPr>
          <w:trHeight w:val="567"/>
        </w:trPr>
        <w:tc>
          <w:tcPr>
            <w:tcW w:w="3256" w:type="dxa"/>
            <w:tcBorders>
              <w:bottom w:val="single" w:sz="4" w:space="0" w:color="auto"/>
            </w:tcBorders>
            <w:vAlign w:val="center"/>
          </w:tcPr>
          <w:p w14:paraId="2AC5ADC8" w14:textId="77777777" w:rsidR="00762A3C" w:rsidRPr="00F47906" w:rsidRDefault="00762A3C" w:rsidP="00D57B2A">
            <w:pPr>
              <w:spacing w:before="60" w:after="60"/>
              <w:jc w:val="left"/>
              <w:rPr>
                <w:rFonts w:cs="Arial"/>
                <w:sz w:val="20"/>
                <w:szCs w:val="20"/>
              </w:rPr>
            </w:pPr>
            <w:r w:rsidRPr="00F47906">
              <w:rPr>
                <w:rFonts w:cs="Arial"/>
                <w:sz w:val="20"/>
                <w:szCs w:val="20"/>
              </w:rPr>
              <w:t>Transformation Fund</w:t>
            </w:r>
          </w:p>
        </w:tc>
        <w:tc>
          <w:tcPr>
            <w:tcW w:w="6378" w:type="dxa"/>
            <w:tcBorders>
              <w:bottom w:val="single" w:sz="4" w:space="0" w:color="auto"/>
            </w:tcBorders>
          </w:tcPr>
          <w:p w14:paraId="7CA8928A" w14:textId="77777777" w:rsidR="00762A3C" w:rsidRPr="00F47906" w:rsidRDefault="00762A3C" w:rsidP="00D57B2A">
            <w:pPr>
              <w:rPr>
                <w:rFonts w:cs="Arial"/>
                <w:sz w:val="20"/>
                <w:szCs w:val="20"/>
              </w:rPr>
            </w:pPr>
            <w:r w:rsidRPr="00F47906">
              <w:rPr>
                <w:sz w:val="20"/>
                <w:szCs w:val="20"/>
              </w:rPr>
              <w:t>The purpose of the reserve was to provide funding for projects which will generate a payback into the council’s revenue budget through sustainable income generation and/or recurring cost savings.  The fund has been allocated to the IT Digital Strategy capital costs in the capital programme.</w:t>
            </w:r>
          </w:p>
        </w:tc>
      </w:tr>
      <w:tr w:rsidR="00762A3C" w:rsidRPr="00EC06E7" w14:paraId="2976AE66" w14:textId="77777777" w:rsidTr="00D57B2A">
        <w:trPr>
          <w:trHeight w:val="567"/>
        </w:trPr>
        <w:tc>
          <w:tcPr>
            <w:tcW w:w="3256" w:type="dxa"/>
            <w:tcBorders>
              <w:bottom w:val="single" w:sz="4" w:space="0" w:color="auto"/>
            </w:tcBorders>
            <w:vAlign w:val="center"/>
          </w:tcPr>
          <w:p w14:paraId="3A093913" w14:textId="77777777" w:rsidR="00762A3C" w:rsidRPr="00F47906" w:rsidRDefault="00762A3C" w:rsidP="00D57B2A">
            <w:pPr>
              <w:spacing w:before="60" w:after="60"/>
              <w:jc w:val="left"/>
              <w:rPr>
                <w:rFonts w:cs="Arial"/>
                <w:sz w:val="20"/>
                <w:szCs w:val="20"/>
              </w:rPr>
            </w:pPr>
            <w:r w:rsidRPr="00F47906">
              <w:rPr>
                <w:rFonts w:cs="Arial"/>
                <w:sz w:val="20"/>
                <w:szCs w:val="20"/>
              </w:rPr>
              <w:t>Apprenticeship Reserve</w:t>
            </w:r>
          </w:p>
        </w:tc>
        <w:tc>
          <w:tcPr>
            <w:tcW w:w="6378" w:type="dxa"/>
            <w:tcBorders>
              <w:bottom w:val="single" w:sz="4" w:space="0" w:color="auto"/>
            </w:tcBorders>
          </w:tcPr>
          <w:p w14:paraId="0EDF596F" w14:textId="77777777" w:rsidR="00762A3C" w:rsidRPr="00F47906" w:rsidRDefault="00762A3C" w:rsidP="00D57B2A">
            <w:pPr>
              <w:spacing w:before="60" w:after="60"/>
              <w:rPr>
                <w:rFonts w:cs="Arial"/>
                <w:sz w:val="20"/>
                <w:szCs w:val="20"/>
              </w:rPr>
            </w:pPr>
            <w:r w:rsidRPr="00F47906">
              <w:rPr>
                <w:sz w:val="20"/>
                <w:szCs w:val="20"/>
              </w:rPr>
              <w:t xml:space="preserve">This relates to funding set aside to fund Apprenticeship costs.  The reserve is no longer required because the staffing costs for apprenticeship posts have been built into the base budget.  </w:t>
            </w:r>
            <w:proofErr w:type="gramStart"/>
            <w:r w:rsidRPr="00F47906">
              <w:rPr>
                <w:sz w:val="20"/>
                <w:szCs w:val="20"/>
              </w:rPr>
              <w:t>Therefore</w:t>
            </w:r>
            <w:proofErr w:type="gramEnd"/>
            <w:r w:rsidRPr="00F47906">
              <w:rPr>
                <w:sz w:val="20"/>
                <w:szCs w:val="20"/>
              </w:rPr>
              <w:t xml:space="preserve"> the reserve has been transferred back to the general reserve.</w:t>
            </w:r>
          </w:p>
        </w:tc>
      </w:tr>
      <w:tr w:rsidR="00762A3C" w:rsidRPr="00EC06E7" w14:paraId="5C34C356" w14:textId="77777777" w:rsidTr="00D57B2A">
        <w:trPr>
          <w:trHeight w:val="567"/>
        </w:trPr>
        <w:tc>
          <w:tcPr>
            <w:tcW w:w="3256" w:type="dxa"/>
            <w:tcBorders>
              <w:bottom w:val="single" w:sz="4" w:space="0" w:color="auto"/>
            </w:tcBorders>
            <w:vAlign w:val="center"/>
          </w:tcPr>
          <w:p w14:paraId="490D45F0" w14:textId="77777777" w:rsidR="00762A3C" w:rsidRPr="00F47906" w:rsidRDefault="00762A3C" w:rsidP="00D57B2A">
            <w:pPr>
              <w:spacing w:before="60" w:after="60"/>
              <w:jc w:val="left"/>
              <w:rPr>
                <w:rFonts w:cs="Arial"/>
                <w:sz w:val="20"/>
                <w:szCs w:val="20"/>
              </w:rPr>
            </w:pPr>
            <w:r w:rsidRPr="00F47906">
              <w:rPr>
                <w:rFonts w:cs="Arial"/>
                <w:sz w:val="20"/>
                <w:szCs w:val="20"/>
              </w:rPr>
              <w:t>Climate Change</w:t>
            </w:r>
          </w:p>
        </w:tc>
        <w:tc>
          <w:tcPr>
            <w:tcW w:w="6378" w:type="dxa"/>
            <w:tcBorders>
              <w:bottom w:val="single" w:sz="4" w:space="0" w:color="auto"/>
            </w:tcBorders>
            <w:shd w:val="clear" w:color="auto" w:fill="auto"/>
          </w:tcPr>
          <w:p w14:paraId="1D40DB96" w14:textId="77777777" w:rsidR="00762A3C" w:rsidRPr="00F47906" w:rsidRDefault="00762A3C" w:rsidP="00D57B2A">
            <w:pPr>
              <w:spacing w:before="60" w:after="60"/>
              <w:rPr>
                <w:rFonts w:cs="Arial"/>
                <w:sz w:val="20"/>
                <w:szCs w:val="20"/>
              </w:rPr>
            </w:pPr>
            <w:r w:rsidRPr="00F47906">
              <w:rPr>
                <w:rFonts w:cs="Arial"/>
                <w:sz w:val="20"/>
                <w:szCs w:val="20"/>
              </w:rPr>
              <w:t>To facilitate spending on initiatives that will reduce the council or the borough’s impact on climate change.</w:t>
            </w:r>
          </w:p>
        </w:tc>
      </w:tr>
      <w:tr w:rsidR="00762A3C" w:rsidRPr="00EC06E7" w14:paraId="4F954DD4" w14:textId="77777777" w:rsidTr="00D57B2A">
        <w:trPr>
          <w:trHeight w:val="567"/>
        </w:trPr>
        <w:tc>
          <w:tcPr>
            <w:tcW w:w="3256" w:type="dxa"/>
            <w:tcBorders>
              <w:bottom w:val="single" w:sz="4" w:space="0" w:color="auto"/>
            </w:tcBorders>
            <w:vAlign w:val="center"/>
          </w:tcPr>
          <w:p w14:paraId="6F369CC5" w14:textId="77777777" w:rsidR="00762A3C" w:rsidRPr="00F47906" w:rsidRDefault="00762A3C" w:rsidP="00D57B2A">
            <w:pPr>
              <w:spacing w:before="60" w:after="60"/>
              <w:jc w:val="left"/>
              <w:rPr>
                <w:rFonts w:cs="Arial"/>
                <w:sz w:val="20"/>
                <w:szCs w:val="20"/>
              </w:rPr>
            </w:pPr>
            <w:r w:rsidRPr="00F47906">
              <w:rPr>
                <w:rFonts w:cs="Arial"/>
                <w:sz w:val="20"/>
                <w:szCs w:val="20"/>
              </w:rPr>
              <w:t>Credit Union</w:t>
            </w:r>
          </w:p>
        </w:tc>
        <w:tc>
          <w:tcPr>
            <w:tcW w:w="6378" w:type="dxa"/>
            <w:tcBorders>
              <w:bottom w:val="single" w:sz="4" w:space="0" w:color="auto"/>
            </w:tcBorders>
            <w:shd w:val="clear" w:color="auto" w:fill="auto"/>
          </w:tcPr>
          <w:p w14:paraId="1D292C4D" w14:textId="77777777" w:rsidR="00762A3C" w:rsidRPr="00F47906" w:rsidRDefault="00762A3C" w:rsidP="00D57B2A">
            <w:pPr>
              <w:spacing w:before="60" w:after="60"/>
              <w:rPr>
                <w:rFonts w:cs="Arial"/>
                <w:sz w:val="20"/>
                <w:szCs w:val="20"/>
              </w:rPr>
            </w:pPr>
            <w:r w:rsidRPr="00F47906">
              <w:rPr>
                <w:rFonts w:cs="Arial"/>
                <w:sz w:val="20"/>
                <w:szCs w:val="20"/>
              </w:rPr>
              <w:t>To support the creation of a Credit Union within the borough.</w:t>
            </w:r>
          </w:p>
        </w:tc>
      </w:tr>
      <w:tr w:rsidR="00762A3C" w:rsidRPr="00EC06E7" w14:paraId="37D76A00" w14:textId="77777777" w:rsidTr="00D57B2A">
        <w:trPr>
          <w:trHeight w:val="567"/>
        </w:trPr>
        <w:tc>
          <w:tcPr>
            <w:tcW w:w="3256" w:type="dxa"/>
            <w:tcBorders>
              <w:bottom w:val="single" w:sz="4" w:space="0" w:color="auto"/>
            </w:tcBorders>
            <w:vAlign w:val="center"/>
          </w:tcPr>
          <w:p w14:paraId="2DD79F46" w14:textId="77777777" w:rsidR="00762A3C" w:rsidRPr="00F47906" w:rsidRDefault="00762A3C" w:rsidP="00D57B2A">
            <w:pPr>
              <w:spacing w:before="60" w:after="60"/>
              <w:jc w:val="left"/>
              <w:rPr>
                <w:rFonts w:cs="Arial"/>
                <w:sz w:val="20"/>
                <w:szCs w:val="20"/>
              </w:rPr>
            </w:pPr>
            <w:r w:rsidRPr="00F47906">
              <w:rPr>
                <w:rFonts w:cs="Arial"/>
                <w:sz w:val="20"/>
                <w:szCs w:val="20"/>
              </w:rPr>
              <w:t>CIL Administration Fund</w:t>
            </w:r>
          </w:p>
        </w:tc>
        <w:tc>
          <w:tcPr>
            <w:tcW w:w="6378" w:type="dxa"/>
            <w:tcBorders>
              <w:bottom w:val="single" w:sz="4" w:space="0" w:color="auto"/>
            </w:tcBorders>
            <w:shd w:val="clear" w:color="auto" w:fill="auto"/>
          </w:tcPr>
          <w:p w14:paraId="4406116D" w14:textId="77777777" w:rsidR="00762A3C" w:rsidRPr="00F47906" w:rsidRDefault="00762A3C" w:rsidP="00D57B2A">
            <w:pPr>
              <w:spacing w:before="60" w:after="60"/>
              <w:rPr>
                <w:rFonts w:cs="Arial"/>
                <w:sz w:val="20"/>
                <w:szCs w:val="20"/>
              </w:rPr>
            </w:pPr>
            <w:r w:rsidRPr="00F47906">
              <w:rPr>
                <w:rFonts w:cs="Arial"/>
                <w:sz w:val="20"/>
                <w:szCs w:val="20"/>
              </w:rPr>
              <w:t>This reserve was created in 2019-20 using the proportion of Community Infrastructure Levy (CIL) which the council is entitled to retain in respect of administration costs.  The reserve was released in 2020-21 to reflect the funding of historic costs in administering CIL.</w:t>
            </w:r>
          </w:p>
        </w:tc>
      </w:tr>
      <w:tr w:rsidR="00762A3C" w:rsidRPr="00EC06E7" w14:paraId="72DE3E7C" w14:textId="77777777" w:rsidTr="00D57B2A">
        <w:trPr>
          <w:trHeight w:val="567"/>
        </w:trPr>
        <w:tc>
          <w:tcPr>
            <w:tcW w:w="3256" w:type="dxa"/>
            <w:tcBorders>
              <w:bottom w:val="single" w:sz="4" w:space="0" w:color="auto"/>
            </w:tcBorders>
          </w:tcPr>
          <w:p w14:paraId="5E0A4EF3" w14:textId="77777777" w:rsidR="00762A3C" w:rsidRPr="00F47906" w:rsidRDefault="00762A3C" w:rsidP="00D57B2A">
            <w:pPr>
              <w:spacing w:before="60" w:after="60"/>
              <w:jc w:val="left"/>
              <w:rPr>
                <w:rFonts w:cs="Arial"/>
                <w:sz w:val="20"/>
                <w:szCs w:val="20"/>
              </w:rPr>
            </w:pPr>
            <w:r w:rsidRPr="00F47906">
              <w:rPr>
                <w:sz w:val="20"/>
                <w:szCs w:val="20"/>
              </w:rPr>
              <w:t>Asset Management</w:t>
            </w:r>
          </w:p>
        </w:tc>
        <w:tc>
          <w:tcPr>
            <w:tcW w:w="6378" w:type="dxa"/>
            <w:tcBorders>
              <w:bottom w:val="single" w:sz="4" w:space="0" w:color="auto"/>
            </w:tcBorders>
            <w:shd w:val="clear" w:color="auto" w:fill="auto"/>
          </w:tcPr>
          <w:p w14:paraId="4C83AF05" w14:textId="77777777" w:rsidR="00762A3C" w:rsidRPr="00F47906" w:rsidRDefault="00762A3C" w:rsidP="00D57B2A">
            <w:pPr>
              <w:spacing w:before="60" w:after="60"/>
              <w:rPr>
                <w:rFonts w:cs="Arial"/>
                <w:sz w:val="20"/>
                <w:szCs w:val="20"/>
              </w:rPr>
            </w:pPr>
            <w:r w:rsidRPr="00F47906">
              <w:rPr>
                <w:rFonts w:cs="Arial"/>
                <w:sz w:val="20"/>
                <w:szCs w:val="20"/>
              </w:rPr>
              <w:t>To fund potential future maintenance costs and part-fund future capital expenditure on short-life assets such as ICT and vehicles.</w:t>
            </w:r>
          </w:p>
        </w:tc>
      </w:tr>
      <w:tr w:rsidR="00762A3C" w:rsidRPr="00EC06E7" w14:paraId="66D1EB23" w14:textId="77777777" w:rsidTr="00D57B2A">
        <w:trPr>
          <w:trHeight w:val="567"/>
        </w:trPr>
        <w:tc>
          <w:tcPr>
            <w:tcW w:w="3256" w:type="dxa"/>
            <w:tcBorders>
              <w:bottom w:val="single" w:sz="4" w:space="0" w:color="auto"/>
            </w:tcBorders>
          </w:tcPr>
          <w:p w14:paraId="53101BEC" w14:textId="77777777" w:rsidR="00762A3C" w:rsidRPr="00F47906" w:rsidRDefault="00762A3C" w:rsidP="00D57B2A">
            <w:pPr>
              <w:spacing w:before="60" w:after="60"/>
              <w:jc w:val="left"/>
              <w:rPr>
                <w:rFonts w:cs="Arial"/>
                <w:sz w:val="20"/>
                <w:szCs w:val="20"/>
              </w:rPr>
            </w:pPr>
            <w:r w:rsidRPr="00F47906">
              <w:rPr>
                <w:sz w:val="20"/>
                <w:szCs w:val="20"/>
              </w:rPr>
              <w:t>Business Grants Reserve</w:t>
            </w:r>
          </w:p>
        </w:tc>
        <w:tc>
          <w:tcPr>
            <w:tcW w:w="6378" w:type="dxa"/>
            <w:tcBorders>
              <w:bottom w:val="single" w:sz="4" w:space="0" w:color="auto"/>
            </w:tcBorders>
            <w:shd w:val="clear" w:color="auto" w:fill="auto"/>
          </w:tcPr>
          <w:p w14:paraId="2C0C16C2" w14:textId="77777777" w:rsidR="00762A3C" w:rsidRPr="00F47906" w:rsidRDefault="00762A3C" w:rsidP="00D57B2A">
            <w:pPr>
              <w:spacing w:before="60" w:after="60"/>
              <w:rPr>
                <w:rFonts w:cs="Arial"/>
                <w:sz w:val="20"/>
                <w:szCs w:val="20"/>
              </w:rPr>
            </w:pPr>
            <w:r w:rsidRPr="00F47906">
              <w:rPr>
                <w:rFonts w:cs="Arial"/>
                <w:sz w:val="20"/>
                <w:szCs w:val="20"/>
              </w:rPr>
              <w:t>To deliver an extended programme of support for businesses beyond government grants to ensure that the council is doing as much as possible to help businesses get back on their feet.</w:t>
            </w:r>
          </w:p>
        </w:tc>
      </w:tr>
      <w:tr w:rsidR="00762A3C" w:rsidRPr="00EC06E7" w14:paraId="68608969" w14:textId="77777777" w:rsidTr="00D57B2A">
        <w:trPr>
          <w:trHeight w:val="567"/>
        </w:trPr>
        <w:tc>
          <w:tcPr>
            <w:tcW w:w="3256" w:type="dxa"/>
            <w:tcBorders>
              <w:bottom w:val="single" w:sz="4" w:space="0" w:color="auto"/>
            </w:tcBorders>
          </w:tcPr>
          <w:p w14:paraId="1E3695AD" w14:textId="77777777" w:rsidR="00762A3C" w:rsidRPr="00F47906" w:rsidRDefault="00762A3C" w:rsidP="00D57B2A">
            <w:pPr>
              <w:spacing w:before="60" w:after="60"/>
              <w:jc w:val="left"/>
              <w:rPr>
                <w:rFonts w:cs="Arial"/>
                <w:sz w:val="20"/>
                <w:szCs w:val="20"/>
              </w:rPr>
            </w:pPr>
            <w:r w:rsidRPr="00F47906">
              <w:rPr>
                <w:sz w:val="20"/>
                <w:szCs w:val="20"/>
              </w:rPr>
              <w:t>Community Wealth Building</w:t>
            </w:r>
          </w:p>
        </w:tc>
        <w:tc>
          <w:tcPr>
            <w:tcW w:w="6378" w:type="dxa"/>
            <w:tcBorders>
              <w:bottom w:val="single" w:sz="4" w:space="0" w:color="auto"/>
            </w:tcBorders>
            <w:shd w:val="clear" w:color="auto" w:fill="auto"/>
          </w:tcPr>
          <w:p w14:paraId="2F18E045" w14:textId="77777777" w:rsidR="00762A3C" w:rsidRPr="00F47906" w:rsidRDefault="00762A3C" w:rsidP="00D57B2A">
            <w:pPr>
              <w:spacing w:before="60" w:after="60"/>
              <w:rPr>
                <w:rFonts w:cs="Arial"/>
                <w:sz w:val="20"/>
                <w:szCs w:val="20"/>
              </w:rPr>
            </w:pPr>
            <w:r w:rsidRPr="00F47906">
              <w:rPr>
                <w:rFonts w:cs="Arial"/>
                <w:sz w:val="20"/>
                <w:szCs w:val="20"/>
              </w:rPr>
              <w:t>To implement a plan to retain wealth and grow the local economy through a progressive procurement framework and social value policies.</w:t>
            </w:r>
          </w:p>
        </w:tc>
      </w:tr>
      <w:tr w:rsidR="00762A3C" w:rsidRPr="00EC06E7" w14:paraId="56ADFBDB" w14:textId="77777777" w:rsidTr="00D57B2A">
        <w:trPr>
          <w:trHeight w:val="567"/>
        </w:trPr>
        <w:tc>
          <w:tcPr>
            <w:tcW w:w="3256" w:type="dxa"/>
            <w:tcBorders>
              <w:bottom w:val="single" w:sz="4" w:space="0" w:color="auto"/>
            </w:tcBorders>
          </w:tcPr>
          <w:p w14:paraId="5A8472E2" w14:textId="77777777" w:rsidR="00762A3C" w:rsidRPr="00F47906" w:rsidRDefault="00762A3C" w:rsidP="00D57B2A">
            <w:pPr>
              <w:spacing w:before="60" w:after="60"/>
              <w:jc w:val="left"/>
              <w:rPr>
                <w:rFonts w:cs="Arial"/>
                <w:sz w:val="20"/>
                <w:szCs w:val="20"/>
              </w:rPr>
            </w:pPr>
            <w:r w:rsidRPr="00F47906">
              <w:rPr>
                <w:sz w:val="20"/>
                <w:szCs w:val="20"/>
              </w:rPr>
              <w:t>Mental Health for Young People</w:t>
            </w:r>
          </w:p>
        </w:tc>
        <w:tc>
          <w:tcPr>
            <w:tcW w:w="6378" w:type="dxa"/>
            <w:tcBorders>
              <w:bottom w:val="single" w:sz="4" w:space="0" w:color="auto"/>
            </w:tcBorders>
            <w:shd w:val="clear" w:color="auto" w:fill="auto"/>
          </w:tcPr>
          <w:p w14:paraId="26383DF7" w14:textId="77777777" w:rsidR="00762A3C" w:rsidRPr="00F47906" w:rsidRDefault="00762A3C" w:rsidP="00D57B2A">
            <w:pPr>
              <w:spacing w:before="60" w:after="60"/>
              <w:rPr>
                <w:rFonts w:cs="Arial"/>
                <w:sz w:val="20"/>
                <w:szCs w:val="20"/>
              </w:rPr>
            </w:pPr>
            <w:r w:rsidRPr="00F47906">
              <w:rPr>
                <w:rFonts w:cs="Arial"/>
                <w:sz w:val="20"/>
                <w:szCs w:val="20"/>
              </w:rPr>
              <w:t>To support positive mental health for young people through officer resource to deliver a programme of early intervention activity.</w:t>
            </w:r>
          </w:p>
        </w:tc>
      </w:tr>
      <w:tr w:rsidR="00762A3C" w:rsidRPr="00EC06E7" w14:paraId="676A9F9B" w14:textId="77777777" w:rsidTr="00D57B2A">
        <w:trPr>
          <w:trHeight w:val="567"/>
        </w:trPr>
        <w:tc>
          <w:tcPr>
            <w:tcW w:w="3256" w:type="dxa"/>
            <w:tcBorders>
              <w:bottom w:val="single" w:sz="4" w:space="0" w:color="auto"/>
            </w:tcBorders>
          </w:tcPr>
          <w:p w14:paraId="6BA3D334" w14:textId="77777777" w:rsidR="00762A3C" w:rsidRPr="00F47906" w:rsidRDefault="00762A3C" w:rsidP="00D57B2A">
            <w:pPr>
              <w:spacing w:before="60" w:after="60"/>
              <w:jc w:val="left"/>
              <w:rPr>
                <w:rFonts w:cs="Arial"/>
                <w:sz w:val="20"/>
                <w:szCs w:val="20"/>
              </w:rPr>
            </w:pPr>
            <w:proofErr w:type="spellStart"/>
            <w:r w:rsidRPr="00F47906">
              <w:rPr>
                <w:sz w:val="20"/>
                <w:szCs w:val="20"/>
              </w:rPr>
              <w:t>Covid</w:t>
            </w:r>
            <w:proofErr w:type="spellEnd"/>
            <w:r w:rsidRPr="00F47906">
              <w:rPr>
                <w:sz w:val="20"/>
                <w:szCs w:val="20"/>
              </w:rPr>
              <w:t xml:space="preserve"> Recovery Fund</w:t>
            </w:r>
          </w:p>
        </w:tc>
        <w:tc>
          <w:tcPr>
            <w:tcW w:w="6378" w:type="dxa"/>
            <w:tcBorders>
              <w:bottom w:val="single" w:sz="4" w:space="0" w:color="auto"/>
            </w:tcBorders>
            <w:shd w:val="clear" w:color="auto" w:fill="auto"/>
          </w:tcPr>
          <w:p w14:paraId="06EA5925" w14:textId="77777777" w:rsidR="00762A3C" w:rsidRPr="00F47906" w:rsidRDefault="00762A3C" w:rsidP="00D57B2A">
            <w:pPr>
              <w:spacing w:before="60" w:after="60"/>
              <w:rPr>
                <w:rFonts w:cs="Arial"/>
                <w:sz w:val="20"/>
                <w:szCs w:val="20"/>
              </w:rPr>
            </w:pPr>
            <w:r w:rsidRPr="00F47906">
              <w:rPr>
                <w:rFonts w:cs="Arial"/>
                <w:sz w:val="20"/>
                <w:szCs w:val="20"/>
              </w:rPr>
              <w:t>To support the borough’s recovery from covid-19</w:t>
            </w:r>
          </w:p>
        </w:tc>
      </w:tr>
      <w:tr w:rsidR="00762A3C" w:rsidRPr="00EC06E7" w14:paraId="100396D3" w14:textId="77777777" w:rsidTr="00D57B2A">
        <w:trPr>
          <w:trHeight w:val="567"/>
        </w:trPr>
        <w:tc>
          <w:tcPr>
            <w:tcW w:w="3256" w:type="dxa"/>
            <w:tcBorders>
              <w:bottom w:val="single" w:sz="4" w:space="0" w:color="auto"/>
            </w:tcBorders>
          </w:tcPr>
          <w:p w14:paraId="0079DBDF" w14:textId="77777777" w:rsidR="00762A3C" w:rsidRPr="00F47906" w:rsidRDefault="00762A3C" w:rsidP="00D57B2A">
            <w:pPr>
              <w:spacing w:before="60" w:after="60"/>
              <w:jc w:val="left"/>
              <w:rPr>
                <w:rFonts w:cs="Arial"/>
                <w:sz w:val="20"/>
                <w:szCs w:val="20"/>
              </w:rPr>
            </w:pPr>
            <w:proofErr w:type="spellStart"/>
            <w:r w:rsidRPr="00F47906">
              <w:rPr>
                <w:sz w:val="20"/>
                <w:szCs w:val="20"/>
              </w:rPr>
              <w:t>Covid</w:t>
            </w:r>
            <w:proofErr w:type="spellEnd"/>
            <w:r w:rsidRPr="00F47906">
              <w:rPr>
                <w:sz w:val="20"/>
                <w:szCs w:val="20"/>
              </w:rPr>
              <w:t xml:space="preserve"> Commitments</w:t>
            </w:r>
          </w:p>
        </w:tc>
        <w:tc>
          <w:tcPr>
            <w:tcW w:w="6378" w:type="dxa"/>
            <w:tcBorders>
              <w:bottom w:val="single" w:sz="4" w:space="0" w:color="auto"/>
            </w:tcBorders>
            <w:shd w:val="clear" w:color="auto" w:fill="auto"/>
          </w:tcPr>
          <w:p w14:paraId="5DF4B654" w14:textId="77777777" w:rsidR="00762A3C" w:rsidRPr="00F47906" w:rsidRDefault="00762A3C" w:rsidP="00D57B2A">
            <w:pPr>
              <w:spacing w:before="60" w:after="60"/>
              <w:rPr>
                <w:rFonts w:cs="Arial"/>
                <w:sz w:val="20"/>
                <w:szCs w:val="20"/>
              </w:rPr>
            </w:pPr>
            <w:r w:rsidRPr="00F47906">
              <w:rPr>
                <w:rFonts w:cs="Arial"/>
                <w:sz w:val="20"/>
                <w:szCs w:val="20"/>
              </w:rPr>
              <w:t>To cover existing Covid-19 commitments which will only be incurred in 21/22.</w:t>
            </w:r>
          </w:p>
        </w:tc>
      </w:tr>
      <w:tr w:rsidR="00762A3C" w:rsidRPr="00EC06E7" w14:paraId="633BCBA2" w14:textId="77777777" w:rsidTr="00D57B2A">
        <w:trPr>
          <w:trHeight w:val="567"/>
        </w:trPr>
        <w:tc>
          <w:tcPr>
            <w:tcW w:w="3256" w:type="dxa"/>
            <w:tcBorders>
              <w:bottom w:val="single" w:sz="4" w:space="0" w:color="auto"/>
            </w:tcBorders>
          </w:tcPr>
          <w:p w14:paraId="74BDE794" w14:textId="77777777" w:rsidR="00762A3C" w:rsidRPr="00F47906" w:rsidRDefault="00762A3C" w:rsidP="00D57B2A">
            <w:pPr>
              <w:spacing w:before="60" w:after="60"/>
              <w:jc w:val="left"/>
              <w:rPr>
                <w:rFonts w:cs="Arial"/>
                <w:sz w:val="20"/>
                <w:szCs w:val="20"/>
              </w:rPr>
            </w:pPr>
            <w:r w:rsidRPr="00F47906">
              <w:rPr>
                <w:sz w:val="20"/>
                <w:szCs w:val="20"/>
              </w:rPr>
              <w:t>Income Equalisation</w:t>
            </w:r>
          </w:p>
        </w:tc>
        <w:tc>
          <w:tcPr>
            <w:tcW w:w="6378" w:type="dxa"/>
            <w:tcBorders>
              <w:bottom w:val="single" w:sz="4" w:space="0" w:color="auto"/>
            </w:tcBorders>
            <w:shd w:val="clear" w:color="auto" w:fill="auto"/>
          </w:tcPr>
          <w:p w14:paraId="346A0B2F" w14:textId="0A8BA02F" w:rsidR="00762A3C" w:rsidRPr="00F47906" w:rsidRDefault="00762A3C" w:rsidP="00D57B2A">
            <w:pPr>
              <w:spacing w:before="60" w:after="60"/>
              <w:rPr>
                <w:rFonts w:cs="Arial"/>
                <w:sz w:val="20"/>
                <w:szCs w:val="20"/>
              </w:rPr>
            </w:pPr>
            <w:r w:rsidRPr="00F47906">
              <w:rPr>
                <w:rFonts w:cs="Arial"/>
                <w:sz w:val="20"/>
                <w:szCs w:val="20"/>
              </w:rPr>
              <w:t xml:space="preserve">To cover any potential temporary reliefs and losses on investment income over the recovery period from </w:t>
            </w:r>
            <w:r w:rsidR="001E453A">
              <w:rPr>
                <w:rFonts w:cs="Arial"/>
                <w:sz w:val="20"/>
                <w:szCs w:val="20"/>
              </w:rPr>
              <w:t>C</w:t>
            </w:r>
            <w:r w:rsidRPr="00F47906">
              <w:rPr>
                <w:rFonts w:cs="Arial"/>
                <w:sz w:val="20"/>
                <w:szCs w:val="20"/>
              </w:rPr>
              <w:t>ovid-19.</w:t>
            </w:r>
          </w:p>
        </w:tc>
      </w:tr>
      <w:tr w:rsidR="00762A3C" w:rsidRPr="00EC06E7" w14:paraId="35AFFD7A" w14:textId="77777777" w:rsidTr="00D57B2A">
        <w:trPr>
          <w:trHeight w:val="567"/>
        </w:trPr>
        <w:tc>
          <w:tcPr>
            <w:tcW w:w="3256" w:type="dxa"/>
            <w:tcBorders>
              <w:bottom w:val="single" w:sz="4" w:space="0" w:color="auto"/>
            </w:tcBorders>
          </w:tcPr>
          <w:p w14:paraId="08000396" w14:textId="77777777" w:rsidR="00762A3C" w:rsidRPr="00F47906" w:rsidRDefault="00762A3C" w:rsidP="00D57B2A">
            <w:pPr>
              <w:spacing w:before="60" w:after="60"/>
              <w:jc w:val="left"/>
              <w:rPr>
                <w:rFonts w:cs="Arial"/>
                <w:sz w:val="20"/>
                <w:szCs w:val="20"/>
              </w:rPr>
            </w:pPr>
            <w:r w:rsidRPr="00F47906">
              <w:rPr>
                <w:sz w:val="20"/>
                <w:szCs w:val="20"/>
              </w:rPr>
              <w:t>Leisure Reserve</w:t>
            </w:r>
          </w:p>
        </w:tc>
        <w:tc>
          <w:tcPr>
            <w:tcW w:w="6378" w:type="dxa"/>
            <w:tcBorders>
              <w:bottom w:val="single" w:sz="4" w:space="0" w:color="auto"/>
            </w:tcBorders>
            <w:shd w:val="clear" w:color="auto" w:fill="auto"/>
          </w:tcPr>
          <w:p w14:paraId="03963D08" w14:textId="77777777" w:rsidR="00762A3C" w:rsidRPr="00F47906" w:rsidRDefault="00762A3C" w:rsidP="00D57B2A">
            <w:pPr>
              <w:spacing w:before="60" w:after="60"/>
              <w:rPr>
                <w:rFonts w:cs="Arial"/>
                <w:sz w:val="20"/>
                <w:szCs w:val="20"/>
              </w:rPr>
            </w:pPr>
            <w:r w:rsidRPr="00F47906">
              <w:rPr>
                <w:rFonts w:cs="Arial"/>
                <w:sz w:val="20"/>
                <w:szCs w:val="20"/>
              </w:rPr>
              <w:t>To fund one-off costs associated with bringing the leisure service in-house and then transferring it to a newly created trading company, and to offset expected deficits in the first year of operation.</w:t>
            </w:r>
          </w:p>
        </w:tc>
      </w:tr>
      <w:tr w:rsidR="00762A3C" w:rsidRPr="00EC06E7" w14:paraId="2029380E" w14:textId="77777777" w:rsidTr="00D57B2A">
        <w:trPr>
          <w:trHeight w:val="567"/>
        </w:trPr>
        <w:tc>
          <w:tcPr>
            <w:tcW w:w="3256" w:type="dxa"/>
            <w:tcBorders>
              <w:bottom w:val="single" w:sz="4" w:space="0" w:color="auto"/>
            </w:tcBorders>
          </w:tcPr>
          <w:p w14:paraId="3B9BF32F" w14:textId="77777777" w:rsidR="00762A3C" w:rsidRPr="00F47906" w:rsidRDefault="00762A3C" w:rsidP="00D57B2A">
            <w:pPr>
              <w:spacing w:before="60" w:after="60"/>
              <w:jc w:val="left"/>
              <w:rPr>
                <w:rFonts w:cs="Arial"/>
                <w:sz w:val="20"/>
                <w:szCs w:val="20"/>
              </w:rPr>
            </w:pPr>
            <w:r w:rsidRPr="00F47906">
              <w:rPr>
                <w:sz w:val="20"/>
                <w:szCs w:val="20"/>
              </w:rPr>
              <w:t>Income Investment Reserve</w:t>
            </w:r>
          </w:p>
        </w:tc>
        <w:tc>
          <w:tcPr>
            <w:tcW w:w="6378" w:type="dxa"/>
            <w:tcBorders>
              <w:bottom w:val="single" w:sz="4" w:space="0" w:color="auto"/>
            </w:tcBorders>
            <w:shd w:val="clear" w:color="auto" w:fill="auto"/>
          </w:tcPr>
          <w:p w14:paraId="68CD1EF3" w14:textId="77777777" w:rsidR="00762A3C" w:rsidRPr="00F47906" w:rsidRDefault="00762A3C" w:rsidP="00D57B2A">
            <w:pPr>
              <w:spacing w:before="60" w:after="60"/>
              <w:rPr>
                <w:rFonts w:cs="Arial"/>
                <w:sz w:val="20"/>
                <w:szCs w:val="20"/>
              </w:rPr>
            </w:pPr>
            <w:r w:rsidRPr="00F47906">
              <w:rPr>
                <w:rFonts w:cs="Arial"/>
                <w:sz w:val="20"/>
                <w:szCs w:val="20"/>
              </w:rPr>
              <w:t>To fund the costs of developing new income generation projects which may not be able to be capitalised.</w:t>
            </w:r>
          </w:p>
        </w:tc>
      </w:tr>
      <w:tr w:rsidR="00762A3C" w:rsidRPr="00EC06E7" w14:paraId="240EC3E7" w14:textId="77777777" w:rsidTr="00D57B2A">
        <w:trPr>
          <w:trHeight w:val="567"/>
        </w:trPr>
        <w:tc>
          <w:tcPr>
            <w:tcW w:w="3256" w:type="dxa"/>
            <w:tcBorders>
              <w:bottom w:val="single" w:sz="4" w:space="0" w:color="auto"/>
            </w:tcBorders>
          </w:tcPr>
          <w:p w14:paraId="68583A83" w14:textId="77777777" w:rsidR="00762A3C" w:rsidRPr="00F47906" w:rsidRDefault="00762A3C" w:rsidP="00D57B2A">
            <w:pPr>
              <w:spacing w:before="60" w:after="60"/>
              <w:jc w:val="left"/>
              <w:rPr>
                <w:rFonts w:cs="Arial"/>
                <w:sz w:val="20"/>
                <w:szCs w:val="20"/>
              </w:rPr>
            </w:pPr>
            <w:r w:rsidRPr="00F47906">
              <w:rPr>
                <w:sz w:val="20"/>
                <w:szCs w:val="20"/>
              </w:rPr>
              <w:t>Collection Fund Deficit Distribution Fund</w:t>
            </w:r>
          </w:p>
        </w:tc>
        <w:tc>
          <w:tcPr>
            <w:tcW w:w="6378" w:type="dxa"/>
            <w:tcBorders>
              <w:bottom w:val="single" w:sz="4" w:space="0" w:color="auto"/>
            </w:tcBorders>
            <w:shd w:val="clear" w:color="auto" w:fill="auto"/>
          </w:tcPr>
          <w:p w14:paraId="1BC9B418" w14:textId="241763EE" w:rsidR="00762A3C" w:rsidRPr="00F47906" w:rsidRDefault="00762A3C" w:rsidP="00D57B2A">
            <w:pPr>
              <w:spacing w:before="60" w:after="60"/>
              <w:rPr>
                <w:rFonts w:cs="Arial"/>
                <w:sz w:val="20"/>
                <w:szCs w:val="20"/>
              </w:rPr>
            </w:pPr>
            <w:r w:rsidRPr="00F47906">
              <w:rPr>
                <w:rFonts w:cs="Arial"/>
                <w:sz w:val="20"/>
                <w:szCs w:val="20"/>
              </w:rPr>
              <w:t xml:space="preserve">In 2020-21, because of the Government support measures in respect of the </w:t>
            </w:r>
            <w:proofErr w:type="spellStart"/>
            <w:r w:rsidRPr="00F47906">
              <w:rPr>
                <w:rFonts w:cs="Arial"/>
                <w:sz w:val="20"/>
                <w:szCs w:val="20"/>
              </w:rPr>
              <w:t>Covid</w:t>
            </w:r>
            <w:proofErr w:type="spellEnd"/>
            <w:r w:rsidRPr="00F47906">
              <w:rPr>
                <w:rFonts w:cs="Arial"/>
                <w:sz w:val="20"/>
                <w:szCs w:val="20"/>
              </w:rPr>
              <w:t xml:space="preserve"> 19 pandemic, the balance of income relating the Business Rates, between actual rates income and government grants, shifted significantly towards grants. The result was a surplus of £5.10</w:t>
            </w:r>
            <w:r w:rsidR="00203EC1">
              <w:rPr>
                <w:rFonts w:cs="Arial"/>
                <w:sz w:val="20"/>
                <w:szCs w:val="20"/>
              </w:rPr>
              <w:t>7</w:t>
            </w:r>
            <w:r w:rsidRPr="00F47906">
              <w:rPr>
                <w:rFonts w:cs="Arial"/>
                <w:sz w:val="20"/>
                <w:szCs w:val="20"/>
              </w:rPr>
              <w:t>m in grant income, offset by a corresponding deficit on the Collection Fund. But whereas the surplus falls immediately into 2020-21, the impact of the Council’s share of the deficit will not be felt until 2021-22 and later years. The surplus has therefore been set aside to meet this. There are also smaller deficits, in respect of both Council Tax and Business Rates, which have arisen from the more general effects of the pandemic. Further grants, totalling £136k, have been received to cover a part of these.</w:t>
            </w:r>
            <w:r w:rsidR="00203EC1">
              <w:rPr>
                <w:rFonts w:cs="Arial"/>
                <w:sz w:val="20"/>
                <w:szCs w:val="20"/>
              </w:rPr>
              <w:t xml:space="preserve"> (See also under Note 14.)</w:t>
            </w:r>
          </w:p>
        </w:tc>
      </w:tr>
      <w:tr w:rsidR="00762A3C" w:rsidRPr="00EC06E7" w14:paraId="78BA21E7" w14:textId="77777777" w:rsidTr="00D57B2A">
        <w:trPr>
          <w:trHeight w:val="567"/>
        </w:trPr>
        <w:tc>
          <w:tcPr>
            <w:tcW w:w="3256" w:type="dxa"/>
            <w:tcBorders>
              <w:bottom w:val="single" w:sz="4" w:space="0" w:color="auto"/>
            </w:tcBorders>
            <w:vAlign w:val="center"/>
          </w:tcPr>
          <w:p w14:paraId="657E3DD2" w14:textId="77777777" w:rsidR="00762A3C" w:rsidRPr="00F47906" w:rsidRDefault="00762A3C" w:rsidP="00D57B2A">
            <w:pPr>
              <w:spacing w:before="60" w:after="60"/>
              <w:jc w:val="left"/>
              <w:rPr>
                <w:rFonts w:cs="Arial"/>
                <w:sz w:val="20"/>
                <w:szCs w:val="20"/>
              </w:rPr>
            </w:pPr>
            <w:r w:rsidRPr="00F47906">
              <w:rPr>
                <w:rFonts w:cs="Arial"/>
                <w:sz w:val="20"/>
                <w:szCs w:val="20"/>
              </w:rPr>
              <w:t>Other</w:t>
            </w:r>
          </w:p>
        </w:tc>
        <w:tc>
          <w:tcPr>
            <w:tcW w:w="6378" w:type="dxa"/>
            <w:tcBorders>
              <w:bottom w:val="single" w:sz="4" w:space="0" w:color="auto"/>
            </w:tcBorders>
          </w:tcPr>
          <w:p w14:paraId="37169760" w14:textId="77777777" w:rsidR="00762A3C" w:rsidRPr="00F47906" w:rsidRDefault="00762A3C" w:rsidP="00D57B2A">
            <w:pPr>
              <w:spacing w:before="60" w:after="60"/>
              <w:rPr>
                <w:rFonts w:cs="Arial"/>
                <w:sz w:val="20"/>
                <w:szCs w:val="20"/>
              </w:rPr>
            </w:pPr>
            <w:r w:rsidRPr="00F47906">
              <w:rPr>
                <w:rFonts w:cs="Arial"/>
                <w:sz w:val="20"/>
                <w:szCs w:val="20"/>
              </w:rPr>
              <w:t>This reserve comprises three elements: approved carry forwards of underspends that have not yet been allocated, surplus income relating to Sports Development service, and miscellaneous ring-fenced grant income specific to certain service areas.</w:t>
            </w:r>
          </w:p>
        </w:tc>
      </w:tr>
    </w:tbl>
    <w:p w14:paraId="7C6C020E" w14:textId="5697CD25" w:rsidR="00762A3C" w:rsidRPr="00762A3C" w:rsidRDefault="00762A3C" w:rsidP="00753673">
      <w:pPr>
        <w:rPr>
          <w:rFonts w:cs="Courier New"/>
          <w:bCs/>
          <w:szCs w:val="22"/>
        </w:rPr>
      </w:pPr>
    </w:p>
    <w:p w14:paraId="7A0D8633" w14:textId="77777777" w:rsidR="00563587" w:rsidRPr="00EC06E7" w:rsidRDefault="00563587" w:rsidP="00EF21B5"/>
    <w:p w14:paraId="73E25BDE" w14:textId="77777777" w:rsidR="009E046E" w:rsidRDefault="009E046E">
      <w:pPr>
        <w:jc w:val="left"/>
      </w:pPr>
      <w:r>
        <w:br w:type="page"/>
      </w:r>
    </w:p>
    <w:p w14:paraId="4DEB51E7" w14:textId="77777777" w:rsidR="00EF21B5" w:rsidRPr="00EC06E7" w:rsidRDefault="00EF21B5" w:rsidP="00EF21B5"/>
    <w:p w14:paraId="57B1E74E" w14:textId="77777777" w:rsidR="00C8113E" w:rsidRPr="001422EA" w:rsidRDefault="006E1448" w:rsidP="004E5A07">
      <w:pPr>
        <w:pStyle w:val="Heading2"/>
      </w:pPr>
      <w:bookmarkStart w:id="71" w:name="_Toc483390977"/>
      <w:bookmarkStart w:id="72" w:name="_Ref483392448"/>
      <w:bookmarkStart w:id="73" w:name="_Toc77603787"/>
      <w:r w:rsidRPr="001422EA">
        <w:t>Other operating expenditure</w:t>
      </w:r>
      <w:bookmarkEnd w:id="71"/>
      <w:bookmarkEnd w:id="72"/>
      <w:bookmarkEnd w:id="73"/>
    </w:p>
    <w:p w14:paraId="5F0373C0" w14:textId="40F48EF8" w:rsidR="00C8113E" w:rsidRDefault="00C8113E" w:rsidP="00C8113E">
      <w:pPr>
        <w:ind w:left="360" w:hanging="360"/>
        <w:rPr>
          <w:rFonts w:cs="Courier New"/>
          <w:szCs w:val="22"/>
        </w:rPr>
      </w:pPr>
    </w:p>
    <w:p w14:paraId="011D973D" w14:textId="4DE67C4D" w:rsidR="00FE73BF" w:rsidRDefault="00536401" w:rsidP="00C8113E">
      <w:pPr>
        <w:ind w:left="360" w:hanging="360"/>
        <w:rPr>
          <w:rFonts w:cs="Courier New"/>
          <w:szCs w:val="22"/>
        </w:rPr>
      </w:pPr>
      <w:r>
        <w:rPr>
          <w:rFonts w:cs="Courier New"/>
          <w:szCs w:val="22"/>
        </w:rPr>
        <w:fldChar w:fldCharType="begin"/>
      </w:r>
      <w:r>
        <w:rPr>
          <w:rFonts w:cs="Courier New"/>
          <w:szCs w:val="22"/>
        </w:rPr>
        <w:instrText xml:space="preserve"> LINK Excel.Sheet.12 "\\\\alpha\\accounts$\\CLOSURE\\Closure 20-21\\04 SoA Working Papers\\12 OOE\\Note 12 Other Operating Expenditure 2020-21.xlsx!Embedded Table!R2C1:R7C3" "" \a \p </w:instrText>
      </w:r>
      <w:r>
        <w:rPr>
          <w:rFonts w:cs="Courier New"/>
          <w:szCs w:val="22"/>
        </w:rPr>
        <w:fldChar w:fldCharType="separate"/>
      </w:r>
      <w:r w:rsidR="001C71EF">
        <w:rPr>
          <w:rFonts w:cs="Courier New"/>
          <w:szCs w:val="22"/>
        </w:rPr>
        <w:object w:dxaOrig="10995" w:dyaOrig="1795" w14:anchorId="5906B175">
          <v:shape id="_x0000_i1037" type="#_x0000_t75" style="width:489.75pt;height:86.25pt" o:ole="">
            <v:imagedata r:id="rId64" o:title=""/>
            <o:lock v:ext="edit" aspectratio="f"/>
          </v:shape>
        </w:object>
      </w:r>
      <w:r>
        <w:rPr>
          <w:rFonts w:cs="Courier New"/>
          <w:szCs w:val="22"/>
        </w:rPr>
        <w:fldChar w:fldCharType="end"/>
      </w:r>
    </w:p>
    <w:p w14:paraId="1321F877" w14:textId="77777777" w:rsidR="00FE73BF" w:rsidRDefault="00FE73BF" w:rsidP="00C8113E">
      <w:pPr>
        <w:ind w:left="360" w:hanging="360"/>
        <w:rPr>
          <w:rFonts w:cs="Courier New"/>
          <w:szCs w:val="22"/>
        </w:rPr>
      </w:pPr>
    </w:p>
    <w:p w14:paraId="5636B9A0" w14:textId="77777777" w:rsidR="00C8113E" w:rsidRPr="001422EA" w:rsidRDefault="006E1448" w:rsidP="004E5A07">
      <w:pPr>
        <w:pStyle w:val="Heading2"/>
      </w:pPr>
      <w:bookmarkStart w:id="74" w:name="_Toc483390978"/>
      <w:bookmarkStart w:id="75" w:name="_Ref483392457"/>
      <w:bookmarkStart w:id="76" w:name="_Ref514929902"/>
      <w:bookmarkStart w:id="77" w:name="_Toc77603788"/>
      <w:r w:rsidRPr="001422EA">
        <w:t>Financing and investment income and expenditure</w:t>
      </w:r>
      <w:bookmarkEnd w:id="74"/>
      <w:bookmarkEnd w:id="75"/>
      <w:bookmarkEnd w:id="76"/>
      <w:bookmarkEnd w:id="77"/>
    </w:p>
    <w:p w14:paraId="0C7C176E" w14:textId="7E83CA17" w:rsidR="002028B1" w:rsidRDefault="002028B1" w:rsidP="00CB6F06"/>
    <w:p w14:paraId="20ECC7E6" w14:textId="4E65A35D" w:rsidR="00FE73BF" w:rsidRDefault="00590313" w:rsidP="00CB6F06">
      <w:r>
        <w:fldChar w:fldCharType="begin"/>
      </w:r>
      <w:r>
        <w:instrText xml:space="preserve"> LINK Excel.Sheet.12 "\\\\alpha\\accounts$\\CLOSURE\\Closure 20-21\\04 SoA Working Papers\\13 FIIE\\Note 13 Financing &amp; Inv Inc &amp; Exp 2020-21.xlsx!Embedded Table!R2C1:R11C3" "" \a \p </w:instrText>
      </w:r>
      <w:r>
        <w:fldChar w:fldCharType="separate"/>
      </w:r>
      <w:r w:rsidR="001C71EF">
        <w:object w:dxaOrig="10995" w:dyaOrig="3475" w14:anchorId="7A87A359">
          <v:shape id="_x0000_i1038" type="#_x0000_t75" style="width:489.75pt;height:173.2pt" o:ole="">
            <v:imagedata r:id="rId65" o:title=""/>
            <o:lock v:ext="edit" aspectratio="f"/>
          </v:shape>
        </w:object>
      </w:r>
      <w:r>
        <w:fldChar w:fldCharType="end"/>
      </w:r>
    </w:p>
    <w:p w14:paraId="32FDD37E" w14:textId="77777777" w:rsidR="00FE73BF" w:rsidRDefault="00FE73BF" w:rsidP="00CB6F06"/>
    <w:p w14:paraId="5C34C6B4" w14:textId="77777777" w:rsidR="00454B0F" w:rsidRPr="00EC06E7" w:rsidRDefault="00454B0F" w:rsidP="00CB6F06"/>
    <w:p w14:paraId="6FB7D78E" w14:textId="77777777" w:rsidR="00664D02" w:rsidRDefault="00664D02">
      <w:pPr>
        <w:jc w:val="left"/>
        <w:rPr>
          <w:rFonts w:cs="Arial"/>
          <w:b/>
          <w:color w:val="0070C0"/>
          <w:szCs w:val="22"/>
        </w:rPr>
      </w:pPr>
      <w:bookmarkStart w:id="78" w:name="_Ref454397590"/>
      <w:bookmarkStart w:id="79" w:name="_Ref454397607"/>
      <w:bookmarkStart w:id="80" w:name="_Toc483390979"/>
      <w:r>
        <w:br w:type="page"/>
      </w:r>
    </w:p>
    <w:p w14:paraId="7AD55F90" w14:textId="77777777" w:rsidR="0021551D" w:rsidRPr="001422EA" w:rsidRDefault="006E1448" w:rsidP="004E5A07">
      <w:pPr>
        <w:pStyle w:val="Heading2"/>
      </w:pPr>
      <w:bookmarkStart w:id="81" w:name="_Toc77603789"/>
      <w:r w:rsidRPr="001422EA">
        <w:t>Taxation and non-specific grant income and expenditure</w:t>
      </w:r>
      <w:bookmarkEnd w:id="78"/>
      <w:bookmarkEnd w:id="79"/>
      <w:bookmarkEnd w:id="80"/>
      <w:bookmarkEnd w:id="81"/>
    </w:p>
    <w:p w14:paraId="66C0169D" w14:textId="5D594D70" w:rsidR="0021551D" w:rsidRDefault="0021551D" w:rsidP="0021551D">
      <w:pPr>
        <w:ind w:left="360" w:hanging="360"/>
        <w:rPr>
          <w:rFonts w:cs="Courier New"/>
          <w:szCs w:val="22"/>
        </w:rPr>
      </w:pPr>
    </w:p>
    <w:p w14:paraId="45FCB0CE" w14:textId="561D383C" w:rsidR="009A22D1" w:rsidRDefault="009A22D1" w:rsidP="0021551D">
      <w:pPr>
        <w:ind w:left="360" w:hanging="360"/>
        <w:rPr>
          <w:rFonts w:cs="Courier New"/>
          <w:szCs w:val="22"/>
        </w:rPr>
      </w:pPr>
      <w:r>
        <w:rPr>
          <w:rFonts w:cs="Courier New"/>
          <w:szCs w:val="22"/>
        </w:rPr>
        <w:fldChar w:fldCharType="begin"/>
      </w:r>
      <w:r>
        <w:rPr>
          <w:rFonts w:cs="Courier New"/>
          <w:szCs w:val="22"/>
        </w:rPr>
        <w:instrText xml:space="preserve"> LINK Excel.Sheet.12 "\\\\alpha\\accounts$\\CLOSURE\\Closure 20-21\\04 SoA Working Papers\\14 TNSGI\\Note 14 TNSGI 2020-21.xlsx!Embedded Table!R2C1:R11C3" "" \a \p </w:instrText>
      </w:r>
      <w:r>
        <w:rPr>
          <w:rFonts w:cs="Courier New"/>
          <w:szCs w:val="22"/>
        </w:rPr>
        <w:fldChar w:fldCharType="separate"/>
      </w:r>
      <w:r w:rsidR="001C71EF">
        <w:rPr>
          <w:rFonts w:cs="Courier New"/>
          <w:szCs w:val="22"/>
        </w:rPr>
        <w:object w:dxaOrig="10995" w:dyaOrig="3628" w14:anchorId="03E5A99B">
          <v:shape id="_x0000_i1039" type="#_x0000_t75" style="width:489.75pt;height:180pt" o:ole="">
            <v:imagedata r:id="rId66" o:title=""/>
            <o:lock v:ext="edit" aspectratio="f"/>
          </v:shape>
        </w:object>
      </w:r>
      <w:r>
        <w:rPr>
          <w:rFonts w:cs="Courier New"/>
          <w:szCs w:val="22"/>
        </w:rPr>
        <w:fldChar w:fldCharType="end"/>
      </w:r>
    </w:p>
    <w:p w14:paraId="4AD3CDD1" w14:textId="223832FF" w:rsidR="009A22D1" w:rsidRDefault="009A22D1" w:rsidP="0021551D">
      <w:pPr>
        <w:ind w:left="360" w:hanging="360"/>
        <w:rPr>
          <w:rFonts w:cs="Courier New"/>
          <w:szCs w:val="22"/>
        </w:rPr>
      </w:pPr>
    </w:p>
    <w:p w14:paraId="16CF83C9" w14:textId="393733A0" w:rsidR="008D1589" w:rsidRPr="008D1589" w:rsidRDefault="008D1589" w:rsidP="005C4665">
      <w:pPr>
        <w:rPr>
          <w:rFonts w:cs="Courier New"/>
          <w:b/>
          <w:bCs/>
          <w:szCs w:val="22"/>
        </w:rPr>
      </w:pPr>
      <w:r w:rsidRPr="008D1589">
        <w:rPr>
          <w:rFonts w:cs="Courier New"/>
          <w:b/>
          <w:bCs/>
          <w:szCs w:val="22"/>
        </w:rPr>
        <w:t>Impact of Covid-19 pandemic on income from business rates and non-ringfenced government grants</w:t>
      </w:r>
    </w:p>
    <w:p w14:paraId="2EDAFAAC" w14:textId="77777777" w:rsidR="008D1589" w:rsidRDefault="008D1589" w:rsidP="005C4665">
      <w:pPr>
        <w:rPr>
          <w:rFonts w:cs="Courier New"/>
          <w:szCs w:val="22"/>
        </w:rPr>
      </w:pPr>
    </w:p>
    <w:p w14:paraId="6614F6F7" w14:textId="66D3D6FE" w:rsidR="008D1589" w:rsidRDefault="008D1589" w:rsidP="005C4665">
      <w:pPr>
        <w:rPr>
          <w:rFonts w:cs="Courier New"/>
          <w:szCs w:val="22"/>
        </w:rPr>
      </w:pPr>
      <w:r>
        <w:rPr>
          <w:rFonts w:cs="Courier New"/>
          <w:szCs w:val="22"/>
        </w:rPr>
        <w:t>During 2020/21 the council received a range of additional government grants, falling into three main categories:</w:t>
      </w:r>
    </w:p>
    <w:p w14:paraId="3ED6F3A9" w14:textId="69FEEAD6" w:rsidR="008D1589" w:rsidRDefault="008D1589" w:rsidP="00E948BF">
      <w:pPr>
        <w:pStyle w:val="ListParagraph"/>
        <w:numPr>
          <w:ilvl w:val="0"/>
          <w:numId w:val="32"/>
        </w:numPr>
        <w:rPr>
          <w:rFonts w:cs="Courier New"/>
          <w:szCs w:val="22"/>
        </w:rPr>
      </w:pPr>
      <w:r w:rsidRPr="008D1589">
        <w:rPr>
          <w:rFonts w:cs="Courier New"/>
          <w:szCs w:val="22"/>
        </w:rPr>
        <w:t>Grants to compensate the council for payments made of support grants to local businesses, under schemes established by the government.</w:t>
      </w:r>
    </w:p>
    <w:p w14:paraId="738400E9" w14:textId="1DE462BC" w:rsidR="008D1589" w:rsidRDefault="008D1589" w:rsidP="00E948BF">
      <w:pPr>
        <w:pStyle w:val="ListParagraph"/>
        <w:numPr>
          <w:ilvl w:val="0"/>
          <w:numId w:val="32"/>
        </w:numPr>
        <w:rPr>
          <w:rFonts w:cs="Courier New"/>
          <w:szCs w:val="22"/>
        </w:rPr>
      </w:pPr>
      <w:r>
        <w:rPr>
          <w:rFonts w:cs="Courier New"/>
          <w:szCs w:val="22"/>
        </w:rPr>
        <w:t>Grants to directly support the council and its activities</w:t>
      </w:r>
      <w:r w:rsidR="004467C9">
        <w:rPr>
          <w:rFonts w:cs="Courier New"/>
          <w:szCs w:val="22"/>
        </w:rPr>
        <w:t>, both to compensate for reduced income and to support additional expenditure.</w:t>
      </w:r>
    </w:p>
    <w:p w14:paraId="329FE276" w14:textId="23F25B98" w:rsidR="004467C9" w:rsidRPr="008D1589" w:rsidRDefault="004467C9" w:rsidP="00E948BF">
      <w:pPr>
        <w:pStyle w:val="ListParagraph"/>
        <w:numPr>
          <w:ilvl w:val="0"/>
          <w:numId w:val="32"/>
        </w:numPr>
        <w:rPr>
          <w:rFonts w:cs="Courier New"/>
          <w:szCs w:val="22"/>
        </w:rPr>
      </w:pPr>
      <w:r>
        <w:rPr>
          <w:rFonts w:cs="Courier New"/>
          <w:szCs w:val="22"/>
        </w:rPr>
        <w:t xml:space="preserve">Additional amounts of </w:t>
      </w:r>
      <w:r w:rsidR="00286279">
        <w:rPr>
          <w:rFonts w:cs="Courier New"/>
          <w:szCs w:val="22"/>
        </w:rPr>
        <w:t xml:space="preserve">Section 31 </w:t>
      </w:r>
      <w:r>
        <w:rPr>
          <w:rFonts w:cs="Courier New"/>
          <w:szCs w:val="22"/>
        </w:rPr>
        <w:t>grant to compensate for the loss of business rates income resulting from supplementary statutory business rates reliefs, specifically expanded retail discount and nursery discount.</w:t>
      </w:r>
    </w:p>
    <w:p w14:paraId="792F838F" w14:textId="77777777" w:rsidR="008D1589" w:rsidRDefault="008D1589" w:rsidP="005C4665">
      <w:pPr>
        <w:rPr>
          <w:rFonts w:cs="Courier New"/>
          <w:szCs w:val="22"/>
        </w:rPr>
      </w:pPr>
    </w:p>
    <w:p w14:paraId="107C9B0C" w14:textId="644C126A" w:rsidR="008D1589" w:rsidRDefault="008D1589" w:rsidP="005C4665">
      <w:pPr>
        <w:rPr>
          <w:rFonts w:cs="Courier New"/>
          <w:szCs w:val="22"/>
        </w:rPr>
      </w:pPr>
      <w:r>
        <w:rPr>
          <w:rFonts w:cs="Courier New"/>
          <w:szCs w:val="22"/>
        </w:rPr>
        <w:t>In respect of the first, in making these payments, the council was effectively acting as an agent, distributing the grants on behalf of the government and was fully reimbursed for the cost. The grants and the associate expenditure are therefore accounted for separately and are excluded from the council’s accounts (see also Note 33).</w:t>
      </w:r>
    </w:p>
    <w:p w14:paraId="31D57832" w14:textId="77777777" w:rsidR="008D1589" w:rsidRDefault="008D1589" w:rsidP="005C4665">
      <w:pPr>
        <w:rPr>
          <w:rFonts w:cs="Courier New"/>
          <w:szCs w:val="22"/>
        </w:rPr>
      </w:pPr>
    </w:p>
    <w:p w14:paraId="61091430" w14:textId="556B619F" w:rsidR="005C4665" w:rsidRDefault="004467C9" w:rsidP="005C4665">
      <w:pPr>
        <w:rPr>
          <w:rFonts w:cs="Courier New"/>
          <w:szCs w:val="22"/>
        </w:rPr>
      </w:pPr>
      <w:r>
        <w:rPr>
          <w:rFonts w:cs="Courier New"/>
          <w:szCs w:val="22"/>
        </w:rPr>
        <w:t>In respect of the second, t</w:t>
      </w:r>
      <w:r w:rsidR="005C4665">
        <w:rPr>
          <w:rFonts w:cs="Courier New"/>
          <w:szCs w:val="22"/>
        </w:rPr>
        <w:t xml:space="preserve">he Covid-19 support of £310k </w:t>
      </w:r>
      <w:r>
        <w:rPr>
          <w:rFonts w:cs="Courier New"/>
          <w:szCs w:val="22"/>
        </w:rPr>
        <w:t xml:space="preserve">shown in the table </w:t>
      </w:r>
      <w:r w:rsidR="005C4665">
        <w:rPr>
          <w:rFonts w:cs="Courier New"/>
          <w:szCs w:val="22"/>
        </w:rPr>
        <w:t>is a grant received in compensation for overall losses of sales, fees and charges. This amount cannot readily be attributed to individual service lines and so appears here. Further grants, totalling £3.106m, are included within the Net Cost of Services</w:t>
      </w:r>
      <w:r w:rsidR="00EE2D3F">
        <w:rPr>
          <w:rFonts w:cs="Courier New"/>
          <w:szCs w:val="22"/>
        </w:rPr>
        <w:t xml:space="preserve"> (see Note 33)</w:t>
      </w:r>
      <w:r w:rsidR="005C4665">
        <w:rPr>
          <w:rFonts w:cs="Courier New"/>
          <w:szCs w:val="22"/>
        </w:rPr>
        <w:t>, where they directly support related expenditure.</w:t>
      </w:r>
    </w:p>
    <w:p w14:paraId="138CE6EF" w14:textId="1F840DF5" w:rsidR="004467C9" w:rsidRDefault="004467C9" w:rsidP="005C4665">
      <w:pPr>
        <w:rPr>
          <w:rFonts w:cs="Courier New"/>
          <w:szCs w:val="22"/>
        </w:rPr>
      </w:pPr>
    </w:p>
    <w:p w14:paraId="28182D26" w14:textId="165C1071" w:rsidR="004467C9" w:rsidRDefault="004467C9" w:rsidP="005C4665">
      <w:pPr>
        <w:rPr>
          <w:rFonts w:cs="Courier New"/>
          <w:szCs w:val="22"/>
        </w:rPr>
      </w:pPr>
      <w:r>
        <w:rPr>
          <w:rFonts w:cs="Courier New"/>
          <w:szCs w:val="22"/>
        </w:rPr>
        <w:t xml:space="preserve">In respect of the third, </w:t>
      </w:r>
      <w:r w:rsidR="00286279">
        <w:rPr>
          <w:rFonts w:cs="Courier New"/>
          <w:szCs w:val="22"/>
        </w:rPr>
        <w:t xml:space="preserve">the amount of additional grant received was £5.107m. The reverse side of this is the reduction shown in business rates income which, after deducting the tariff payable to the government, produced a net cost to the council of £1.808m (for more detail see Collection Fund Note 3 on page </w:t>
      </w:r>
      <w:r w:rsidR="00F52125">
        <w:rPr>
          <w:rFonts w:cs="Courier New"/>
          <w:szCs w:val="22"/>
        </w:rPr>
        <w:t>111</w:t>
      </w:r>
      <w:r w:rsidR="00286279">
        <w:rPr>
          <w:rFonts w:cs="Courier New"/>
          <w:szCs w:val="22"/>
        </w:rPr>
        <w:t>)</w:t>
      </w:r>
      <w:r w:rsidR="00BF2D8E">
        <w:rPr>
          <w:rFonts w:cs="Courier New"/>
          <w:szCs w:val="22"/>
        </w:rPr>
        <w:t>, although it should be noted that part of the reduction is attributable to the reversion from a 56% share of income in 20</w:t>
      </w:r>
      <w:r w:rsidR="003C2871">
        <w:rPr>
          <w:rFonts w:cs="Courier New"/>
          <w:szCs w:val="22"/>
        </w:rPr>
        <w:t>20</w:t>
      </w:r>
      <w:r w:rsidR="00BF2D8E">
        <w:rPr>
          <w:rFonts w:cs="Courier New"/>
          <w:szCs w:val="22"/>
        </w:rPr>
        <w:t>/21 to 40% in 2020/21 (see below). The Collection Fund deficit resulting from reduced rating income will be distributed in 2021/22 and future years. The council</w:t>
      </w:r>
      <w:r w:rsidR="00205674">
        <w:rPr>
          <w:rFonts w:cs="Courier New"/>
          <w:szCs w:val="22"/>
        </w:rPr>
        <w:t>’</w:t>
      </w:r>
      <w:r w:rsidR="00BF2D8E">
        <w:rPr>
          <w:rFonts w:cs="Courier New"/>
          <w:szCs w:val="22"/>
        </w:rPr>
        <w:t>s share of the deficit is £5.478m.</w:t>
      </w:r>
    </w:p>
    <w:p w14:paraId="25E220A9" w14:textId="6F0BC0A5" w:rsidR="00BF2D8E" w:rsidRDefault="00BF2D8E" w:rsidP="005C4665">
      <w:pPr>
        <w:rPr>
          <w:rFonts w:cs="Courier New"/>
          <w:szCs w:val="22"/>
        </w:rPr>
      </w:pPr>
    </w:p>
    <w:p w14:paraId="30EA5E32" w14:textId="14636984" w:rsidR="00BF2D8E" w:rsidRDefault="00BF2D8E" w:rsidP="005C4665">
      <w:pPr>
        <w:rPr>
          <w:rFonts w:cs="Courier New"/>
          <w:szCs w:val="22"/>
        </w:rPr>
      </w:pPr>
      <w:r>
        <w:rPr>
          <w:rFonts w:cs="Courier New"/>
          <w:szCs w:val="22"/>
        </w:rPr>
        <w:t>A further grant of £113k in respect of more general loss of business rates income is also due to the council</w:t>
      </w:r>
      <w:r w:rsidR="00205674">
        <w:rPr>
          <w:rFonts w:cs="Courier New"/>
          <w:szCs w:val="22"/>
        </w:rPr>
        <w:t>. This gives a total of £5.220m, which has been transferred, together with £24k in respect of Council Tax losses, to a newly established Earmarked Reserve (see Note 11). This will be released in future years to match against the distribution of the deficit. In summary, given that there will always be some fluctuations in income, the overall financial impact on the council is broadly neutral.</w:t>
      </w:r>
    </w:p>
    <w:p w14:paraId="3AB82A89" w14:textId="77777777" w:rsidR="005C4665" w:rsidRDefault="005C4665" w:rsidP="0021551D">
      <w:pPr>
        <w:ind w:left="360" w:hanging="360"/>
        <w:rPr>
          <w:rFonts w:cs="Courier New"/>
          <w:szCs w:val="22"/>
        </w:rPr>
      </w:pPr>
    </w:p>
    <w:p w14:paraId="3FEF2D5C" w14:textId="77777777" w:rsidR="00F814A1" w:rsidRDefault="00F814A1">
      <w:pPr>
        <w:jc w:val="left"/>
        <w:rPr>
          <w:b/>
          <w:snapToGrid w:val="0"/>
          <w:color w:val="000000" w:themeColor="text1"/>
        </w:rPr>
      </w:pPr>
      <w:r>
        <w:rPr>
          <w:b/>
          <w:snapToGrid w:val="0"/>
          <w:color w:val="000000" w:themeColor="text1"/>
        </w:rPr>
        <w:br w:type="page"/>
      </w:r>
    </w:p>
    <w:p w14:paraId="42CB78C9" w14:textId="39A9BE1D" w:rsidR="00F46C82" w:rsidRPr="00EC06E7" w:rsidRDefault="00F46C82" w:rsidP="00F46C82">
      <w:pPr>
        <w:widowControl w:val="0"/>
        <w:tabs>
          <w:tab w:val="left" w:pos="0"/>
          <w:tab w:val="left" w:pos="2881"/>
        </w:tabs>
        <w:rPr>
          <w:b/>
          <w:snapToGrid w:val="0"/>
          <w:color w:val="000000" w:themeColor="text1"/>
        </w:rPr>
      </w:pPr>
      <w:r w:rsidRPr="001422EA">
        <w:rPr>
          <w:b/>
          <w:snapToGrid w:val="0"/>
          <w:color w:val="000000" w:themeColor="text1"/>
        </w:rPr>
        <w:t>Non-domestic Rates Income and Expenditure - The Lancashire Business Rates Pool</w:t>
      </w:r>
    </w:p>
    <w:p w14:paraId="12E594FC" w14:textId="77777777" w:rsidR="00F46C82" w:rsidRPr="00EC06E7" w:rsidRDefault="00F46C82" w:rsidP="00D7051C">
      <w:pPr>
        <w:widowControl w:val="0"/>
        <w:tabs>
          <w:tab w:val="left" w:pos="0"/>
          <w:tab w:val="left" w:pos="2881"/>
        </w:tabs>
        <w:rPr>
          <w:snapToGrid w:val="0"/>
          <w:color w:val="000000" w:themeColor="text1"/>
        </w:rPr>
      </w:pPr>
    </w:p>
    <w:p w14:paraId="0C91327C" w14:textId="77777777" w:rsidR="00D7051C" w:rsidRDefault="00D7051C" w:rsidP="00D7051C">
      <w:pPr>
        <w:rPr>
          <w:rFonts w:cs="Arial"/>
        </w:rPr>
      </w:pPr>
      <w:r>
        <w:rPr>
          <w:rFonts w:cs="Arial"/>
        </w:rPr>
        <w:t>In 2016/17, 2017/18 and 2018/19 t</w:t>
      </w:r>
      <w:r w:rsidRPr="005603CF">
        <w:rPr>
          <w:rFonts w:cs="Arial"/>
        </w:rPr>
        <w:t xml:space="preserve">his </w:t>
      </w:r>
      <w:r w:rsidR="00CD5B56">
        <w:rPr>
          <w:rFonts w:cs="Arial"/>
        </w:rPr>
        <w:t>c</w:t>
      </w:r>
      <w:r w:rsidRPr="005603CF">
        <w:rPr>
          <w:rFonts w:cs="Arial"/>
        </w:rPr>
        <w:t xml:space="preserve">ouncil </w:t>
      </w:r>
      <w:r>
        <w:rPr>
          <w:rFonts w:cs="Arial"/>
        </w:rPr>
        <w:t>wa</w:t>
      </w:r>
      <w:r w:rsidRPr="005603CF">
        <w:rPr>
          <w:rFonts w:cs="Arial"/>
        </w:rPr>
        <w:t xml:space="preserve">s part of the Lancashire Business Rates Pool. In a Business Rate Pool, tariffs, top-ups, levies and safety nets are combined. This can result in a significantly lower levy rate or even a </w:t>
      </w:r>
      <w:proofErr w:type="gramStart"/>
      <w:r w:rsidRPr="005603CF">
        <w:rPr>
          <w:rFonts w:cs="Arial"/>
        </w:rPr>
        <w:t>zero levy</w:t>
      </w:r>
      <w:proofErr w:type="gramEnd"/>
      <w:r w:rsidRPr="005603CF">
        <w:rPr>
          <w:rFonts w:cs="Arial"/>
        </w:rPr>
        <w:t xml:space="preserve"> rate meaning that more or all of the business rate growth can be retained within the pool area instead of being payable to the Government.</w:t>
      </w:r>
    </w:p>
    <w:p w14:paraId="394A7598" w14:textId="77777777" w:rsidR="00D7051C" w:rsidRPr="005603CF" w:rsidRDefault="00D7051C" w:rsidP="00D7051C">
      <w:pPr>
        <w:rPr>
          <w:rFonts w:cs="Arial"/>
        </w:rPr>
      </w:pPr>
    </w:p>
    <w:p w14:paraId="788E2B0C" w14:textId="77777777" w:rsidR="00D7051C" w:rsidRDefault="00D7051C" w:rsidP="00D7051C">
      <w:pPr>
        <w:rPr>
          <w:rFonts w:cs="Arial"/>
        </w:rPr>
      </w:pPr>
      <w:r w:rsidRPr="005603CF">
        <w:rPr>
          <w:rFonts w:cs="Arial"/>
        </w:rPr>
        <w:t>The Lancashire Business Rates Pool, which include</w:t>
      </w:r>
      <w:r>
        <w:rPr>
          <w:rFonts w:cs="Arial"/>
        </w:rPr>
        <w:t>d</w:t>
      </w:r>
      <w:r w:rsidRPr="005603CF">
        <w:rPr>
          <w:rFonts w:cs="Arial"/>
        </w:rPr>
        <w:t xml:space="preserve"> most but not all of the local authorities in Lancashire, was designated by the Secretary of State for Housing, Communities and Local</w:t>
      </w:r>
      <w:r>
        <w:rPr>
          <w:rFonts w:cs="Arial"/>
        </w:rPr>
        <w:t xml:space="preserve"> Government</w:t>
      </w:r>
      <w:r w:rsidRPr="005603CF">
        <w:rPr>
          <w:rFonts w:cs="Arial"/>
        </w:rPr>
        <w:t xml:space="preserve"> and originally operated with </w:t>
      </w:r>
      <w:r>
        <w:rPr>
          <w:rFonts w:cs="Arial"/>
        </w:rPr>
        <w:t>allocations</w:t>
      </w:r>
      <w:r w:rsidRPr="005603CF">
        <w:rPr>
          <w:rFonts w:cs="Arial"/>
        </w:rPr>
        <w:t xml:space="preserve"> on the basis of the 50% business rates retention scheme.</w:t>
      </w:r>
    </w:p>
    <w:p w14:paraId="01165B9B" w14:textId="77777777" w:rsidR="00D7051C" w:rsidRPr="005603CF" w:rsidRDefault="00D7051C" w:rsidP="00D7051C">
      <w:pPr>
        <w:rPr>
          <w:rFonts w:cs="Arial"/>
        </w:rPr>
      </w:pPr>
    </w:p>
    <w:p w14:paraId="51C500AE" w14:textId="1D017B2F" w:rsidR="00D7051C" w:rsidRDefault="00AF28BE" w:rsidP="00D7051C">
      <w:pPr>
        <w:rPr>
          <w:rFonts w:cs="Arial"/>
        </w:rPr>
      </w:pPr>
      <w:r w:rsidRPr="005603CF">
        <w:rPr>
          <w:rFonts w:cs="Arial"/>
        </w:rPr>
        <w:t xml:space="preserve">In 2019/20 </w:t>
      </w:r>
      <w:r>
        <w:rPr>
          <w:rFonts w:cs="Arial"/>
        </w:rPr>
        <w:t xml:space="preserve">the council, </w:t>
      </w:r>
      <w:r w:rsidRPr="006C1022">
        <w:rPr>
          <w:rFonts w:cs="Arial"/>
        </w:rPr>
        <w:t>along with 1</w:t>
      </w:r>
      <w:r w:rsidR="00360DAF">
        <w:rPr>
          <w:rFonts w:cs="Arial"/>
        </w:rPr>
        <w:t>4</w:t>
      </w:r>
      <w:r w:rsidRPr="006C1022">
        <w:rPr>
          <w:rFonts w:cs="Arial"/>
        </w:rPr>
        <w:t xml:space="preserve"> other authorities in Lancashire</w:t>
      </w:r>
      <w:r>
        <w:rPr>
          <w:rFonts w:cs="Arial"/>
        </w:rPr>
        <w:t xml:space="preserve">, submitted a successful bid to become a </w:t>
      </w:r>
      <w:r w:rsidRPr="005603CF">
        <w:rPr>
          <w:rFonts w:cs="Arial"/>
        </w:rPr>
        <w:t>75% Business Rate Pilot Pool. This meant that 75% of collected rates were retained in Lancashire rather than 50%</w:t>
      </w:r>
      <w:r w:rsidR="00D7051C" w:rsidRPr="005603CF">
        <w:rPr>
          <w:rFonts w:cs="Arial"/>
        </w:rPr>
        <w:t>.</w:t>
      </w:r>
      <w:r w:rsidR="004C1731">
        <w:rPr>
          <w:rFonts w:cs="Arial"/>
        </w:rPr>
        <w:t xml:space="preserve"> The Pilot was for one year only and, for 2020/21, the local share reverted to 50%.</w:t>
      </w:r>
    </w:p>
    <w:p w14:paraId="0DB7F5F9" w14:textId="77777777" w:rsidR="00D7051C" w:rsidRDefault="00D7051C" w:rsidP="00D7051C">
      <w:pPr>
        <w:rPr>
          <w:rFonts w:cs="Arial"/>
        </w:rPr>
      </w:pPr>
    </w:p>
    <w:p w14:paraId="6563F977" w14:textId="6A4476B9" w:rsidR="00D7051C" w:rsidRDefault="00D7051C" w:rsidP="00D7051C">
      <w:pPr>
        <w:rPr>
          <w:rFonts w:cs="Arial"/>
        </w:rPr>
      </w:pPr>
      <w:r w:rsidRPr="005603CF">
        <w:rPr>
          <w:rFonts w:cs="Arial"/>
        </w:rPr>
        <w:t>A comparison of the business rates</w:t>
      </w:r>
      <w:r>
        <w:rPr>
          <w:rFonts w:cs="Arial"/>
        </w:rPr>
        <w:t xml:space="preserve"> income</w:t>
      </w:r>
      <w:r w:rsidRPr="005603CF">
        <w:rPr>
          <w:rFonts w:cs="Arial"/>
        </w:rPr>
        <w:t xml:space="preserve"> </w:t>
      </w:r>
      <w:r>
        <w:rPr>
          <w:rFonts w:cs="Arial"/>
        </w:rPr>
        <w:t>allocations</w:t>
      </w:r>
      <w:r w:rsidRPr="005603CF">
        <w:rPr>
          <w:rFonts w:cs="Arial"/>
        </w:rPr>
        <w:t xml:space="preserve"> in </w:t>
      </w:r>
      <w:r w:rsidR="004C1731" w:rsidRPr="005603CF">
        <w:rPr>
          <w:rFonts w:cs="Arial"/>
        </w:rPr>
        <w:t>2019/20</w:t>
      </w:r>
      <w:r w:rsidRPr="005603CF">
        <w:rPr>
          <w:rFonts w:cs="Arial"/>
        </w:rPr>
        <w:t xml:space="preserve"> and 20</w:t>
      </w:r>
      <w:r w:rsidR="004C1731">
        <w:rPr>
          <w:rFonts w:cs="Arial"/>
        </w:rPr>
        <w:t>20</w:t>
      </w:r>
      <w:r w:rsidRPr="005603CF">
        <w:rPr>
          <w:rFonts w:cs="Arial"/>
        </w:rPr>
        <w:t>/2</w:t>
      </w:r>
      <w:r w:rsidR="004C1731">
        <w:rPr>
          <w:rFonts w:cs="Arial"/>
        </w:rPr>
        <w:t>1</w:t>
      </w:r>
      <w:r w:rsidRPr="005603CF">
        <w:rPr>
          <w:rFonts w:cs="Arial"/>
        </w:rPr>
        <w:t xml:space="preserve"> are shown in the table below:</w:t>
      </w:r>
    </w:p>
    <w:p w14:paraId="47664A48" w14:textId="77777777" w:rsidR="00D7051C" w:rsidRDefault="00D7051C" w:rsidP="00D7051C">
      <w:pPr>
        <w:rPr>
          <w:rFonts w:cs="Arial"/>
        </w:rPr>
      </w:pPr>
    </w:p>
    <w:tbl>
      <w:tblPr>
        <w:tblStyle w:val="TableGrid"/>
        <w:tblW w:w="0" w:type="auto"/>
        <w:tblInd w:w="709" w:type="dxa"/>
        <w:tblLayout w:type="fixed"/>
        <w:tblLook w:val="04A0" w:firstRow="1" w:lastRow="0" w:firstColumn="1" w:lastColumn="0" w:noHBand="0" w:noVBand="1"/>
      </w:tblPr>
      <w:tblGrid>
        <w:gridCol w:w="3828"/>
        <w:gridCol w:w="1701"/>
        <w:gridCol w:w="1819"/>
      </w:tblGrid>
      <w:tr w:rsidR="00D7051C" w:rsidRPr="005603CF" w14:paraId="72E80D94" w14:textId="77777777" w:rsidTr="00D7051C">
        <w:trPr>
          <w:trHeight w:val="435"/>
        </w:trPr>
        <w:tc>
          <w:tcPr>
            <w:tcW w:w="3828" w:type="dxa"/>
            <w:shd w:val="clear" w:color="auto" w:fill="B8CCE4" w:themeFill="accent1" w:themeFillTint="66"/>
            <w:vAlign w:val="center"/>
          </w:tcPr>
          <w:p w14:paraId="3A3C9641" w14:textId="77777777" w:rsidR="00D7051C" w:rsidRPr="005603CF" w:rsidRDefault="00D7051C" w:rsidP="00D7051C">
            <w:pPr>
              <w:rPr>
                <w:rFonts w:ascii="Arial Narrow" w:hAnsi="Arial Narrow" w:cs="Arial"/>
                <w:b/>
                <w:color w:val="FFFFFF" w:themeColor="background1"/>
                <w:sz w:val="20"/>
                <w:szCs w:val="20"/>
              </w:rPr>
            </w:pPr>
          </w:p>
        </w:tc>
        <w:tc>
          <w:tcPr>
            <w:tcW w:w="1701" w:type="dxa"/>
            <w:shd w:val="clear" w:color="auto" w:fill="B8CCE4" w:themeFill="accent1" w:themeFillTint="66"/>
            <w:vAlign w:val="center"/>
          </w:tcPr>
          <w:p w14:paraId="415D1D3F" w14:textId="0B3476CB" w:rsidR="00D7051C" w:rsidRPr="003F0F6B" w:rsidRDefault="006265F5" w:rsidP="00D7051C">
            <w:pPr>
              <w:jc w:val="center"/>
              <w:rPr>
                <w:rFonts w:ascii="Arial Narrow" w:hAnsi="Arial Narrow" w:cs="Arial"/>
                <w:b/>
                <w:sz w:val="20"/>
                <w:szCs w:val="20"/>
              </w:rPr>
            </w:pPr>
            <w:r w:rsidRPr="003F0F6B">
              <w:rPr>
                <w:rFonts w:ascii="Arial Narrow" w:hAnsi="Arial Narrow" w:cs="Arial"/>
                <w:b/>
                <w:sz w:val="20"/>
                <w:szCs w:val="20"/>
              </w:rPr>
              <w:t>2019/20</w:t>
            </w:r>
          </w:p>
        </w:tc>
        <w:tc>
          <w:tcPr>
            <w:tcW w:w="1819" w:type="dxa"/>
            <w:shd w:val="clear" w:color="auto" w:fill="B8CCE4" w:themeFill="accent1" w:themeFillTint="66"/>
            <w:vAlign w:val="center"/>
          </w:tcPr>
          <w:p w14:paraId="2C37C75D" w14:textId="7822B627" w:rsidR="00D7051C" w:rsidRPr="003F0F6B" w:rsidRDefault="00D7051C" w:rsidP="00D7051C">
            <w:pPr>
              <w:jc w:val="center"/>
              <w:rPr>
                <w:rFonts w:ascii="Arial Narrow" w:hAnsi="Arial Narrow" w:cs="Arial"/>
                <w:b/>
                <w:sz w:val="20"/>
                <w:szCs w:val="20"/>
              </w:rPr>
            </w:pPr>
            <w:r w:rsidRPr="003F0F6B">
              <w:rPr>
                <w:rFonts w:ascii="Arial Narrow" w:hAnsi="Arial Narrow" w:cs="Arial"/>
                <w:b/>
                <w:sz w:val="20"/>
                <w:szCs w:val="20"/>
              </w:rPr>
              <w:t>20</w:t>
            </w:r>
            <w:r w:rsidR="002E6E1B">
              <w:rPr>
                <w:rFonts w:ascii="Arial Narrow" w:hAnsi="Arial Narrow" w:cs="Arial"/>
                <w:b/>
                <w:sz w:val="20"/>
                <w:szCs w:val="20"/>
              </w:rPr>
              <w:t>20</w:t>
            </w:r>
            <w:r w:rsidRPr="003F0F6B">
              <w:rPr>
                <w:rFonts w:ascii="Arial Narrow" w:hAnsi="Arial Narrow" w:cs="Arial"/>
                <w:b/>
                <w:sz w:val="20"/>
                <w:szCs w:val="20"/>
              </w:rPr>
              <w:t>/2</w:t>
            </w:r>
            <w:r w:rsidR="002E6E1B">
              <w:rPr>
                <w:rFonts w:ascii="Arial Narrow" w:hAnsi="Arial Narrow" w:cs="Arial"/>
                <w:b/>
                <w:sz w:val="20"/>
                <w:szCs w:val="20"/>
              </w:rPr>
              <w:t>1</w:t>
            </w:r>
          </w:p>
        </w:tc>
      </w:tr>
      <w:tr w:rsidR="006265F5" w:rsidRPr="005603CF" w14:paraId="450A70C9" w14:textId="77777777" w:rsidTr="00D7051C">
        <w:trPr>
          <w:trHeight w:val="340"/>
        </w:trPr>
        <w:tc>
          <w:tcPr>
            <w:tcW w:w="3828" w:type="dxa"/>
            <w:shd w:val="clear" w:color="auto" w:fill="auto"/>
            <w:vAlign w:val="center"/>
          </w:tcPr>
          <w:p w14:paraId="4B5DDBF4" w14:textId="77777777" w:rsidR="006265F5" w:rsidRPr="005603CF" w:rsidRDefault="006265F5" w:rsidP="006265F5">
            <w:pPr>
              <w:rPr>
                <w:rFonts w:ascii="Arial Narrow" w:hAnsi="Arial Narrow" w:cs="Arial"/>
                <w:sz w:val="20"/>
                <w:szCs w:val="20"/>
              </w:rPr>
            </w:pPr>
            <w:r w:rsidRPr="005603CF">
              <w:rPr>
                <w:rFonts w:ascii="Arial Narrow" w:hAnsi="Arial Narrow" w:cs="Arial"/>
                <w:sz w:val="20"/>
                <w:szCs w:val="20"/>
              </w:rPr>
              <w:t>District Authorities</w:t>
            </w:r>
          </w:p>
        </w:tc>
        <w:tc>
          <w:tcPr>
            <w:tcW w:w="1701" w:type="dxa"/>
            <w:shd w:val="clear" w:color="auto" w:fill="auto"/>
            <w:vAlign w:val="center"/>
          </w:tcPr>
          <w:p w14:paraId="6ACBFCC6" w14:textId="60AEA45B" w:rsidR="006265F5" w:rsidRPr="005603CF" w:rsidRDefault="006265F5" w:rsidP="006265F5">
            <w:pPr>
              <w:jc w:val="center"/>
              <w:rPr>
                <w:rFonts w:ascii="Arial Narrow" w:hAnsi="Arial Narrow" w:cs="Arial"/>
                <w:sz w:val="20"/>
                <w:szCs w:val="20"/>
              </w:rPr>
            </w:pPr>
            <w:r w:rsidRPr="005603CF">
              <w:rPr>
                <w:rFonts w:ascii="Arial Narrow" w:hAnsi="Arial Narrow" w:cs="Arial"/>
                <w:sz w:val="20"/>
                <w:szCs w:val="20"/>
              </w:rPr>
              <w:t>56%</w:t>
            </w:r>
          </w:p>
        </w:tc>
        <w:tc>
          <w:tcPr>
            <w:tcW w:w="1819" w:type="dxa"/>
            <w:shd w:val="clear" w:color="auto" w:fill="auto"/>
            <w:vAlign w:val="center"/>
          </w:tcPr>
          <w:p w14:paraId="2EAD2FAB" w14:textId="3AE03B28" w:rsidR="006265F5" w:rsidRPr="005603CF" w:rsidRDefault="006265F5" w:rsidP="006265F5">
            <w:pPr>
              <w:jc w:val="center"/>
              <w:rPr>
                <w:rFonts w:ascii="Arial Narrow" w:hAnsi="Arial Narrow" w:cs="Arial"/>
                <w:sz w:val="20"/>
                <w:szCs w:val="20"/>
              </w:rPr>
            </w:pPr>
            <w:r>
              <w:rPr>
                <w:rFonts w:ascii="Arial Narrow" w:hAnsi="Arial Narrow" w:cs="Arial"/>
                <w:sz w:val="20"/>
                <w:szCs w:val="20"/>
              </w:rPr>
              <w:t>40</w:t>
            </w:r>
            <w:r w:rsidRPr="005603CF">
              <w:rPr>
                <w:rFonts w:ascii="Arial Narrow" w:hAnsi="Arial Narrow" w:cs="Arial"/>
                <w:sz w:val="20"/>
                <w:szCs w:val="20"/>
              </w:rPr>
              <w:t>%</w:t>
            </w:r>
          </w:p>
        </w:tc>
      </w:tr>
      <w:tr w:rsidR="006265F5" w:rsidRPr="005603CF" w14:paraId="2A2C0ACB" w14:textId="77777777" w:rsidTr="00D7051C">
        <w:trPr>
          <w:trHeight w:val="340"/>
        </w:trPr>
        <w:tc>
          <w:tcPr>
            <w:tcW w:w="3828" w:type="dxa"/>
            <w:shd w:val="clear" w:color="auto" w:fill="auto"/>
            <w:vAlign w:val="center"/>
          </w:tcPr>
          <w:p w14:paraId="3C95BBAB" w14:textId="77777777" w:rsidR="006265F5" w:rsidRPr="005603CF" w:rsidRDefault="006265F5" w:rsidP="006265F5">
            <w:pPr>
              <w:rPr>
                <w:rFonts w:ascii="Arial Narrow" w:hAnsi="Arial Narrow" w:cs="Arial"/>
                <w:sz w:val="20"/>
                <w:szCs w:val="20"/>
              </w:rPr>
            </w:pPr>
            <w:r w:rsidRPr="005603CF">
              <w:rPr>
                <w:rFonts w:ascii="Arial Narrow" w:hAnsi="Arial Narrow" w:cs="Arial"/>
                <w:sz w:val="20"/>
                <w:szCs w:val="20"/>
              </w:rPr>
              <w:t>Lancashire County Council</w:t>
            </w:r>
          </w:p>
        </w:tc>
        <w:tc>
          <w:tcPr>
            <w:tcW w:w="1701" w:type="dxa"/>
            <w:shd w:val="clear" w:color="auto" w:fill="auto"/>
            <w:vAlign w:val="center"/>
          </w:tcPr>
          <w:p w14:paraId="574D5122" w14:textId="1B17C34D" w:rsidR="006265F5" w:rsidRPr="005603CF" w:rsidRDefault="006265F5" w:rsidP="006265F5">
            <w:pPr>
              <w:jc w:val="center"/>
              <w:rPr>
                <w:rFonts w:ascii="Arial Narrow" w:hAnsi="Arial Narrow" w:cs="Arial"/>
                <w:sz w:val="20"/>
                <w:szCs w:val="20"/>
              </w:rPr>
            </w:pPr>
            <w:r w:rsidRPr="005603CF">
              <w:rPr>
                <w:rFonts w:ascii="Arial Narrow" w:hAnsi="Arial Narrow" w:cs="Arial"/>
                <w:sz w:val="20"/>
                <w:szCs w:val="20"/>
              </w:rPr>
              <w:t>17.5%</w:t>
            </w:r>
          </w:p>
        </w:tc>
        <w:tc>
          <w:tcPr>
            <w:tcW w:w="1819" w:type="dxa"/>
            <w:shd w:val="clear" w:color="auto" w:fill="auto"/>
            <w:vAlign w:val="center"/>
          </w:tcPr>
          <w:p w14:paraId="4C2E602A" w14:textId="5D90DB79" w:rsidR="006265F5" w:rsidRPr="005603CF" w:rsidRDefault="006265F5" w:rsidP="006265F5">
            <w:pPr>
              <w:jc w:val="center"/>
              <w:rPr>
                <w:rFonts w:ascii="Arial Narrow" w:hAnsi="Arial Narrow" w:cs="Arial"/>
                <w:sz w:val="20"/>
                <w:szCs w:val="20"/>
              </w:rPr>
            </w:pPr>
            <w:r>
              <w:rPr>
                <w:rFonts w:ascii="Arial Narrow" w:hAnsi="Arial Narrow" w:cs="Arial"/>
                <w:sz w:val="20"/>
                <w:szCs w:val="20"/>
              </w:rPr>
              <w:t>9</w:t>
            </w:r>
            <w:r w:rsidRPr="005603CF">
              <w:rPr>
                <w:rFonts w:ascii="Arial Narrow" w:hAnsi="Arial Narrow" w:cs="Arial"/>
                <w:sz w:val="20"/>
                <w:szCs w:val="20"/>
              </w:rPr>
              <w:t>%</w:t>
            </w:r>
          </w:p>
        </w:tc>
      </w:tr>
      <w:tr w:rsidR="006265F5" w:rsidRPr="005603CF" w14:paraId="43B45719" w14:textId="77777777" w:rsidTr="00D7051C">
        <w:trPr>
          <w:trHeight w:val="340"/>
        </w:trPr>
        <w:tc>
          <w:tcPr>
            <w:tcW w:w="3828" w:type="dxa"/>
            <w:shd w:val="clear" w:color="auto" w:fill="auto"/>
            <w:vAlign w:val="center"/>
          </w:tcPr>
          <w:p w14:paraId="76A6D7EC" w14:textId="77777777" w:rsidR="006265F5" w:rsidRPr="005603CF" w:rsidRDefault="006265F5" w:rsidP="006265F5">
            <w:pPr>
              <w:rPr>
                <w:rFonts w:ascii="Arial Narrow" w:hAnsi="Arial Narrow" w:cs="Arial"/>
                <w:sz w:val="20"/>
                <w:szCs w:val="20"/>
              </w:rPr>
            </w:pPr>
            <w:r w:rsidRPr="005603CF">
              <w:rPr>
                <w:rFonts w:ascii="Arial Narrow" w:hAnsi="Arial Narrow" w:cs="Arial"/>
                <w:sz w:val="20"/>
                <w:szCs w:val="20"/>
              </w:rPr>
              <w:t>Lancashire Combined Fire Authority</w:t>
            </w:r>
          </w:p>
        </w:tc>
        <w:tc>
          <w:tcPr>
            <w:tcW w:w="1701" w:type="dxa"/>
            <w:shd w:val="clear" w:color="auto" w:fill="auto"/>
            <w:vAlign w:val="center"/>
          </w:tcPr>
          <w:p w14:paraId="79B67231" w14:textId="5AB5E4A5" w:rsidR="006265F5" w:rsidRPr="005603CF" w:rsidRDefault="006265F5" w:rsidP="006265F5">
            <w:pPr>
              <w:jc w:val="center"/>
              <w:rPr>
                <w:rFonts w:ascii="Arial Narrow" w:hAnsi="Arial Narrow" w:cs="Arial"/>
                <w:sz w:val="20"/>
                <w:szCs w:val="20"/>
              </w:rPr>
            </w:pPr>
            <w:r w:rsidRPr="005603CF">
              <w:rPr>
                <w:rFonts w:ascii="Arial Narrow" w:hAnsi="Arial Narrow" w:cs="Arial"/>
                <w:sz w:val="20"/>
                <w:szCs w:val="20"/>
              </w:rPr>
              <w:t>1.5%</w:t>
            </w:r>
          </w:p>
        </w:tc>
        <w:tc>
          <w:tcPr>
            <w:tcW w:w="1819" w:type="dxa"/>
            <w:shd w:val="clear" w:color="auto" w:fill="auto"/>
            <w:vAlign w:val="center"/>
          </w:tcPr>
          <w:p w14:paraId="6747AC92" w14:textId="5BF14797" w:rsidR="006265F5" w:rsidRPr="005603CF" w:rsidRDefault="006265F5" w:rsidP="006265F5">
            <w:pPr>
              <w:jc w:val="center"/>
              <w:rPr>
                <w:rFonts w:ascii="Arial Narrow" w:hAnsi="Arial Narrow" w:cs="Arial"/>
                <w:sz w:val="20"/>
                <w:szCs w:val="20"/>
              </w:rPr>
            </w:pPr>
            <w:r w:rsidRPr="005603CF">
              <w:rPr>
                <w:rFonts w:ascii="Arial Narrow" w:hAnsi="Arial Narrow" w:cs="Arial"/>
                <w:sz w:val="20"/>
                <w:szCs w:val="20"/>
              </w:rPr>
              <w:t>1%</w:t>
            </w:r>
          </w:p>
        </w:tc>
      </w:tr>
      <w:tr w:rsidR="006265F5" w:rsidRPr="005603CF" w14:paraId="6F5643ED" w14:textId="77777777" w:rsidTr="00D7051C">
        <w:trPr>
          <w:trHeight w:val="340"/>
        </w:trPr>
        <w:tc>
          <w:tcPr>
            <w:tcW w:w="3828" w:type="dxa"/>
            <w:shd w:val="clear" w:color="auto" w:fill="auto"/>
            <w:vAlign w:val="center"/>
          </w:tcPr>
          <w:p w14:paraId="787E2FCC" w14:textId="77777777" w:rsidR="006265F5" w:rsidRPr="005603CF" w:rsidRDefault="006265F5" w:rsidP="006265F5">
            <w:pPr>
              <w:rPr>
                <w:rFonts w:ascii="Arial Narrow" w:hAnsi="Arial Narrow" w:cs="Arial"/>
                <w:b/>
                <w:sz w:val="20"/>
                <w:szCs w:val="20"/>
              </w:rPr>
            </w:pPr>
          </w:p>
        </w:tc>
        <w:tc>
          <w:tcPr>
            <w:tcW w:w="1701" w:type="dxa"/>
            <w:shd w:val="clear" w:color="auto" w:fill="auto"/>
            <w:vAlign w:val="center"/>
          </w:tcPr>
          <w:p w14:paraId="1BFC9D86" w14:textId="2BD25DCB" w:rsidR="006265F5" w:rsidRPr="005603CF" w:rsidRDefault="006265F5" w:rsidP="006265F5">
            <w:pPr>
              <w:jc w:val="center"/>
              <w:rPr>
                <w:rFonts w:ascii="Arial Narrow" w:hAnsi="Arial Narrow" w:cs="Arial"/>
                <w:b/>
                <w:sz w:val="20"/>
                <w:szCs w:val="20"/>
              </w:rPr>
            </w:pPr>
            <w:r>
              <w:rPr>
                <w:rFonts w:ascii="Arial Narrow" w:hAnsi="Arial Narrow" w:cs="Arial"/>
                <w:b/>
                <w:sz w:val="20"/>
                <w:szCs w:val="20"/>
              </w:rPr>
              <w:t>75%</w:t>
            </w:r>
          </w:p>
        </w:tc>
        <w:tc>
          <w:tcPr>
            <w:tcW w:w="1819" w:type="dxa"/>
            <w:shd w:val="clear" w:color="auto" w:fill="auto"/>
            <w:vAlign w:val="center"/>
          </w:tcPr>
          <w:p w14:paraId="4533CD42" w14:textId="08D6EEC0" w:rsidR="006265F5" w:rsidRPr="005603CF" w:rsidRDefault="006265F5" w:rsidP="006265F5">
            <w:pPr>
              <w:jc w:val="center"/>
              <w:rPr>
                <w:rFonts w:ascii="Arial Narrow" w:hAnsi="Arial Narrow" w:cs="Arial"/>
                <w:b/>
                <w:sz w:val="20"/>
                <w:szCs w:val="20"/>
              </w:rPr>
            </w:pPr>
            <w:r>
              <w:rPr>
                <w:rFonts w:ascii="Arial Narrow" w:hAnsi="Arial Narrow" w:cs="Arial"/>
                <w:b/>
                <w:sz w:val="20"/>
                <w:szCs w:val="20"/>
              </w:rPr>
              <w:t>50%</w:t>
            </w:r>
          </w:p>
        </w:tc>
      </w:tr>
      <w:tr w:rsidR="006265F5" w:rsidRPr="005603CF" w14:paraId="069EC9CC" w14:textId="77777777" w:rsidTr="00D7051C">
        <w:trPr>
          <w:trHeight w:val="340"/>
        </w:trPr>
        <w:tc>
          <w:tcPr>
            <w:tcW w:w="3828" w:type="dxa"/>
            <w:shd w:val="clear" w:color="auto" w:fill="auto"/>
            <w:vAlign w:val="center"/>
          </w:tcPr>
          <w:p w14:paraId="5B78CAF7" w14:textId="77777777" w:rsidR="006265F5" w:rsidRPr="005603CF" w:rsidRDefault="006265F5" w:rsidP="006265F5">
            <w:pPr>
              <w:rPr>
                <w:rFonts w:ascii="Arial Narrow" w:hAnsi="Arial Narrow" w:cs="Arial"/>
                <w:sz w:val="20"/>
                <w:szCs w:val="20"/>
              </w:rPr>
            </w:pPr>
            <w:r w:rsidRPr="005603CF">
              <w:rPr>
                <w:rFonts w:ascii="Arial Narrow" w:hAnsi="Arial Narrow" w:cs="Arial"/>
                <w:sz w:val="20"/>
                <w:szCs w:val="20"/>
              </w:rPr>
              <w:t>Central Government</w:t>
            </w:r>
          </w:p>
        </w:tc>
        <w:tc>
          <w:tcPr>
            <w:tcW w:w="1701" w:type="dxa"/>
            <w:shd w:val="clear" w:color="auto" w:fill="auto"/>
            <w:vAlign w:val="center"/>
          </w:tcPr>
          <w:p w14:paraId="440F46EA" w14:textId="7CB18768" w:rsidR="006265F5" w:rsidRPr="005603CF" w:rsidRDefault="006265F5" w:rsidP="006265F5">
            <w:pPr>
              <w:jc w:val="center"/>
              <w:rPr>
                <w:rFonts w:ascii="Arial Narrow" w:hAnsi="Arial Narrow" w:cs="Arial"/>
                <w:sz w:val="20"/>
                <w:szCs w:val="20"/>
              </w:rPr>
            </w:pPr>
            <w:r w:rsidRPr="005603CF">
              <w:rPr>
                <w:rFonts w:ascii="Arial Narrow" w:hAnsi="Arial Narrow" w:cs="Arial"/>
                <w:sz w:val="20"/>
                <w:szCs w:val="20"/>
              </w:rPr>
              <w:t>25%</w:t>
            </w:r>
          </w:p>
        </w:tc>
        <w:tc>
          <w:tcPr>
            <w:tcW w:w="1819" w:type="dxa"/>
            <w:shd w:val="clear" w:color="auto" w:fill="auto"/>
            <w:vAlign w:val="center"/>
          </w:tcPr>
          <w:p w14:paraId="1920490A" w14:textId="511A9B2C" w:rsidR="006265F5" w:rsidRPr="005603CF" w:rsidRDefault="006265F5" w:rsidP="006265F5">
            <w:pPr>
              <w:jc w:val="center"/>
              <w:rPr>
                <w:rFonts w:ascii="Arial Narrow" w:hAnsi="Arial Narrow" w:cs="Arial"/>
                <w:sz w:val="20"/>
                <w:szCs w:val="20"/>
              </w:rPr>
            </w:pPr>
            <w:r w:rsidRPr="005603CF">
              <w:rPr>
                <w:rFonts w:ascii="Arial Narrow" w:hAnsi="Arial Narrow" w:cs="Arial"/>
                <w:sz w:val="20"/>
                <w:szCs w:val="20"/>
              </w:rPr>
              <w:t>5</w:t>
            </w:r>
            <w:r>
              <w:rPr>
                <w:rFonts w:ascii="Arial Narrow" w:hAnsi="Arial Narrow" w:cs="Arial"/>
                <w:sz w:val="20"/>
                <w:szCs w:val="20"/>
              </w:rPr>
              <w:t>0</w:t>
            </w:r>
            <w:r w:rsidRPr="005603CF">
              <w:rPr>
                <w:rFonts w:ascii="Arial Narrow" w:hAnsi="Arial Narrow" w:cs="Arial"/>
                <w:sz w:val="20"/>
                <w:szCs w:val="20"/>
              </w:rPr>
              <w:t>%</w:t>
            </w:r>
          </w:p>
        </w:tc>
      </w:tr>
      <w:tr w:rsidR="006265F5" w:rsidRPr="005603CF" w14:paraId="31C26CA4" w14:textId="77777777" w:rsidTr="00D7051C">
        <w:trPr>
          <w:trHeight w:val="340"/>
        </w:trPr>
        <w:tc>
          <w:tcPr>
            <w:tcW w:w="3828" w:type="dxa"/>
            <w:shd w:val="clear" w:color="auto" w:fill="auto"/>
            <w:vAlign w:val="center"/>
          </w:tcPr>
          <w:p w14:paraId="14B03D53" w14:textId="77777777" w:rsidR="006265F5" w:rsidRPr="005603CF" w:rsidRDefault="006265F5" w:rsidP="006265F5">
            <w:pPr>
              <w:rPr>
                <w:rFonts w:ascii="Arial Narrow" w:hAnsi="Arial Narrow" w:cs="Arial"/>
                <w:b/>
                <w:sz w:val="20"/>
                <w:szCs w:val="20"/>
              </w:rPr>
            </w:pPr>
            <w:r w:rsidRPr="005603CF">
              <w:rPr>
                <w:rFonts w:ascii="Arial Narrow" w:hAnsi="Arial Narrow" w:cs="Arial"/>
                <w:b/>
                <w:sz w:val="20"/>
                <w:szCs w:val="20"/>
              </w:rPr>
              <w:t>Total</w:t>
            </w:r>
          </w:p>
        </w:tc>
        <w:tc>
          <w:tcPr>
            <w:tcW w:w="1701" w:type="dxa"/>
            <w:shd w:val="clear" w:color="auto" w:fill="auto"/>
            <w:vAlign w:val="center"/>
          </w:tcPr>
          <w:p w14:paraId="482D650E" w14:textId="63537A35" w:rsidR="006265F5" w:rsidRPr="005603CF" w:rsidRDefault="006265F5" w:rsidP="006265F5">
            <w:pPr>
              <w:jc w:val="center"/>
              <w:rPr>
                <w:rFonts w:ascii="Arial Narrow" w:hAnsi="Arial Narrow" w:cs="Arial"/>
                <w:b/>
                <w:sz w:val="20"/>
                <w:szCs w:val="20"/>
              </w:rPr>
            </w:pPr>
            <w:r w:rsidRPr="005603CF">
              <w:rPr>
                <w:rFonts w:ascii="Arial Narrow" w:hAnsi="Arial Narrow" w:cs="Arial"/>
                <w:b/>
                <w:sz w:val="20"/>
                <w:szCs w:val="20"/>
              </w:rPr>
              <w:fldChar w:fldCharType="begin"/>
            </w:r>
            <w:r w:rsidRPr="005603CF">
              <w:rPr>
                <w:rFonts w:ascii="Arial Narrow" w:hAnsi="Arial Narrow" w:cs="Arial"/>
                <w:b/>
                <w:sz w:val="20"/>
                <w:szCs w:val="20"/>
              </w:rPr>
              <w:instrText xml:space="preserve"> =SUM(ABOVE)*100 \# "0%" </w:instrText>
            </w:r>
            <w:r w:rsidRPr="005603CF">
              <w:rPr>
                <w:rFonts w:ascii="Arial Narrow" w:hAnsi="Arial Narrow" w:cs="Arial"/>
                <w:b/>
                <w:sz w:val="20"/>
                <w:szCs w:val="20"/>
              </w:rPr>
              <w:fldChar w:fldCharType="separate"/>
            </w:r>
            <w:r w:rsidRPr="005603CF">
              <w:rPr>
                <w:rFonts w:ascii="Arial Narrow" w:hAnsi="Arial Narrow" w:cs="Arial"/>
                <w:b/>
                <w:noProof/>
                <w:sz w:val="20"/>
                <w:szCs w:val="20"/>
              </w:rPr>
              <w:t>100%</w:t>
            </w:r>
            <w:r w:rsidRPr="005603CF">
              <w:rPr>
                <w:rFonts w:ascii="Arial Narrow" w:hAnsi="Arial Narrow" w:cs="Arial"/>
                <w:b/>
                <w:sz w:val="20"/>
                <w:szCs w:val="20"/>
              </w:rPr>
              <w:fldChar w:fldCharType="end"/>
            </w:r>
          </w:p>
        </w:tc>
        <w:tc>
          <w:tcPr>
            <w:tcW w:w="1819" w:type="dxa"/>
            <w:shd w:val="clear" w:color="auto" w:fill="auto"/>
            <w:vAlign w:val="center"/>
          </w:tcPr>
          <w:p w14:paraId="108AA401" w14:textId="77777777" w:rsidR="006265F5" w:rsidRPr="005603CF" w:rsidRDefault="006265F5" w:rsidP="006265F5">
            <w:pPr>
              <w:jc w:val="center"/>
              <w:rPr>
                <w:rFonts w:ascii="Arial Narrow" w:hAnsi="Arial Narrow" w:cs="Arial"/>
                <w:b/>
                <w:sz w:val="20"/>
                <w:szCs w:val="20"/>
              </w:rPr>
            </w:pPr>
            <w:r w:rsidRPr="005603CF">
              <w:rPr>
                <w:rFonts w:ascii="Arial Narrow" w:hAnsi="Arial Narrow" w:cs="Arial"/>
                <w:b/>
                <w:sz w:val="20"/>
                <w:szCs w:val="20"/>
              </w:rPr>
              <w:fldChar w:fldCharType="begin"/>
            </w:r>
            <w:r w:rsidRPr="005603CF">
              <w:rPr>
                <w:rFonts w:ascii="Arial Narrow" w:hAnsi="Arial Narrow" w:cs="Arial"/>
                <w:b/>
                <w:sz w:val="20"/>
                <w:szCs w:val="20"/>
              </w:rPr>
              <w:instrText xml:space="preserve"> =SUM(ABOVE)*100 \# "0%" </w:instrText>
            </w:r>
            <w:r w:rsidRPr="005603CF">
              <w:rPr>
                <w:rFonts w:ascii="Arial Narrow" w:hAnsi="Arial Narrow" w:cs="Arial"/>
                <w:b/>
                <w:sz w:val="20"/>
                <w:szCs w:val="20"/>
              </w:rPr>
              <w:fldChar w:fldCharType="separate"/>
            </w:r>
            <w:r w:rsidRPr="005603CF">
              <w:rPr>
                <w:rFonts w:ascii="Arial Narrow" w:hAnsi="Arial Narrow" w:cs="Arial"/>
                <w:b/>
                <w:noProof/>
                <w:sz w:val="20"/>
                <w:szCs w:val="20"/>
              </w:rPr>
              <w:t>100%</w:t>
            </w:r>
            <w:r w:rsidRPr="005603CF">
              <w:rPr>
                <w:rFonts w:ascii="Arial Narrow" w:hAnsi="Arial Narrow" w:cs="Arial"/>
                <w:b/>
                <w:sz w:val="20"/>
                <w:szCs w:val="20"/>
              </w:rPr>
              <w:fldChar w:fldCharType="end"/>
            </w:r>
          </w:p>
        </w:tc>
      </w:tr>
      <w:tr w:rsidR="006265F5" w:rsidRPr="005603CF" w14:paraId="5E940652" w14:textId="77777777" w:rsidTr="00D7051C">
        <w:trPr>
          <w:trHeight w:val="340"/>
        </w:trPr>
        <w:tc>
          <w:tcPr>
            <w:tcW w:w="3828" w:type="dxa"/>
            <w:shd w:val="clear" w:color="auto" w:fill="auto"/>
            <w:vAlign w:val="center"/>
          </w:tcPr>
          <w:p w14:paraId="0ACEA4DA" w14:textId="77777777" w:rsidR="006265F5" w:rsidRPr="005603CF" w:rsidRDefault="006265F5" w:rsidP="006265F5">
            <w:pPr>
              <w:rPr>
                <w:rFonts w:ascii="Arial Narrow" w:hAnsi="Arial Narrow" w:cs="Arial"/>
                <w:sz w:val="20"/>
                <w:szCs w:val="20"/>
              </w:rPr>
            </w:pPr>
            <w:r w:rsidRPr="005603CF">
              <w:rPr>
                <w:rFonts w:ascii="Arial Narrow" w:hAnsi="Arial Narrow" w:cs="Arial"/>
                <w:sz w:val="20"/>
                <w:szCs w:val="20"/>
              </w:rPr>
              <w:t>Unitary Authorities</w:t>
            </w:r>
          </w:p>
        </w:tc>
        <w:tc>
          <w:tcPr>
            <w:tcW w:w="1701" w:type="dxa"/>
            <w:shd w:val="clear" w:color="auto" w:fill="auto"/>
            <w:vAlign w:val="center"/>
          </w:tcPr>
          <w:p w14:paraId="3496E76F" w14:textId="2CCFC2B6" w:rsidR="006265F5" w:rsidRPr="005603CF" w:rsidRDefault="006265F5" w:rsidP="006265F5">
            <w:pPr>
              <w:jc w:val="center"/>
              <w:rPr>
                <w:rFonts w:ascii="Arial Narrow" w:hAnsi="Arial Narrow" w:cs="Arial"/>
                <w:sz w:val="20"/>
                <w:szCs w:val="20"/>
              </w:rPr>
            </w:pPr>
            <w:r w:rsidRPr="005603CF">
              <w:rPr>
                <w:rFonts w:ascii="Arial Narrow" w:hAnsi="Arial Narrow" w:cs="Arial"/>
                <w:sz w:val="20"/>
                <w:szCs w:val="20"/>
              </w:rPr>
              <w:t>73.5%</w:t>
            </w:r>
          </w:p>
        </w:tc>
        <w:tc>
          <w:tcPr>
            <w:tcW w:w="1819" w:type="dxa"/>
            <w:shd w:val="clear" w:color="auto" w:fill="auto"/>
            <w:vAlign w:val="center"/>
          </w:tcPr>
          <w:p w14:paraId="1C39558F" w14:textId="64959D8D" w:rsidR="006265F5" w:rsidRPr="005603CF" w:rsidRDefault="006265F5" w:rsidP="006265F5">
            <w:pPr>
              <w:jc w:val="center"/>
              <w:rPr>
                <w:rFonts w:ascii="Arial Narrow" w:hAnsi="Arial Narrow" w:cs="Arial"/>
                <w:sz w:val="20"/>
                <w:szCs w:val="20"/>
              </w:rPr>
            </w:pPr>
            <w:r>
              <w:rPr>
                <w:rFonts w:ascii="Arial Narrow" w:hAnsi="Arial Narrow" w:cs="Arial"/>
                <w:sz w:val="20"/>
                <w:szCs w:val="20"/>
              </w:rPr>
              <w:t>49</w:t>
            </w:r>
            <w:r w:rsidRPr="005603CF">
              <w:rPr>
                <w:rFonts w:ascii="Arial Narrow" w:hAnsi="Arial Narrow" w:cs="Arial"/>
                <w:sz w:val="20"/>
                <w:szCs w:val="20"/>
              </w:rPr>
              <w:t>%</w:t>
            </w:r>
          </w:p>
        </w:tc>
      </w:tr>
    </w:tbl>
    <w:p w14:paraId="6FC35A8B" w14:textId="05A0A8A4" w:rsidR="00D7051C" w:rsidRDefault="00D7051C" w:rsidP="00D7051C">
      <w:pPr>
        <w:rPr>
          <w:rFonts w:cs="Arial"/>
        </w:rPr>
      </w:pPr>
    </w:p>
    <w:p w14:paraId="7F724EAD" w14:textId="5F413E67" w:rsidR="00B7785D" w:rsidRDefault="00B7785D" w:rsidP="00D7051C">
      <w:pPr>
        <w:rPr>
          <w:rFonts w:cs="Arial"/>
        </w:rPr>
      </w:pPr>
    </w:p>
    <w:p w14:paraId="6503E37C" w14:textId="364B811E" w:rsidR="00B7785D" w:rsidRPr="00B7785D" w:rsidRDefault="00B7785D" w:rsidP="00D7051C">
      <w:pPr>
        <w:rPr>
          <w:rFonts w:cs="Arial"/>
          <w:b/>
          <w:bCs/>
        </w:rPr>
      </w:pPr>
      <w:r w:rsidRPr="00B7785D">
        <w:rPr>
          <w:rFonts w:cs="Arial"/>
          <w:b/>
          <w:bCs/>
          <w:highlight w:val="yellow"/>
        </w:rPr>
        <w:t>[FURTHER TEXT AND TABLES TO BE RECEIVED FROM POOL LEAD AUTHORITY TO BE INSERTED HERE]</w:t>
      </w:r>
    </w:p>
    <w:p w14:paraId="3057B02D" w14:textId="2F0E6EA3" w:rsidR="00B7785D" w:rsidRDefault="00B7785D" w:rsidP="00D7051C">
      <w:pPr>
        <w:rPr>
          <w:rFonts w:cs="Arial"/>
        </w:rPr>
      </w:pPr>
    </w:p>
    <w:p w14:paraId="57B73735" w14:textId="77777777" w:rsidR="00B7785D" w:rsidRPr="005603CF" w:rsidRDefault="00B7785D" w:rsidP="00D7051C">
      <w:pPr>
        <w:rPr>
          <w:rFonts w:cs="Arial"/>
        </w:rPr>
      </w:pPr>
    </w:p>
    <w:p w14:paraId="497C5928" w14:textId="77777777" w:rsidR="00D7051C" w:rsidRPr="006265F5" w:rsidRDefault="00D7051C" w:rsidP="00D7051C">
      <w:pPr>
        <w:rPr>
          <w:rFonts w:cs="Arial"/>
          <w:highlight w:val="yellow"/>
        </w:rPr>
      </w:pPr>
    </w:p>
    <w:p w14:paraId="6ED19B4F" w14:textId="6316B49E" w:rsidR="00AF28BE" w:rsidRPr="00096785" w:rsidRDefault="00AF28BE" w:rsidP="00AF28BE">
      <w:pPr>
        <w:rPr>
          <w:rFonts w:cs="Arial"/>
        </w:rPr>
      </w:pPr>
    </w:p>
    <w:p w14:paraId="7A400BE6" w14:textId="77777777" w:rsidR="00D7051C" w:rsidRPr="00443FF0" w:rsidRDefault="00D7051C" w:rsidP="00D7051C">
      <w:pPr>
        <w:widowControl w:val="0"/>
        <w:tabs>
          <w:tab w:val="left" w:pos="0"/>
          <w:tab w:val="left" w:pos="2881"/>
        </w:tabs>
        <w:rPr>
          <w:snapToGrid w:val="0"/>
          <w:color w:val="000000" w:themeColor="text1"/>
          <w:highlight w:val="cyan"/>
        </w:rPr>
      </w:pPr>
    </w:p>
    <w:p w14:paraId="06156D78" w14:textId="77777777" w:rsidR="00A758CE" w:rsidRDefault="00A758CE">
      <w:pPr>
        <w:jc w:val="left"/>
        <w:rPr>
          <w:rFonts w:cs="Arial"/>
          <w:b/>
          <w:color w:val="0070C0"/>
          <w:szCs w:val="22"/>
        </w:rPr>
      </w:pPr>
      <w:bookmarkStart w:id="82" w:name="_MON_1548492377"/>
      <w:bookmarkStart w:id="83" w:name="_Toc483390980"/>
      <w:bookmarkStart w:id="84" w:name="_Ref483392656"/>
      <w:bookmarkStart w:id="85" w:name="_Ref483393297"/>
      <w:bookmarkEnd w:id="82"/>
      <w:r>
        <w:rPr>
          <w:rFonts w:cs="Arial"/>
          <w:b/>
          <w:color w:val="0070C0"/>
          <w:szCs w:val="22"/>
        </w:rPr>
        <w:br w:type="page"/>
      </w:r>
    </w:p>
    <w:p w14:paraId="7F155242" w14:textId="77777777" w:rsidR="001422EA" w:rsidRPr="00EC06E7" w:rsidRDefault="001422EA" w:rsidP="00EC2A33">
      <w:pPr>
        <w:rPr>
          <w:rFonts w:cs="Arial"/>
          <w:b/>
          <w:color w:val="0070C0"/>
          <w:szCs w:val="22"/>
        </w:rPr>
      </w:pPr>
    </w:p>
    <w:p w14:paraId="70019A9F" w14:textId="77777777" w:rsidR="0021551D" w:rsidRPr="001422EA" w:rsidRDefault="006E1448" w:rsidP="004E5A07">
      <w:pPr>
        <w:pStyle w:val="Heading2"/>
      </w:pPr>
      <w:bookmarkStart w:id="86" w:name="_Ref483395995"/>
      <w:bookmarkStart w:id="87" w:name="_Toc77603790"/>
      <w:r w:rsidRPr="001422EA">
        <w:t>Property, plant and equipment</w:t>
      </w:r>
      <w:bookmarkEnd w:id="83"/>
      <w:bookmarkEnd w:id="84"/>
      <w:bookmarkEnd w:id="85"/>
      <w:bookmarkEnd w:id="86"/>
      <w:bookmarkEnd w:id="87"/>
    </w:p>
    <w:p w14:paraId="0895AE4A" w14:textId="77777777" w:rsidR="0021551D" w:rsidRPr="00EC06E7" w:rsidRDefault="0021551D" w:rsidP="0021551D">
      <w:pPr>
        <w:ind w:left="360" w:hanging="360"/>
        <w:rPr>
          <w:rFonts w:cs="Courier New"/>
          <w:b/>
          <w:szCs w:val="22"/>
        </w:rPr>
      </w:pPr>
    </w:p>
    <w:p w14:paraId="714C0F57" w14:textId="77777777" w:rsidR="0021551D" w:rsidRPr="00EC06E7" w:rsidRDefault="0021551D" w:rsidP="0021551D">
      <w:pPr>
        <w:ind w:left="360" w:hanging="360"/>
        <w:rPr>
          <w:rFonts w:cs="Courier New"/>
          <w:b/>
          <w:szCs w:val="22"/>
        </w:rPr>
      </w:pPr>
      <w:r w:rsidRPr="001422EA">
        <w:rPr>
          <w:rFonts w:cs="Courier New"/>
          <w:b/>
          <w:szCs w:val="22"/>
        </w:rPr>
        <w:t>1</w:t>
      </w:r>
      <w:r w:rsidR="00C55F6A" w:rsidRPr="001422EA">
        <w:rPr>
          <w:rFonts w:cs="Courier New"/>
          <w:b/>
          <w:szCs w:val="22"/>
        </w:rPr>
        <w:t>5</w:t>
      </w:r>
      <w:r w:rsidRPr="001422EA">
        <w:rPr>
          <w:rFonts w:cs="Courier New"/>
          <w:b/>
          <w:szCs w:val="22"/>
        </w:rPr>
        <w:t>a Movements in Property Plant and Equipment</w:t>
      </w:r>
      <w:r w:rsidR="001C38B7">
        <w:rPr>
          <w:rFonts w:cs="Courier New"/>
          <w:b/>
          <w:szCs w:val="22"/>
        </w:rPr>
        <w:t xml:space="preserve"> </w:t>
      </w:r>
    </w:p>
    <w:p w14:paraId="0DF5813B" w14:textId="0DA28343" w:rsidR="0021551D" w:rsidRDefault="0021551D"/>
    <w:p w14:paraId="2E9268F9" w14:textId="1FD8FCFE" w:rsidR="00516074" w:rsidRDefault="004B1CDE">
      <w:r>
        <w:fldChar w:fldCharType="begin"/>
      </w:r>
      <w:r>
        <w:instrText xml:space="preserve"> LINK Excel.Sheet.12 "\\\\alpha\\accounts$\\CLOSURE\\Closure 20-21\\04 SoA Working Papers\\15 PPE\\Note 15a PPE Movements 2020-21.xlsx!Embedded Tables!R2C1:R31C7" "" \a \p </w:instrText>
      </w:r>
      <w:r>
        <w:fldChar w:fldCharType="separate"/>
      </w:r>
      <w:r w:rsidR="001C71EF">
        <w:object w:dxaOrig="9360" w:dyaOrig="9915" w14:anchorId="33A36652">
          <v:shape id="_x0000_i1040" type="#_x0000_t75" style="width:438.8pt;height:510.8pt" o:ole="">
            <v:imagedata r:id="rId67" o:title=""/>
            <o:lock v:ext="edit" aspectratio="f"/>
          </v:shape>
        </w:object>
      </w:r>
      <w:r>
        <w:fldChar w:fldCharType="end"/>
      </w:r>
    </w:p>
    <w:p w14:paraId="2C43B690" w14:textId="3CBF723A" w:rsidR="00516074" w:rsidRDefault="00516074"/>
    <w:p w14:paraId="4200BFDF" w14:textId="77777777" w:rsidR="000163E6" w:rsidRDefault="000163E6"/>
    <w:p w14:paraId="31CD9EDC" w14:textId="77777777" w:rsidR="00E77667" w:rsidRDefault="00E77667"/>
    <w:p w14:paraId="38543763" w14:textId="746963FC" w:rsidR="00E77667" w:rsidRDefault="00E77667">
      <w:pPr>
        <w:jc w:val="left"/>
      </w:pPr>
      <w:r>
        <w:br w:type="page"/>
      </w:r>
    </w:p>
    <w:p w14:paraId="0A2DB150" w14:textId="15F7F9CB" w:rsidR="00534EF0" w:rsidRDefault="00534EF0">
      <w:pPr>
        <w:jc w:val="left"/>
      </w:pPr>
    </w:p>
    <w:p w14:paraId="6536AF45" w14:textId="2247A053" w:rsidR="00534EF0" w:rsidRDefault="00534EF0">
      <w:pPr>
        <w:jc w:val="left"/>
      </w:pPr>
      <w:r>
        <w:fldChar w:fldCharType="begin"/>
      </w:r>
      <w:r>
        <w:instrText xml:space="preserve"> LINK Excel.Sheet.12 "\\\\alpha\\accounts$\\CLOSURE\\Closure 20-21\\04 SoA Working Papers\\15 PPE\\Note 15a PPE Movements 2020-21.xlsx!Embedded Tables!R34C1:R63C7" "" \a \p </w:instrText>
      </w:r>
      <w:r>
        <w:fldChar w:fldCharType="separate"/>
      </w:r>
      <w:r w:rsidR="001C71EF">
        <w:object w:dxaOrig="10069" w:dyaOrig="9616" w14:anchorId="4D9D68A1">
          <v:shape id="_x0000_i1041" type="#_x0000_t75" style="width:468pt;height:496.55pt" o:ole="">
            <v:imagedata r:id="rId68" o:title=""/>
            <o:lock v:ext="edit" aspectratio="f"/>
          </v:shape>
        </w:object>
      </w:r>
      <w:r>
        <w:fldChar w:fldCharType="end"/>
      </w:r>
    </w:p>
    <w:p w14:paraId="4DEF5528" w14:textId="77777777" w:rsidR="00534EF0" w:rsidRDefault="00534EF0">
      <w:pPr>
        <w:jc w:val="left"/>
      </w:pPr>
    </w:p>
    <w:p w14:paraId="449E1965" w14:textId="77777777" w:rsidR="00370FA4" w:rsidRPr="00EC06E7" w:rsidRDefault="00370FA4" w:rsidP="00EE76AA">
      <w:pPr>
        <w:rPr>
          <w:rFonts w:cs="Courier New"/>
          <w:szCs w:val="22"/>
        </w:rPr>
      </w:pPr>
    </w:p>
    <w:p w14:paraId="00411522" w14:textId="77777777" w:rsidR="008A7953" w:rsidRPr="00EC06E7" w:rsidRDefault="008A7953" w:rsidP="002B1C00">
      <w:pPr>
        <w:rPr>
          <w:rFonts w:cs="Courier New"/>
          <w:b/>
          <w:szCs w:val="22"/>
        </w:rPr>
      </w:pPr>
      <w:r w:rsidRPr="001422EA">
        <w:rPr>
          <w:rFonts w:cs="Courier New"/>
          <w:b/>
          <w:szCs w:val="22"/>
        </w:rPr>
        <w:t>1</w:t>
      </w:r>
      <w:r w:rsidR="00C55F6A" w:rsidRPr="001422EA">
        <w:rPr>
          <w:rFonts w:cs="Courier New"/>
          <w:b/>
          <w:szCs w:val="22"/>
        </w:rPr>
        <w:t>5</w:t>
      </w:r>
      <w:r w:rsidRPr="001422EA">
        <w:rPr>
          <w:rFonts w:cs="Courier New"/>
          <w:b/>
          <w:szCs w:val="22"/>
        </w:rPr>
        <w:t>b Depreciation</w:t>
      </w:r>
    </w:p>
    <w:p w14:paraId="5BD459DE" w14:textId="77777777" w:rsidR="008A7953" w:rsidRPr="00EC06E7" w:rsidRDefault="008A7953" w:rsidP="002B1C00">
      <w:pPr>
        <w:rPr>
          <w:rFonts w:cs="Courier New"/>
          <w:szCs w:val="22"/>
        </w:rPr>
      </w:pPr>
    </w:p>
    <w:p w14:paraId="7C889368" w14:textId="77777777" w:rsidR="008A7953" w:rsidRPr="00EC06E7" w:rsidRDefault="008A7953" w:rsidP="002B1C00">
      <w:pPr>
        <w:rPr>
          <w:rFonts w:cs="Courier New"/>
          <w:szCs w:val="22"/>
        </w:rPr>
      </w:pPr>
      <w:r w:rsidRPr="00EC06E7">
        <w:rPr>
          <w:rFonts w:cs="Courier New"/>
          <w:szCs w:val="22"/>
        </w:rPr>
        <w:t>The following useful lives have been used in the calculation of depreciation:</w:t>
      </w:r>
    </w:p>
    <w:p w14:paraId="1E8BEB61" w14:textId="77777777" w:rsidR="008A7953" w:rsidRPr="00EC06E7" w:rsidRDefault="008A7953" w:rsidP="002B1C00">
      <w:pPr>
        <w:rPr>
          <w:rFonts w:cs="Courier New"/>
          <w:szCs w:val="22"/>
        </w:rPr>
      </w:pPr>
    </w:p>
    <w:tbl>
      <w:tblPr>
        <w:tblW w:w="0" w:type="auto"/>
        <w:tblLook w:val="01E0" w:firstRow="1" w:lastRow="1" w:firstColumn="1" w:lastColumn="1" w:noHBand="0" w:noVBand="0"/>
      </w:tblPr>
      <w:tblGrid>
        <w:gridCol w:w="4253"/>
        <w:gridCol w:w="1134"/>
      </w:tblGrid>
      <w:tr w:rsidR="008A7953" w:rsidRPr="00EC06E7" w14:paraId="19346D06" w14:textId="77777777" w:rsidTr="000C4579">
        <w:trPr>
          <w:trHeight w:val="284"/>
        </w:trPr>
        <w:tc>
          <w:tcPr>
            <w:tcW w:w="4253" w:type="dxa"/>
          </w:tcPr>
          <w:p w14:paraId="78D19F9B" w14:textId="77777777" w:rsidR="008A7953" w:rsidRPr="00EC06E7" w:rsidRDefault="000C4579" w:rsidP="00A03A0E">
            <w:pPr>
              <w:rPr>
                <w:rFonts w:cs="Courier New"/>
                <w:b/>
                <w:szCs w:val="22"/>
                <w:u w:val="single"/>
              </w:rPr>
            </w:pPr>
            <w:r w:rsidRPr="00EC06E7">
              <w:rPr>
                <w:rFonts w:cs="Courier New"/>
                <w:b/>
                <w:szCs w:val="22"/>
                <w:u w:val="single"/>
              </w:rPr>
              <w:t>Type of Asset</w:t>
            </w:r>
          </w:p>
        </w:tc>
        <w:tc>
          <w:tcPr>
            <w:tcW w:w="1134" w:type="dxa"/>
          </w:tcPr>
          <w:p w14:paraId="1CE5066E" w14:textId="77777777" w:rsidR="008A7953" w:rsidRPr="00EC06E7" w:rsidRDefault="00343D53" w:rsidP="00A03A0E">
            <w:pPr>
              <w:jc w:val="right"/>
              <w:rPr>
                <w:rFonts w:cs="Courier New"/>
                <w:b/>
                <w:szCs w:val="22"/>
                <w:u w:val="single"/>
              </w:rPr>
            </w:pPr>
            <w:r w:rsidRPr="00EC06E7">
              <w:rPr>
                <w:rFonts w:cs="Courier New"/>
                <w:b/>
                <w:szCs w:val="22"/>
                <w:u w:val="single"/>
              </w:rPr>
              <w:t>Y</w:t>
            </w:r>
            <w:r w:rsidR="008A7953" w:rsidRPr="00EC06E7">
              <w:rPr>
                <w:rFonts w:cs="Courier New"/>
                <w:b/>
                <w:szCs w:val="22"/>
                <w:u w:val="single"/>
              </w:rPr>
              <w:t>ears</w:t>
            </w:r>
          </w:p>
        </w:tc>
      </w:tr>
      <w:tr w:rsidR="008A7953" w:rsidRPr="00EC06E7" w14:paraId="2E83B8F7" w14:textId="77777777" w:rsidTr="000C4579">
        <w:trPr>
          <w:trHeight w:val="284"/>
        </w:trPr>
        <w:tc>
          <w:tcPr>
            <w:tcW w:w="4253" w:type="dxa"/>
          </w:tcPr>
          <w:p w14:paraId="0B474877" w14:textId="77777777" w:rsidR="008A7953" w:rsidRPr="00EC06E7" w:rsidRDefault="00E73BF8" w:rsidP="00A03A0E">
            <w:pPr>
              <w:rPr>
                <w:rFonts w:cs="Courier New"/>
                <w:szCs w:val="22"/>
              </w:rPr>
            </w:pPr>
            <w:r w:rsidRPr="00EC06E7">
              <w:rPr>
                <w:rFonts w:cs="Courier New"/>
                <w:szCs w:val="22"/>
              </w:rPr>
              <w:t>Other Land &amp; B</w:t>
            </w:r>
            <w:r w:rsidR="008A7953" w:rsidRPr="00EC06E7">
              <w:rPr>
                <w:rFonts w:cs="Courier New"/>
                <w:szCs w:val="22"/>
              </w:rPr>
              <w:t>uildings</w:t>
            </w:r>
          </w:p>
        </w:tc>
        <w:tc>
          <w:tcPr>
            <w:tcW w:w="1134" w:type="dxa"/>
          </w:tcPr>
          <w:p w14:paraId="48B3A312" w14:textId="77777777" w:rsidR="008A7953" w:rsidRPr="00EC06E7" w:rsidRDefault="008A7953" w:rsidP="00343D53">
            <w:pPr>
              <w:jc w:val="right"/>
              <w:rPr>
                <w:rFonts w:cs="Courier New"/>
                <w:szCs w:val="22"/>
              </w:rPr>
            </w:pPr>
            <w:r w:rsidRPr="00EC06E7">
              <w:rPr>
                <w:rFonts w:cs="Courier New"/>
                <w:szCs w:val="22"/>
              </w:rPr>
              <w:t>5-</w:t>
            </w:r>
            <w:r w:rsidR="00343D53" w:rsidRPr="00EC06E7">
              <w:rPr>
                <w:rFonts w:cs="Courier New"/>
                <w:szCs w:val="22"/>
              </w:rPr>
              <w:t>6</w:t>
            </w:r>
            <w:r w:rsidRPr="00EC06E7">
              <w:rPr>
                <w:rFonts w:cs="Courier New"/>
                <w:szCs w:val="22"/>
              </w:rPr>
              <w:t>0</w:t>
            </w:r>
          </w:p>
        </w:tc>
      </w:tr>
      <w:tr w:rsidR="008A7953" w:rsidRPr="00EC06E7" w14:paraId="79E7484F" w14:textId="77777777" w:rsidTr="000C4579">
        <w:trPr>
          <w:trHeight w:val="284"/>
        </w:trPr>
        <w:tc>
          <w:tcPr>
            <w:tcW w:w="4253" w:type="dxa"/>
          </w:tcPr>
          <w:p w14:paraId="0E5BA3E4" w14:textId="77777777" w:rsidR="008A7953" w:rsidRPr="00EC06E7" w:rsidRDefault="008A7953" w:rsidP="00A03A0E">
            <w:pPr>
              <w:rPr>
                <w:rFonts w:cs="Courier New"/>
                <w:szCs w:val="22"/>
              </w:rPr>
            </w:pPr>
            <w:r w:rsidRPr="00EC06E7">
              <w:rPr>
                <w:rFonts w:cs="Courier New"/>
                <w:szCs w:val="22"/>
              </w:rPr>
              <w:t>Vehicles, Plant, Furniture &amp; Equipment</w:t>
            </w:r>
          </w:p>
        </w:tc>
        <w:tc>
          <w:tcPr>
            <w:tcW w:w="1134" w:type="dxa"/>
          </w:tcPr>
          <w:p w14:paraId="6CAB123B" w14:textId="77777777" w:rsidR="008A7953" w:rsidRPr="00EC06E7" w:rsidRDefault="00E73BF8" w:rsidP="00E73BF8">
            <w:pPr>
              <w:jc w:val="right"/>
              <w:rPr>
                <w:rFonts w:cs="Courier New"/>
                <w:szCs w:val="22"/>
              </w:rPr>
            </w:pPr>
            <w:r w:rsidRPr="00EC06E7">
              <w:rPr>
                <w:rFonts w:cs="Courier New"/>
                <w:szCs w:val="22"/>
              </w:rPr>
              <w:t>3-15</w:t>
            </w:r>
          </w:p>
        </w:tc>
      </w:tr>
      <w:tr w:rsidR="008A7953" w:rsidRPr="00EC06E7" w14:paraId="2CD9E103" w14:textId="77777777" w:rsidTr="000C4579">
        <w:trPr>
          <w:trHeight w:val="284"/>
        </w:trPr>
        <w:tc>
          <w:tcPr>
            <w:tcW w:w="4253" w:type="dxa"/>
          </w:tcPr>
          <w:p w14:paraId="38CDE7AD" w14:textId="77777777" w:rsidR="008A7953" w:rsidRPr="00EC06E7" w:rsidRDefault="00E73BF8" w:rsidP="00A03A0E">
            <w:pPr>
              <w:rPr>
                <w:rFonts w:cs="Courier New"/>
                <w:szCs w:val="22"/>
              </w:rPr>
            </w:pPr>
            <w:r w:rsidRPr="00EC06E7">
              <w:rPr>
                <w:rFonts w:cs="Courier New"/>
                <w:szCs w:val="22"/>
              </w:rPr>
              <w:t>Infrastructure</w:t>
            </w:r>
          </w:p>
        </w:tc>
        <w:tc>
          <w:tcPr>
            <w:tcW w:w="1134" w:type="dxa"/>
          </w:tcPr>
          <w:p w14:paraId="4E3D9DC1" w14:textId="77777777" w:rsidR="008A7953" w:rsidRPr="00EC06E7" w:rsidRDefault="00E73BF8" w:rsidP="00A03A0E">
            <w:pPr>
              <w:jc w:val="right"/>
              <w:rPr>
                <w:rFonts w:cs="Courier New"/>
                <w:szCs w:val="22"/>
              </w:rPr>
            </w:pPr>
            <w:r w:rsidRPr="00EC06E7">
              <w:rPr>
                <w:rFonts w:cs="Courier New"/>
                <w:szCs w:val="22"/>
              </w:rPr>
              <w:t>5-6</w:t>
            </w:r>
            <w:r w:rsidR="008A7953" w:rsidRPr="00EC06E7">
              <w:rPr>
                <w:rFonts w:cs="Courier New"/>
                <w:szCs w:val="22"/>
              </w:rPr>
              <w:t>0</w:t>
            </w:r>
          </w:p>
        </w:tc>
      </w:tr>
    </w:tbl>
    <w:p w14:paraId="3D99F925" w14:textId="77777777" w:rsidR="008A7953" w:rsidRPr="00EC06E7" w:rsidRDefault="008A7953" w:rsidP="00066131"/>
    <w:p w14:paraId="56F7DE1A" w14:textId="77777777" w:rsidR="008A7953" w:rsidRPr="00EC06E7" w:rsidRDefault="008A7953" w:rsidP="00066131"/>
    <w:p w14:paraId="7E10673B" w14:textId="77777777" w:rsidR="005C0D37" w:rsidRDefault="005C0D37" w:rsidP="002B1C00">
      <w:pPr>
        <w:rPr>
          <w:rFonts w:cs="Courier New"/>
          <w:b/>
          <w:szCs w:val="22"/>
        </w:rPr>
      </w:pPr>
      <w:r>
        <w:rPr>
          <w:rFonts w:cs="Courier New"/>
          <w:b/>
          <w:szCs w:val="22"/>
        </w:rPr>
        <w:br w:type="page"/>
      </w:r>
    </w:p>
    <w:p w14:paraId="56552FD4" w14:textId="77777777" w:rsidR="002B1C00" w:rsidRPr="001422EA" w:rsidRDefault="00E73BF8" w:rsidP="002B1C00">
      <w:pPr>
        <w:rPr>
          <w:rFonts w:cs="Courier New"/>
          <w:b/>
          <w:szCs w:val="22"/>
        </w:rPr>
      </w:pPr>
      <w:r w:rsidRPr="001422EA">
        <w:rPr>
          <w:rFonts w:cs="Courier New"/>
          <w:b/>
          <w:szCs w:val="22"/>
        </w:rPr>
        <w:t>1</w:t>
      </w:r>
      <w:r w:rsidR="00C55F6A" w:rsidRPr="001422EA">
        <w:rPr>
          <w:rFonts w:cs="Courier New"/>
          <w:b/>
          <w:szCs w:val="22"/>
        </w:rPr>
        <w:t>5</w:t>
      </w:r>
      <w:r w:rsidRPr="001422EA">
        <w:rPr>
          <w:rFonts w:cs="Courier New"/>
          <w:b/>
          <w:szCs w:val="22"/>
        </w:rPr>
        <w:t>c</w:t>
      </w:r>
      <w:r w:rsidR="006844F5" w:rsidRPr="001422EA">
        <w:rPr>
          <w:rFonts w:cs="Courier New"/>
          <w:b/>
          <w:szCs w:val="22"/>
        </w:rPr>
        <w:t xml:space="preserve"> Capital Commitments</w:t>
      </w:r>
    </w:p>
    <w:p w14:paraId="1D18B95A" w14:textId="77777777" w:rsidR="002B1C00" w:rsidRPr="007D24CB" w:rsidRDefault="002B1C00" w:rsidP="002B1C00">
      <w:pPr>
        <w:rPr>
          <w:rFonts w:cs="Courier New"/>
          <w:szCs w:val="22"/>
          <w:highlight w:val="yellow"/>
        </w:rPr>
      </w:pPr>
    </w:p>
    <w:p w14:paraId="588B634C" w14:textId="05F32D37" w:rsidR="005C0D37" w:rsidRPr="00C50C2B" w:rsidRDefault="005C0D37" w:rsidP="005C0D37">
      <w:pPr>
        <w:rPr>
          <w:rFonts w:cs="Arial"/>
        </w:rPr>
      </w:pPr>
      <w:r w:rsidRPr="00C50C2B">
        <w:rPr>
          <w:rFonts w:cs="Arial"/>
        </w:rPr>
        <w:t xml:space="preserve">At 31 </w:t>
      </w:r>
      <w:r w:rsidR="002756B8">
        <w:rPr>
          <w:rFonts w:cs="Arial"/>
        </w:rPr>
        <w:t>M</w:t>
      </w:r>
      <w:r w:rsidRPr="00C50C2B">
        <w:rPr>
          <w:rFonts w:cs="Arial"/>
        </w:rPr>
        <w:t>arch 202</w:t>
      </w:r>
      <w:r w:rsidR="002756B8">
        <w:rPr>
          <w:rFonts w:cs="Arial"/>
        </w:rPr>
        <w:t>1</w:t>
      </w:r>
      <w:r w:rsidRPr="00C50C2B">
        <w:rPr>
          <w:rFonts w:cs="Arial"/>
        </w:rPr>
        <w:t xml:space="preserve"> there were</w:t>
      </w:r>
      <w:r w:rsidR="00102216">
        <w:rPr>
          <w:rFonts w:cs="Arial"/>
        </w:rPr>
        <w:t xml:space="preserve"> 8 </w:t>
      </w:r>
      <w:r w:rsidRPr="00C50C2B">
        <w:rPr>
          <w:rFonts w:cs="Arial"/>
        </w:rPr>
        <w:t>significant contractual commitments</w:t>
      </w:r>
      <w:r>
        <w:rPr>
          <w:rFonts w:cs="Arial"/>
        </w:rPr>
        <w:t xml:space="preserve">, </w:t>
      </w:r>
      <w:r w:rsidRPr="00102216">
        <w:rPr>
          <w:rFonts w:cs="Arial"/>
        </w:rPr>
        <w:t>totalling £</w:t>
      </w:r>
      <w:r w:rsidR="00102216" w:rsidRPr="00102216">
        <w:rPr>
          <w:rFonts w:cs="Arial"/>
        </w:rPr>
        <w:t>1.783</w:t>
      </w:r>
      <w:r w:rsidRPr="00102216">
        <w:rPr>
          <w:rFonts w:cs="Arial"/>
        </w:rPr>
        <w:t>m, relating</w:t>
      </w:r>
      <w:r w:rsidRPr="00C50C2B">
        <w:rPr>
          <w:rFonts w:cs="Arial"/>
        </w:rPr>
        <w:t xml:space="preserve"> to capital expenditure, as listed in the table below.</w:t>
      </w:r>
    </w:p>
    <w:p w14:paraId="766D3DE3" w14:textId="77777777" w:rsidR="005C0D37" w:rsidRPr="00C50C2B" w:rsidRDefault="005C0D37" w:rsidP="005C0D37">
      <w:pPr>
        <w:rPr>
          <w:rFonts w:cs="Arial"/>
        </w:rPr>
      </w:pPr>
    </w:p>
    <w:tbl>
      <w:tblPr>
        <w:tblW w:w="6560" w:type="dxa"/>
        <w:tblInd w:w="-3" w:type="dxa"/>
        <w:tblCellMar>
          <w:left w:w="0" w:type="dxa"/>
          <w:right w:w="0" w:type="dxa"/>
        </w:tblCellMar>
        <w:tblLook w:val="04A0" w:firstRow="1" w:lastRow="0" w:firstColumn="1" w:lastColumn="0" w:noHBand="0" w:noVBand="1"/>
      </w:tblPr>
      <w:tblGrid>
        <w:gridCol w:w="1240"/>
        <w:gridCol w:w="5320"/>
      </w:tblGrid>
      <w:tr w:rsidR="005C0D37" w:rsidRPr="00C50C2B" w14:paraId="35A19365" w14:textId="77777777" w:rsidTr="00D7051C">
        <w:trPr>
          <w:trHeight w:val="360"/>
        </w:trPr>
        <w:tc>
          <w:tcPr>
            <w:tcW w:w="1240" w:type="dxa"/>
            <w:tcBorders>
              <w:top w:val="single" w:sz="8" w:space="0" w:color="auto"/>
              <w:left w:val="single" w:sz="8" w:space="0" w:color="auto"/>
              <w:bottom w:val="single" w:sz="8" w:space="0" w:color="auto"/>
              <w:right w:val="single" w:sz="8" w:space="0" w:color="auto"/>
            </w:tcBorders>
            <w:shd w:val="clear" w:color="auto" w:fill="B4C6E7"/>
            <w:noWrap/>
            <w:tcMar>
              <w:top w:w="0" w:type="dxa"/>
              <w:left w:w="108" w:type="dxa"/>
              <w:bottom w:w="0" w:type="dxa"/>
              <w:right w:w="108" w:type="dxa"/>
            </w:tcMar>
            <w:vAlign w:val="center"/>
            <w:hideMark/>
          </w:tcPr>
          <w:p w14:paraId="57EC2127" w14:textId="524BD519" w:rsidR="005C0D37" w:rsidRPr="00C50C2B" w:rsidRDefault="005C0D37" w:rsidP="00D7051C">
            <w:pPr>
              <w:jc w:val="center"/>
              <w:rPr>
                <w:rFonts w:cs="Arial"/>
                <w:color w:val="000000"/>
              </w:rPr>
            </w:pPr>
            <w:r w:rsidRPr="00C50C2B">
              <w:rPr>
                <w:rFonts w:cs="Arial"/>
                <w:color w:val="000000"/>
              </w:rPr>
              <w:t>Value (£</w:t>
            </w:r>
            <w:r w:rsidR="00102216">
              <w:rPr>
                <w:rFonts w:cs="Arial"/>
                <w:color w:val="000000"/>
              </w:rPr>
              <w:t>’000</w:t>
            </w:r>
            <w:r w:rsidRPr="00C50C2B">
              <w:rPr>
                <w:rFonts w:cs="Arial"/>
                <w:color w:val="000000"/>
              </w:rPr>
              <w:t>)</w:t>
            </w:r>
          </w:p>
        </w:tc>
        <w:tc>
          <w:tcPr>
            <w:tcW w:w="5320" w:type="dxa"/>
            <w:tcBorders>
              <w:top w:val="single" w:sz="8" w:space="0" w:color="auto"/>
              <w:left w:val="nil"/>
              <w:bottom w:val="single" w:sz="8" w:space="0" w:color="auto"/>
              <w:right w:val="single" w:sz="8" w:space="0" w:color="auto"/>
            </w:tcBorders>
            <w:shd w:val="clear" w:color="auto" w:fill="B4C6E7"/>
            <w:noWrap/>
            <w:tcMar>
              <w:top w:w="0" w:type="dxa"/>
              <w:left w:w="108" w:type="dxa"/>
              <w:bottom w:w="0" w:type="dxa"/>
              <w:right w:w="108" w:type="dxa"/>
            </w:tcMar>
            <w:vAlign w:val="center"/>
            <w:hideMark/>
          </w:tcPr>
          <w:p w14:paraId="18C0C065" w14:textId="77777777" w:rsidR="005C0D37" w:rsidRPr="00C50C2B" w:rsidRDefault="005C0D37" w:rsidP="00D7051C">
            <w:pPr>
              <w:rPr>
                <w:rFonts w:cs="Arial"/>
                <w:color w:val="000000"/>
              </w:rPr>
            </w:pPr>
            <w:r w:rsidRPr="00C50C2B">
              <w:rPr>
                <w:rFonts w:cs="Arial"/>
                <w:color w:val="000000"/>
              </w:rPr>
              <w:t>Description</w:t>
            </w:r>
          </w:p>
        </w:tc>
      </w:tr>
      <w:tr w:rsidR="00102216" w:rsidRPr="00C50C2B" w14:paraId="6F102AEF" w14:textId="77777777" w:rsidTr="006143C4">
        <w:trPr>
          <w:trHeight w:val="360"/>
        </w:trPr>
        <w:tc>
          <w:tcPr>
            <w:tcW w:w="124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14:paraId="12A06615" w14:textId="33EF0A04" w:rsidR="00102216" w:rsidRPr="00C50C2B" w:rsidRDefault="00102216" w:rsidP="00102216">
            <w:pPr>
              <w:jc w:val="right"/>
              <w:rPr>
                <w:rFonts w:cs="Arial"/>
                <w:color w:val="000000"/>
              </w:rPr>
            </w:pPr>
            <w:r w:rsidRPr="00867D1B">
              <w:t xml:space="preserve">386 </w:t>
            </w:r>
          </w:p>
        </w:tc>
        <w:tc>
          <w:tcPr>
            <w:tcW w:w="5320" w:type="dxa"/>
            <w:tcBorders>
              <w:top w:val="nil"/>
              <w:left w:val="nil"/>
              <w:bottom w:val="single" w:sz="8" w:space="0" w:color="auto"/>
              <w:right w:val="single" w:sz="8" w:space="0" w:color="auto"/>
            </w:tcBorders>
            <w:noWrap/>
            <w:tcMar>
              <w:top w:w="0" w:type="dxa"/>
              <w:left w:w="108" w:type="dxa"/>
              <w:bottom w:w="0" w:type="dxa"/>
              <w:right w:w="108" w:type="dxa"/>
            </w:tcMar>
          </w:tcPr>
          <w:p w14:paraId="2E78E5AF" w14:textId="74600CF9" w:rsidR="00102216" w:rsidRPr="00C50C2B" w:rsidRDefault="00102216" w:rsidP="00102216">
            <w:pPr>
              <w:rPr>
                <w:rFonts w:cs="Arial"/>
                <w:color w:val="000000"/>
              </w:rPr>
            </w:pPr>
            <w:r w:rsidRPr="00867D1B">
              <w:t>Refurbishment of Hurst Grange Coach House</w:t>
            </w:r>
          </w:p>
        </w:tc>
      </w:tr>
      <w:tr w:rsidR="00102216" w:rsidRPr="00C50C2B" w14:paraId="30FA9C79" w14:textId="77777777" w:rsidTr="006143C4">
        <w:trPr>
          <w:trHeight w:val="360"/>
        </w:trPr>
        <w:tc>
          <w:tcPr>
            <w:tcW w:w="124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14:paraId="5A4C1426" w14:textId="23DE9E46" w:rsidR="00102216" w:rsidRPr="00C50C2B" w:rsidRDefault="00102216" w:rsidP="00102216">
            <w:pPr>
              <w:jc w:val="right"/>
              <w:rPr>
                <w:rFonts w:cs="Arial"/>
                <w:color w:val="000000"/>
              </w:rPr>
            </w:pPr>
            <w:r w:rsidRPr="00867D1B">
              <w:t xml:space="preserve">164 </w:t>
            </w:r>
          </w:p>
        </w:tc>
        <w:tc>
          <w:tcPr>
            <w:tcW w:w="5320" w:type="dxa"/>
            <w:tcBorders>
              <w:top w:val="nil"/>
              <w:left w:val="nil"/>
              <w:bottom w:val="single" w:sz="8" w:space="0" w:color="auto"/>
              <w:right w:val="single" w:sz="8" w:space="0" w:color="auto"/>
            </w:tcBorders>
            <w:noWrap/>
            <w:tcMar>
              <w:top w:w="0" w:type="dxa"/>
              <w:left w:w="108" w:type="dxa"/>
              <w:bottom w:w="0" w:type="dxa"/>
              <w:right w:w="108" w:type="dxa"/>
            </w:tcMar>
          </w:tcPr>
          <w:p w14:paraId="33ADE36D" w14:textId="2E6AB9F9" w:rsidR="00102216" w:rsidRPr="00C50C2B" w:rsidRDefault="00102216" w:rsidP="00102216">
            <w:pPr>
              <w:rPr>
                <w:rFonts w:cs="Arial"/>
                <w:color w:val="000000"/>
              </w:rPr>
            </w:pPr>
            <w:r w:rsidRPr="00867D1B">
              <w:t>Conversion of a property into affordable housing units at Tom Hanson House, Station Road Bamber Bridge</w:t>
            </w:r>
          </w:p>
        </w:tc>
      </w:tr>
      <w:tr w:rsidR="00102216" w:rsidRPr="00C50C2B" w14:paraId="54C450D2" w14:textId="77777777" w:rsidTr="006143C4">
        <w:trPr>
          <w:trHeight w:val="360"/>
        </w:trPr>
        <w:tc>
          <w:tcPr>
            <w:tcW w:w="124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14:paraId="19519990" w14:textId="4F6D576E" w:rsidR="00102216" w:rsidRPr="00C50C2B" w:rsidRDefault="00102216" w:rsidP="00102216">
            <w:pPr>
              <w:jc w:val="right"/>
              <w:rPr>
                <w:rFonts w:cs="Arial"/>
                <w:color w:val="000000"/>
              </w:rPr>
            </w:pPr>
            <w:r w:rsidRPr="00867D1B">
              <w:t xml:space="preserve">90 </w:t>
            </w:r>
          </w:p>
        </w:tc>
        <w:tc>
          <w:tcPr>
            <w:tcW w:w="5320" w:type="dxa"/>
            <w:tcBorders>
              <w:top w:val="nil"/>
              <w:left w:val="nil"/>
              <w:bottom w:val="single" w:sz="8" w:space="0" w:color="auto"/>
              <w:right w:val="single" w:sz="8" w:space="0" w:color="auto"/>
            </w:tcBorders>
            <w:noWrap/>
            <w:tcMar>
              <w:top w:w="0" w:type="dxa"/>
              <w:left w:w="108" w:type="dxa"/>
              <w:bottom w:w="0" w:type="dxa"/>
              <w:right w:w="108" w:type="dxa"/>
            </w:tcMar>
          </w:tcPr>
          <w:p w14:paraId="6A7CE75A" w14:textId="30BFE5DD" w:rsidR="00102216" w:rsidRPr="00C50C2B" w:rsidRDefault="00102216" w:rsidP="00102216">
            <w:pPr>
              <w:rPr>
                <w:rFonts w:cs="Arial"/>
                <w:color w:val="000000"/>
              </w:rPr>
            </w:pPr>
            <w:r w:rsidRPr="00867D1B">
              <w:t>Creation of a football pitch at St Gerrard's, Lostock Hall</w:t>
            </w:r>
          </w:p>
        </w:tc>
      </w:tr>
      <w:tr w:rsidR="00102216" w:rsidRPr="00C50C2B" w14:paraId="61F074A3" w14:textId="77777777" w:rsidTr="006143C4">
        <w:trPr>
          <w:trHeight w:val="360"/>
        </w:trPr>
        <w:tc>
          <w:tcPr>
            <w:tcW w:w="124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14:paraId="0A5D5C10" w14:textId="4CE20D07" w:rsidR="00102216" w:rsidRPr="00C50C2B" w:rsidRDefault="00102216" w:rsidP="00102216">
            <w:pPr>
              <w:jc w:val="right"/>
              <w:rPr>
                <w:rFonts w:cs="Arial"/>
                <w:color w:val="000000"/>
              </w:rPr>
            </w:pPr>
            <w:r w:rsidRPr="00867D1B">
              <w:t xml:space="preserve">803 </w:t>
            </w:r>
          </w:p>
        </w:tc>
        <w:tc>
          <w:tcPr>
            <w:tcW w:w="5320" w:type="dxa"/>
            <w:tcBorders>
              <w:top w:val="nil"/>
              <w:left w:val="nil"/>
              <w:bottom w:val="single" w:sz="8" w:space="0" w:color="auto"/>
              <w:right w:val="single" w:sz="8" w:space="0" w:color="auto"/>
            </w:tcBorders>
            <w:noWrap/>
            <w:tcMar>
              <w:top w:w="0" w:type="dxa"/>
              <w:left w:w="108" w:type="dxa"/>
              <w:bottom w:w="0" w:type="dxa"/>
              <w:right w:w="108" w:type="dxa"/>
            </w:tcMar>
          </w:tcPr>
          <w:p w14:paraId="3AA18823" w14:textId="171A92CC" w:rsidR="00102216" w:rsidRPr="00C50C2B" w:rsidRDefault="00102216" w:rsidP="00102216">
            <w:pPr>
              <w:rPr>
                <w:rFonts w:cs="Arial"/>
                <w:color w:val="000000"/>
              </w:rPr>
            </w:pPr>
            <w:r w:rsidRPr="00867D1B">
              <w:t>Purchase 4 refuse collection vehicles</w:t>
            </w:r>
          </w:p>
        </w:tc>
      </w:tr>
      <w:tr w:rsidR="00102216" w:rsidRPr="00C50C2B" w14:paraId="399D7E7D" w14:textId="77777777" w:rsidTr="006143C4">
        <w:trPr>
          <w:trHeight w:val="360"/>
        </w:trPr>
        <w:tc>
          <w:tcPr>
            <w:tcW w:w="124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14:paraId="247D6BD7" w14:textId="717E59FF" w:rsidR="00102216" w:rsidRPr="00C50C2B" w:rsidRDefault="00102216" w:rsidP="00102216">
            <w:pPr>
              <w:jc w:val="right"/>
              <w:rPr>
                <w:rFonts w:cs="Arial"/>
                <w:color w:val="000000"/>
              </w:rPr>
            </w:pPr>
            <w:r w:rsidRPr="00867D1B">
              <w:t xml:space="preserve">154 </w:t>
            </w:r>
          </w:p>
        </w:tc>
        <w:tc>
          <w:tcPr>
            <w:tcW w:w="5320" w:type="dxa"/>
            <w:tcBorders>
              <w:top w:val="nil"/>
              <w:left w:val="nil"/>
              <w:bottom w:val="single" w:sz="8" w:space="0" w:color="auto"/>
              <w:right w:val="single" w:sz="8" w:space="0" w:color="auto"/>
            </w:tcBorders>
            <w:noWrap/>
            <w:tcMar>
              <w:top w:w="0" w:type="dxa"/>
              <w:left w:w="108" w:type="dxa"/>
              <w:bottom w:w="0" w:type="dxa"/>
              <w:right w:w="108" w:type="dxa"/>
            </w:tcMar>
          </w:tcPr>
          <w:p w14:paraId="7A9ECFF9" w14:textId="174F8D31" w:rsidR="00102216" w:rsidRPr="00C50C2B" w:rsidRDefault="00102216" w:rsidP="00102216">
            <w:pPr>
              <w:rPr>
                <w:rFonts w:cs="Arial"/>
                <w:color w:val="000000"/>
              </w:rPr>
            </w:pPr>
            <w:r w:rsidRPr="00867D1B">
              <w:t>Purchase 1 refuse collection vehicle</w:t>
            </w:r>
          </w:p>
        </w:tc>
      </w:tr>
      <w:tr w:rsidR="00102216" w:rsidRPr="00C50C2B" w14:paraId="34F2DE22" w14:textId="77777777" w:rsidTr="006143C4">
        <w:trPr>
          <w:trHeight w:val="360"/>
        </w:trPr>
        <w:tc>
          <w:tcPr>
            <w:tcW w:w="124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14:paraId="60B78DD2" w14:textId="61E84686" w:rsidR="00102216" w:rsidRPr="00C50C2B" w:rsidRDefault="00102216" w:rsidP="00102216">
            <w:pPr>
              <w:jc w:val="right"/>
              <w:rPr>
                <w:rFonts w:cs="Arial"/>
                <w:color w:val="000000"/>
              </w:rPr>
            </w:pPr>
            <w:r w:rsidRPr="00867D1B">
              <w:t xml:space="preserve">57 </w:t>
            </w:r>
          </w:p>
        </w:tc>
        <w:tc>
          <w:tcPr>
            <w:tcW w:w="5320" w:type="dxa"/>
            <w:tcBorders>
              <w:top w:val="nil"/>
              <w:left w:val="nil"/>
              <w:bottom w:val="single" w:sz="8" w:space="0" w:color="auto"/>
              <w:right w:val="single" w:sz="8" w:space="0" w:color="auto"/>
            </w:tcBorders>
            <w:noWrap/>
            <w:tcMar>
              <w:top w:w="0" w:type="dxa"/>
              <w:left w:w="108" w:type="dxa"/>
              <w:bottom w:w="0" w:type="dxa"/>
              <w:right w:w="108" w:type="dxa"/>
            </w:tcMar>
          </w:tcPr>
          <w:p w14:paraId="7CC88DBF" w14:textId="26E66596" w:rsidR="00102216" w:rsidRPr="00C50C2B" w:rsidRDefault="00102216" w:rsidP="00102216">
            <w:pPr>
              <w:rPr>
                <w:rFonts w:cs="Arial"/>
                <w:color w:val="000000"/>
              </w:rPr>
            </w:pPr>
            <w:r w:rsidRPr="00867D1B">
              <w:t>Purchase 2 tipper vehicles</w:t>
            </w:r>
          </w:p>
        </w:tc>
      </w:tr>
      <w:tr w:rsidR="00102216" w:rsidRPr="00C50C2B" w14:paraId="12EC0773" w14:textId="77777777" w:rsidTr="006143C4">
        <w:trPr>
          <w:trHeight w:val="360"/>
        </w:trPr>
        <w:tc>
          <w:tcPr>
            <w:tcW w:w="124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14:paraId="6440A108" w14:textId="6FD3FC56" w:rsidR="00102216" w:rsidRPr="00C50C2B" w:rsidRDefault="00102216" w:rsidP="00102216">
            <w:pPr>
              <w:jc w:val="right"/>
              <w:rPr>
                <w:rFonts w:cs="Arial"/>
                <w:color w:val="000000"/>
              </w:rPr>
            </w:pPr>
            <w:r w:rsidRPr="00867D1B">
              <w:t xml:space="preserve">62 </w:t>
            </w:r>
          </w:p>
        </w:tc>
        <w:tc>
          <w:tcPr>
            <w:tcW w:w="5320" w:type="dxa"/>
            <w:tcBorders>
              <w:top w:val="nil"/>
              <w:left w:val="nil"/>
              <w:bottom w:val="single" w:sz="8" w:space="0" w:color="auto"/>
              <w:right w:val="single" w:sz="8" w:space="0" w:color="auto"/>
            </w:tcBorders>
            <w:noWrap/>
            <w:tcMar>
              <w:top w:w="0" w:type="dxa"/>
              <w:left w:w="108" w:type="dxa"/>
              <w:bottom w:w="0" w:type="dxa"/>
              <w:right w:w="108" w:type="dxa"/>
            </w:tcMar>
          </w:tcPr>
          <w:p w14:paraId="1E6E9237" w14:textId="32846F12" w:rsidR="00102216" w:rsidRPr="00C50C2B" w:rsidRDefault="00102216" w:rsidP="00102216">
            <w:pPr>
              <w:rPr>
                <w:rFonts w:cs="Arial"/>
                <w:color w:val="000000"/>
              </w:rPr>
            </w:pPr>
            <w:r w:rsidRPr="00867D1B">
              <w:t>Purchase 1 gang mower</w:t>
            </w:r>
          </w:p>
        </w:tc>
      </w:tr>
      <w:tr w:rsidR="00102216" w:rsidRPr="00C50C2B" w14:paraId="5E5DAD54" w14:textId="77777777" w:rsidTr="006143C4">
        <w:trPr>
          <w:trHeight w:val="360"/>
        </w:trPr>
        <w:tc>
          <w:tcPr>
            <w:tcW w:w="124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14:paraId="03E6747D" w14:textId="1DA5DAE3" w:rsidR="00102216" w:rsidRPr="00C50C2B" w:rsidRDefault="00102216" w:rsidP="00102216">
            <w:pPr>
              <w:jc w:val="right"/>
              <w:rPr>
                <w:rFonts w:cs="Arial"/>
                <w:color w:val="000000"/>
              </w:rPr>
            </w:pPr>
            <w:r w:rsidRPr="00867D1B">
              <w:t xml:space="preserve">67 </w:t>
            </w:r>
          </w:p>
        </w:tc>
        <w:tc>
          <w:tcPr>
            <w:tcW w:w="5320" w:type="dxa"/>
            <w:tcBorders>
              <w:top w:val="nil"/>
              <w:left w:val="nil"/>
              <w:bottom w:val="single" w:sz="8" w:space="0" w:color="auto"/>
              <w:right w:val="single" w:sz="8" w:space="0" w:color="auto"/>
            </w:tcBorders>
            <w:noWrap/>
            <w:tcMar>
              <w:top w:w="0" w:type="dxa"/>
              <w:left w:w="108" w:type="dxa"/>
              <w:bottom w:w="0" w:type="dxa"/>
              <w:right w:w="108" w:type="dxa"/>
            </w:tcMar>
          </w:tcPr>
          <w:p w14:paraId="3B0F8B3E" w14:textId="7ECAE5AB" w:rsidR="00102216" w:rsidRPr="00C50C2B" w:rsidRDefault="00102216" w:rsidP="00102216">
            <w:pPr>
              <w:rPr>
                <w:rFonts w:cs="Arial"/>
                <w:color w:val="000000"/>
              </w:rPr>
            </w:pPr>
            <w:r w:rsidRPr="00867D1B">
              <w:t>Purchase 2 transporter vehicles</w:t>
            </w:r>
          </w:p>
        </w:tc>
      </w:tr>
    </w:tbl>
    <w:p w14:paraId="4ACF4742" w14:textId="77777777" w:rsidR="005C0D37" w:rsidRDefault="005C0D37" w:rsidP="005C0D37">
      <w:pPr>
        <w:rPr>
          <w:rFonts w:eastAsiaTheme="minorHAnsi" w:cs="Arial"/>
          <w:szCs w:val="22"/>
          <w:lang w:eastAsia="en-US"/>
        </w:rPr>
      </w:pPr>
    </w:p>
    <w:p w14:paraId="0CED7D5B" w14:textId="77777777" w:rsidR="005C0D37" w:rsidRPr="00C50C2B" w:rsidRDefault="005C0D37" w:rsidP="005C0D37">
      <w:pPr>
        <w:rPr>
          <w:rFonts w:eastAsiaTheme="minorHAnsi" w:cs="Arial"/>
          <w:szCs w:val="22"/>
          <w:lang w:eastAsia="en-US"/>
        </w:rPr>
      </w:pPr>
    </w:p>
    <w:p w14:paraId="0DEEBF63" w14:textId="77777777" w:rsidR="00E73BF8" w:rsidRPr="00EC06E7" w:rsidRDefault="00C55F6A" w:rsidP="005C0D37">
      <w:pPr>
        <w:rPr>
          <w:rFonts w:cs="Courier New"/>
          <w:b/>
          <w:szCs w:val="22"/>
        </w:rPr>
      </w:pPr>
      <w:r w:rsidRPr="001422EA">
        <w:rPr>
          <w:rFonts w:cs="Courier New"/>
          <w:b/>
          <w:szCs w:val="22"/>
        </w:rPr>
        <w:t>15</w:t>
      </w:r>
      <w:r w:rsidR="00E73BF8" w:rsidRPr="001422EA">
        <w:rPr>
          <w:rFonts w:cs="Courier New"/>
          <w:b/>
          <w:szCs w:val="22"/>
        </w:rPr>
        <w:t xml:space="preserve">d </w:t>
      </w:r>
      <w:r w:rsidR="006844F5" w:rsidRPr="001422EA">
        <w:rPr>
          <w:rFonts w:cs="Courier New"/>
          <w:b/>
          <w:szCs w:val="22"/>
        </w:rPr>
        <w:t>Effects of Changes in Estimates</w:t>
      </w:r>
    </w:p>
    <w:p w14:paraId="1B30FCB4" w14:textId="77777777" w:rsidR="007344C0" w:rsidRPr="00EC06E7" w:rsidRDefault="007344C0">
      <w:pPr>
        <w:rPr>
          <w:rFonts w:cs="Courier New"/>
          <w:szCs w:val="22"/>
        </w:rPr>
      </w:pPr>
    </w:p>
    <w:p w14:paraId="415B40A9" w14:textId="6D39C6DF" w:rsidR="00D2664B" w:rsidRPr="00EC06E7" w:rsidRDefault="00883A50" w:rsidP="00883A50">
      <w:pPr>
        <w:rPr>
          <w:rFonts w:cs="Courier New"/>
          <w:szCs w:val="22"/>
        </w:rPr>
      </w:pPr>
      <w:r w:rsidRPr="00EC06E7">
        <w:rPr>
          <w:rFonts w:cs="Courier New"/>
          <w:szCs w:val="22"/>
        </w:rPr>
        <w:t>There were no material changes in accounting estimate</w:t>
      </w:r>
      <w:r w:rsidR="00C23206">
        <w:rPr>
          <w:rFonts w:cs="Courier New"/>
          <w:szCs w:val="22"/>
        </w:rPr>
        <w:t>s</w:t>
      </w:r>
      <w:r w:rsidRPr="00EC06E7">
        <w:rPr>
          <w:rFonts w:cs="Courier New"/>
          <w:szCs w:val="22"/>
        </w:rPr>
        <w:t xml:space="preserve"> for Property, Plant and Equipment in </w:t>
      </w:r>
      <w:r w:rsidR="005B33E8">
        <w:rPr>
          <w:rFonts w:cs="Courier New"/>
          <w:szCs w:val="22"/>
        </w:rPr>
        <w:t>20</w:t>
      </w:r>
      <w:r w:rsidR="002756B8">
        <w:rPr>
          <w:rFonts w:cs="Courier New"/>
          <w:szCs w:val="22"/>
        </w:rPr>
        <w:t>20</w:t>
      </w:r>
      <w:r w:rsidR="004E3FBD">
        <w:rPr>
          <w:rFonts w:cs="Courier New"/>
          <w:szCs w:val="22"/>
        </w:rPr>
        <w:t>/2</w:t>
      </w:r>
      <w:r w:rsidR="002756B8">
        <w:rPr>
          <w:rFonts w:cs="Courier New"/>
          <w:szCs w:val="22"/>
        </w:rPr>
        <w:t>1</w:t>
      </w:r>
      <w:r w:rsidRPr="00EC06E7">
        <w:rPr>
          <w:rFonts w:cs="Courier New"/>
          <w:szCs w:val="22"/>
        </w:rPr>
        <w:t>.</w:t>
      </w:r>
    </w:p>
    <w:p w14:paraId="64CC60DE" w14:textId="77777777" w:rsidR="00E73BF8" w:rsidRPr="00EC06E7" w:rsidRDefault="00E73BF8" w:rsidP="00883A50">
      <w:pPr>
        <w:rPr>
          <w:rFonts w:cs="Courier New"/>
          <w:szCs w:val="22"/>
        </w:rPr>
      </w:pPr>
    </w:p>
    <w:p w14:paraId="0FAD1DD0" w14:textId="77777777" w:rsidR="000C64A3" w:rsidRPr="00EC06E7" w:rsidRDefault="000C64A3" w:rsidP="00883A50">
      <w:pPr>
        <w:rPr>
          <w:rFonts w:cs="Courier New"/>
          <w:szCs w:val="22"/>
        </w:rPr>
      </w:pPr>
    </w:p>
    <w:p w14:paraId="7F5D5D05" w14:textId="77777777" w:rsidR="008E707F" w:rsidRPr="00EC06E7" w:rsidRDefault="00C55F6A" w:rsidP="00926600">
      <w:pPr>
        <w:rPr>
          <w:rFonts w:cs="Courier New"/>
          <w:b/>
          <w:szCs w:val="22"/>
        </w:rPr>
      </w:pPr>
      <w:r w:rsidRPr="001422EA">
        <w:rPr>
          <w:rFonts w:cs="Courier New"/>
          <w:b/>
          <w:szCs w:val="22"/>
        </w:rPr>
        <w:t>15</w:t>
      </w:r>
      <w:r w:rsidR="00E73BF8" w:rsidRPr="001422EA">
        <w:rPr>
          <w:rFonts w:cs="Courier New"/>
          <w:b/>
          <w:szCs w:val="22"/>
        </w:rPr>
        <w:t>e</w:t>
      </w:r>
      <w:r w:rsidR="002B1C00" w:rsidRPr="001422EA">
        <w:rPr>
          <w:rFonts w:cs="Courier New"/>
          <w:b/>
          <w:szCs w:val="22"/>
        </w:rPr>
        <w:t xml:space="preserve"> </w:t>
      </w:r>
      <w:r w:rsidR="00A57EE7">
        <w:rPr>
          <w:rFonts w:cs="Courier New"/>
          <w:b/>
          <w:szCs w:val="22"/>
        </w:rPr>
        <w:t xml:space="preserve">Property, Plant and Equipment </w:t>
      </w:r>
      <w:r w:rsidR="00E025C0" w:rsidRPr="001422EA">
        <w:rPr>
          <w:rFonts w:cs="Courier New"/>
          <w:b/>
          <w:szCs w:val="22"/>
        </w:rPr>
        <w:t>Valuations</w:t>
      </w:r>
    </w:p>
    <w:p w14:paraId="3BC68C51" w14:textId="77777777" w:rsidR="0052162F" w:rsidRPr="00EC06E7" w:rsidRDefault="0052162F" w:rsidP="00926600">
      <w:pPr>
        <w:rPr>
          <w:rFonts w:cs="Courier New"/>
          <w:szCs w:val="22"/>
        </w:rPr>
      </w:pPr>
    </w:p>
    <w:p w14:paraId="4B01D0DF" w14:textId="1632491F" w:rsidR="00E025C0" w:rsidRDefault="00D66996" w:rsidP="00D66996">
      <w:pPr>
        <w:rPr>
          <w:rFonts w:cs="Courier New"/>
          <w:szCs w:val="22"/>
        </w:rPr>
      </w:pPr>
      <w:r w:rsidRPr="00EC06E7">
        <w:rPr>
          <w:rFonts w:cs="Courier New"/>
          <w:szCs w:val="22"/>
        </w:rPr>
        <w:t xml:space="preserve">The authority carries out a rolling programme that ensures that all property, plant and equipment required to be measured at current value is revalued at least every five years. During </w:t>
      </w:r>
      <w:r w:rsidR="005B33E8">
        <w:rPr>
          <w:rFonts w:cs="Courier New"/>
          <w:szCs w:val="22"/>
        </w:rPr>
        <w:t>20</w:t>
      </w:r>
      <w:r w:rsidR="002756B8">
        <w:rPr>
          <w:rFonts w:cs="Courier New"/>
          <w:szCs w:val="22"/>
        </w:rPr>
        <w:t>20</w:t>
      </w:r>
      <w:r w:rsidR="005B33E8">
        <w:rPr>
          <w:rFonts w:cs="Courier New"/>
          <w:szCs w:val="22"/>
        </w:rPr>
        <w:t>/</w:t>
      </w:r>
      <w:r w:rsidR="00863237">
        <w:rPr>
          <w:rFonts w:cs="Courier New"/>
          <w:szCs w:val="22"/>
        </w:rPr>
        <w:t>2</w:t>
      </w:r>
      <w:r w:rsidR="002756B8">
        <w:rPr>
          <w:rFonts w:cs="Courier New"/>
          <w:szCs w:val="22"/>
        </w:rPr>
        <w:t>1</w:t>
      </w:r>
      <w:r w:rsidRPr="00EC06E7">
        <w:rPr>
          <w:rFonts w:cs="Courier New"/>
          <w:szCs w:val="22"/>
        </w:rPr>
        <w:t xml:space="preserve"> the valuations were </w:t>
      </w:r>
      <w:r w:rsidR="007D24CB" w:rsidRPr="007D24CB">
        <w:rPr>
          <w:rFonts w:cs="Courier New"/>
          <w:szCs w:val="22"/>
        </w:rPr>
        <w:t xml:space="preserve">carried out on behalf of the </w:t>
      </w:r>
      <w:r w:rsidR="00BC0AA6">
        <w:rPr>
          <w:rFonts w:cs="Courier New"/>
          <w:szCs w:val="22"/>
        </w:rPr>
        <w:t>c</w:t>
      </w:r>
      <w:r w:rsidR="007D24CB" w:rsidRPr="007D24CB">
        <w:rPr>
          <w:rFonts w:cs="Courier New"/>
          <w:szCs w:val="22"/>
        </w:rPr>
        <w:t>ouncil by Sanderson Weatherall LLP</w:t>
      </w:r>
      <w:r w:rsidRPr="00EC06E7">
        <w:rPr>
          <w:rFonts w:cs="Courier New"/>
          <w:szCs w:val="22"/>
        </w:rPr>
        <w:t>. Valuations of land and buildings were carried out in accordance with the methodologies and bases for estimation set out in the professional standards of the Royal Institution of Chartered Surveyors</w:t>
      </w:r>
      <w:r w:rsidR="00E025C0" w:rsidRPr="00EC06E7">
        <w:rPr>
          <w:rFonts w:cs="Courier New"/>
          <w:szCs w:val="22"/>
        </w:rPr>
        <w:t>. The basis</w:t>
      </w:r>
      <w:r w:rsidR="00A60717" w:rsidRPr="00EC06E7">
        <w:rPr>
          <w:rFonts w:cs="Courier New"/>
          <w:szCs w:val="22"/>
        </w:rPr>
        <w:t xml:space="preserve"> of valuation is set ou</w:t>
      </w:r>
      <w:r w:rsidR="007E5D02">
        <w:rPr>
          <w:rFonts w:cs="Courier New"/>
          <w:szCs w:val="22"/>
        </w:rPr>
        <w:t>t in N</w:t>
      </w:r>
      <w:r w:rsidR="00A60717" w:rsidRPr="00EC06E7">
        <w:rPr>
          <w:rFonts w:cs="Courier New"/>
          <w:szCs w:val="22"/>
        </w:rPr>
        <w:t xml:space="preserve">ote </w:t>
      </w:r>
      <w:r w:rsidR="00454B0F" w:rsidRPr="00EC06E7">
        <w:rPr>
          <w:rFonts w:cs="Courier New"/>
          <w:szCs w:val="22"/>
        </w:rPr>
        <w:fldChar w:fldCharType="begin"/>
      </w:r>
      <w:r w:rsidR="00454B0F" w:rsidRPr="00EC06E7">
        <w:rPr>
          <w:rFonts w:cs="Courier New"/>
          <w:szCs w:val="22"/>
        </w:rPr>
        <w:instrText xml:space="preserve"> REF _Ref483390677 \r \h </w:instrText>
      </w:r>
      <w:r w:rsidR="00EC06E7">
        <w:rPr>
          <w:rFonts w:cs="Courier New"/>
          <w:szCs w:val="22"/>
        </w:rPr>
        <w:instrText xml:space="preserve"> \* MERGEFORMAT </w:instrText>
      </w:r>
      <w:r w:rsidR="00454B0F" w:rsidRPr="00EC06E7">
        <w:rPr>
          <w:rFonts w:cs="Courier New"/>
          <w:szCs w:val="22"/>
        </w:rPr>
      </w:r>
      <w:r w:rsidR="00454B0F" w:rsidRPr="00EC06E7">
        <w:rPr>
          <w:rFonts w:cs="Courier New"/>
          <w:szCs w:val="22"/>
        </w:rPr>
        <w:fldChar w:fldCharType="separate"/>
      </w:r>
      <w:r w:rsidR="000F49D2">
        <w:rPr>
          <w:rFonts w:cs="Courier New"/>
          <w:szCs w:val="22"/>
        </w:rPr>
        <w:t>2</w:t>
      </w:r>
      <w:r w:rsidR="00454B0F" w:rsidRPr="00EC06E7">
        <w:rPr>
          <w:rFonts w:cs="Courier New"/>
          <w:szCs w:val="22"/>
        </w:rPr>
        <w:fldChar w:fldCharType="end"/>
      </w:r>
      <w:r w:rsidR="00E025C0" w:rsidRPr="00EC06E7">
        <w:rPr>
          <w:rFonts w:cs="Courier New"/>
          <w:szCs w:val="22"/>
        </w:rPr>
        <w:t xml:space="preserve"> Accounting Poli</w:t>
      </w:r>
      <w:r w:rsidR="00261730" w:rsidRPr="00EC06E7">
        <w:rPr>
          <w:rFonts w:cs="Courier New"/>
          <w:szCs w:val="22"/>
        </w:rPr>
        <w:t>cies</w:t>
      </w:r>
      <w:r w:rsidR="00E025C0" w:rsidRPr="00EC06E7">
        <w:rPr>
          <w:rFonts w:cs="Courier New"/>
          <w:szCs w:val="22"/>
        </w:rPr>
        <w:t>.</w:t>
      </w:r>
    </w:p>
    <w:p w14:paraId="1FB6E5DD" w14:textId="2B7B9BB4" w:rsidR="00CF4CB7" w:rsidRDefault="00CF4CB7" w:rsidP="00D66996">
      <w:pPr>
        <w:rPr>
          <w:rFonts w:cs="Courier New"/>
          <w:szCs w:val="22"/>
        </w:rPr>
      </w:pPr>
    </w:p>
    <w:p w14:paraId="401123C4" w14:textId="698F5F8D" w:rsidR="00C22B4F" w:rsidRDefault="00DE09A3" w:rsidP="00D66996">
      <w:pPr>
        <w:rPr>
          <w:rFonts w:cs="Courier New"/>
          <w:szCs w:val="22"/>
        </w:rPr>
      </w:pPr>
      <w:r>
        <w:rPr>
          <w:rFonts w:cs="Courier New"/>
          <w:szCs w:val="22"/>
        </w:rPr>
        <w:fldChar w:fldCharType="begin"/>
      </w:r>
      <w:r>
        <w:rPr>
          <w:rFonts w:cs="Courier New"/>
          <w:szCs w:val="22"/>
        </w:rPr>
        <w:instrText xml:space="preserve"> LINK Excel.Sheet.12 "\\\\alpha\\accounts$\\CLOSURE\\Closure 20-21\\04 SoA Working Papers\\15 PPE\\Note 15e PPE Valuations 2020-21.xlsx!Embedded Table!R2C1:R13C7" "" \a \p </w:instrText>
      </w:r>
      <w:r>
        <w:rPr>
          <w:rFonts w:cs="Courier New"/>
          <w:szCs w:val="22"/>
        </w:rPr>
        <w:fldChar w:fldCharType="separate"/>
      </w:r>
      <w:r w:rsidR="001C71EF">
        <w:rPr>
          <w:rFonts w:cs="Courier New"/>
          <w:szCs w:val="22"/>
        </w:rPr>
        <w:object w:dxaOrig="10294" w:dyaOrig="4249" w14:anchorId="1E915171">
          <v:shape id="_x0000_i1042" type="#_x0000_t75" style="width:474.8pt;height:3in" o:ole="">
            <v:imagedata r:id="rId69" o:title=""/>
            <o:lock v:ext="edit" aspectratio="f"/>
          </v:shape>
        </w:object>
      </w:r>
      <w:r>
        <w:rPr>
          <w:rFonts w:cs="Courier New"/>
          <w:szCs w:val="22"/>
        </w:rPr>
        <w:fldChar w:fldCharType="end"/>
      </w:r>
    </w:p>
    <w:p w14:paraId="18F01F92" w14:textId="77777777" w:rsidR="00E146BC" w:rsidRDefault="00E146BC" w:rsidP="00D02225"/>
    <w:p w14:paraId="36C86E96" w14:textId="77777777" w:rsidR="00C8113E" w:rsidRPr="001422EA" w:rsidRDefault="006E1448" w:rsidP="004E5A07">
      <w:pPr>
        <w:pStyle w:val="Heading2"/>
      </w:pPr>
      <w:bookmarkStart w:id="88" w:name="_Toc483390981"/>
      <w:bookmarkStart w:id="89" w:name="_Ref483392661"/>
      <w:bookmarkStart w:id="90" w:name="_Ref483393341"/>
      <w:bookmarkStart w:id="91" w:name="_Ref483396078"/>
      <w:bookmarkStart w:id="92" w:name="_Ref514758837"/>
      <w:bookmarkStart w:id="93" w:name="_Toc77603791"/>
      <w:r w:rsidRPr="001422EA">
        <w:t>Investment properties</w:t>
      </w:r>
      <w:bookmarkEnd w:id="88"/>
      <w:bookmarkEnd w:id="89"/>
      <w:bookmarkEnd w:id="90"/>
      <w:bookmarkEnd w:id="91"/>
      <w:bookmarkEnd w:id="92"/>
      <w:bookmarkEnd w:id="93"/>
    </w:p>
    <w:p w14:paraId="424754AC" w14:textId="77777777" w:rsidR="0089501E" w:rsidRPr="00EC06E7" w:rsidRDefault="0089501E" w:rsidP="00DE5055">
      <w:pPr>
        <w:rPr>
          <w:rFonts w:cs="Courier New"/>
          <w:szCs w:val="22"/>
        </w:rPr>
      </w:pPr>
    </w:p>
    <w:p w14:paraId="45881EB4" w14:textId="0C027E01" w:rsidR="00093147" w:rsidRPr="00EC06E7" w:rsidRDefault="00093147" w:rsidP="00DE5055">
      <w:pPr>
        <w:rPr>
          <w:rFonts w:cs="Courier New"/>
          <w:szCs w:val="22"/>
        </w:rPr>
      </w:pPr>
      <w:r w:rsidRPr="00EC06E7">
        <w:rPr>
          <w:rFonts w:cs="Courier New"/>
          <w:szCs w:val="22"/>
        </w:rPr>
        <w:t xml:space="preserve">Details of rental income and operational expenditure are given in </w:t>
      </w:r>
      <w:r w:rsidR="007E5D02">
        <w:rPr>
          <w:rFonts w:cs="Courier New"/>
          <w:szCs w:val="22"/>
        </w:rPr>
        <w:t>N</w:t>
      </w:r>
      <w:r w:rsidR="00454B0F" w:rsidRPr="00EC06E7">
        <w:rPr>
          <w:rFonts w:cs="Courier New"/>
          <w:szCs w:val="22"/>
        </w:rPr>
        <w:t xml:space="preserve">ote </w:t>
      </w:r>
      <w:r w:rsidR="00454B0F" w:rsidRPr="00EC06E7">
        <w:rPr>
          <w:rFonts w:cs="Courier New"/>
          <w:szCs w:val="22"/>
        </w:rPr>
        <w:fldChar w:fldCharType="begin"/>
      </w:r>
      <w:r w:rsidR="00454B0F" w:rsidRPr="00EC06E7">
        <w:rPr>
          <w:rFonts w:cs="Courier New"/>
          <w:szCs w:val="22"/>
        </w:rPr>
        <w:instrText xml:space="preserve"> REF _Ref483394520 \r \h </w:instrText>
      </w:r>
      <w:r w:rsidR="00EC06E7">
        <w:rPr>
          <w:rFonts w:cs="Courier New"/>
          <w:szCs w:val="22"/>
        </w:rPr>
        <w:instrText xml:space="preserve"> \* MERGEFORMAT </w:instrText>
      </w:r>
      <w:r w:rsidR="00454B0F" w:rsidRPr="00EC06E7">
        <w:rPr>
          <w:rFonts w:cs="Courier New"/>
          <w:szCs w:val="22"/>
        </w:rPr>
      </w:r>
      <w:r w:rsidR="00454B0F" w:rsidRPr="00EC06E7">
        <w:rPr>
          <w:rFonts w:cs="Courier New"/>
          <w:szCs w:val="22"/>
        </w:rPr>
        <w:fldChar w:fldCharType="separate"/>
      </w:r>
      <w:r w:rsidR="000F49D2">
        <w:rPr>
          <w:rFonts w:cs="Courier New"/>
          <w:szCs w:val="22"/>
        </w:rPr>
        <w:t>29</w:t>
      </w:r>
      <w:r w:rsidR="00454B0F" w:rsidRPr="00EC06E7">
        <w:rPr>
          <w:rFonts w:cs="Courier New"/>
          <w:szCs w:val="22"/>
        </w:rPr>
        <w:fldChar w:fldCharType="end"/>
      </w:r>
      <w:r w:rsidR="00D66996" w:rsidRPr="00EC06E7">
        <w:rPr>
          <w:rFonts w:cs="Courier New"/>
          <w:szCs w:val="22"/>
        </w:rPr>
        <w:t xml:space="preserve"> and have been accounted for in the Financing and Investment Income and Expenditure line in the Comprehensive Income and Expenditure Statement</w:t>
      </w:r>
      <w:r w:rsidR="00361018" w:rsidRPr="00EC06E7">
        <w:rPr>
          <w:rFonts w:cs="Courier New"/>
          <w:szCs w:val="22"/>
        </w:rPr>
        <w:t>.</w:t>
      </w:r>
    </w:p>
    <w:p w14:paraId="120EBF87" w14:textId="77777777" w:rsidR="00B64CE9" w:rsidRPr="00EC06E7" w:rsidRDefault="00B64CE9" w:rsidP="00DE5055">
      <w:pPr>
        <w:rPr>
          <w:rFonts w:cs="Courier New"/>
          <w:strike/>
          <w:szCs w:val="22"/>
        </w:rPr>
      </w:pPr>
    </w:p>
    <w:p w14:paraId="5AD6533E" w14:textId="77777777" w:rsidR="003A71DE" w:rsidRPr="00EC06E7" w:rsidRDefault="00B64CE9" w:rsidP="00DE5055">
      <w:pPr>
        <w:rPr>
          <w:rFonts w:cs="Courier New"/>
          <w:szCs w:val="22"/>
        </w:rPr>
      </w:pPr>
      <w:r w:rsidRPr="00EC06E7">
        <w:rPr>
          <w:rFonts w:cs="Courier New"/>
          <w:szCs w:val="22"/>
        </w:rPr>
        <w:t>There are no restrictions on the Authority’s ability to realise the value inherent in its</w:t>
      </w:r>
      <w:r w:rsidR="00504DF4" w:rsidRPr="00EC06E7">
        <w:rPr>
          <w:rFonts w:cs="Courier New"/>
          <w:szCs w:val="22"/>
        </w:rPr>
        <w:t xml:space="preserve"> investment property or its right to receipt of income or the proceeds of disposal.</w:t>
      </w:r>
      <w:r w:rsidR="00C774ED" w:rsidRPr="00EC06E7">
        <w:rPr>
          <w:rFonts w:cs="Courier New"/>
          <w:szCs w:val="22"/>
        </w:rPr>
        <w:t xml:space="preserve">  </w:t>
      </w:r>
    </w:p>
    <w:p w14:paraId="6B444A03" w14:textId="77777777" w:rsidR="00C77EA0" w:rsidRPr="00EC06E7" w:rsidRDefault="00C77EA0" w:rsidP="00DE5055">
      <w:pPr>
        <w:rPr>
          <w:rFonts w:cs="Courier New"/>
          <w:szCs w:val="22"/>
        </w:rPr>
      </w:pPr>
    </w:p>
    <w:p w14:paraId="35D842C9" w14:textId="15CDE59C" w:rsidR="00360B3F" w:rsidRPr="00EC06E7" w:rsidRDefault="00360B3F" w:rsidP="00DE5055">
      <w:pPr>
        <w:rPr>
          <w:rFonts w:cs="Courier New"/>
          <w:szCs w:val="22"/>
        </w:rPr>
      </w:pPr>
      <w:r w:rsidRPr="00F036CE">
        <w:rPr>
          <w:rFonts w:cs="Courier New"/>
          <w:szCs w:val="22"/>
        </w:rPr>
        <w:t xml:space="preserve">At </w:t>
      </w:r>
      <w:r w:rsidR="00255FA7" w:rsidRPr="00F036CE">
        <w:rPr>
          <w:rFonts w:cs="Courier New"/>
          <w:szCs w:val="22"/>
        </w:rPr>
        <w:t xml:space="preserve">31 </w:t>
      </w:r>
      <w:r w:rsidR="003D255A">
        <w:rPr>
          <w:rFonts w:cs="Courier New"/>
          <w:szCs w:val="22"/>
        </w:rPr>
        <w:t>March 20</w:t>
      </w:r>
      <w:r w:rsidR="00395F81">
        <w:rPr>
          <w:rFonts w:cs="Courier New"/>
          <w:szCs w:val="22"/>
        </w:rPr>
        <w:t>2</w:t>
      </w:r>
      <w:r w:rsidR="00C77DD7">
        <w:rPr>
          <w:rFonts w:cs="Courier New"/>
          <w:szCs w:val="22"/>
        </w:rPr>
        <w:t>1</w:t>
      </w:r>
      <w:r w:rsidRPr="00F036CE">
        <w:rPr>
          <w:rFonts w:cs="Courier New"/>
          <w:szCs w:val="22"/>
        </w:rPr>
        <w:t xml:space="preserve">, the </w:t>
      </w:r>
      <w:r w:rsidR="00BC0AA6">
        <w:rPr>
          <w:rFonts w:cs="Courier New"/>
          <w:szCs w:val="22"/>
        </w:rPr>
        <w:t>c</w:t>
      </w:r>
      <w:r w:rsidRPr="00F036CE">
        <w:rPr>
          <w:rFonts w:cs="Courier New"/>
          <w:szCs w:val="22"/>
        </w:rPr>
        <w:t xml:space="preserve">ouncil had no contractual obligations to purchase, construct </w:t>
      </w:r>
      <w:r w:rsidR="004B0FF1" w:rsidRPr="00F036CE">
        <w:rPr>
          <w:rFonts w:cs="Courier New"/>
          <w:szCs w:val="22"/>
        </w:rPr>
        <w:t>or develop investment property.</w:t>
      </w:r>
    </w:p>
    <w:p w14:paraId="4486EFDD" w14:textId="77777777" w:rsidR="007344C0" w:rsidRPr="00EC06E7" w:rsidRDefault="007344C0" w:rsidP="00DE5055">
      <w:pPr>
        <w:rPr>
          <w:rFonts w:cs="Courier New"/>
          <w:szCs w:val="22"/>
        </w:rPr>
      </w:pPr>
    </w:p>
    <w:p w14:paraId="07ACB8C5" w14:textId="77777777" w:rsidR="00504DF4" w:rsidRPr="00EC06E7" w:rsidRDefault="000C64A3" w:rsidP="00DE5055">
      <w:pPr>
        <w:rPr>
          <w:rFonts w:cs="Courier New"/>
          <w:szCs w:val="22"/>
        </w:rPr>
      </w:pPr>
      <w:r w:rsidRPr="00EC06E7">
        <w:rPr>
          <w:rFonts w:cs="Courier New"/>
          <w:szCs w:val="22"/>
        </w:rPr>
        <w:t>T</w:t>
      </w:r>
      <w:r w:rsidR="00504DF4" w:rsidRPr="00EC06E7">
        <w:rPr>
          <w:rFonts w:cs="Courier New"/>
          <w:szCs w:val="22"/>
        </w:rPr>
        <w:t>he following table summarises the movement in the fair value of investment properties over the year.</w:t>
      </w:r>
    </w:p>
    <w:p w14:paraId="08391BFC" w14:textId="6E5E72BB" w:rsidR="006844F5" w:rsidRDefault="006844F5" w:rsidP="00DE5055">
      <w:pPr>
        <w:rPr>
          <w:rFonts w:cs="Courier New"/>
          <w:szCs w:val="22"/>
        </w:rPr>
      </w:pPr>
    </w:p>
    <w:p w14:paraId="38645A1C" w14:textId="46D4489F" w:rsidR="005D650A" w:rsidRDefault="009C642F" w:rsidP="00DE5055">
      <w:pPr>
        <w:rPr>
          <w:rFonts w:cs="Courier New"/>
          <w:szCs w:val="22"/>
        </w:rPr>
      </w:pPr>
      <w:r>
        <w:rPr>
          <w:rFonts w:cs="Courier New"/>
          <w:szCs w:val="22"/>
        </w:rPr>
        <w:fldChar w:fldCharType="begin"/>
      </w:r>
      <w:r>
        <w:rPr>
          <w:rFonts w:cs="Courier New"/>
          <w:szCs w:val="22"/>
        </w:rPr>
        <w:instrText xml:space="preserve"> LINK Excel.Sheet.12 "\\\\alpha\\accounts$\\CLOSURE\\Closure 20-21\\04 SoA Working Papers\\16 Investment Properties\\Note 16 Investment Properties 2020-21.xlsx!Embedded Table!R2C1:R10C3" "" \a \p </w:instrText>
      </w:r>
      <w:r>
        <w:rPr>
          <w:rFonts w:cs="Courier New"/>
          <w:szCs w:val="22"/>
        </w:rPr>
        <w:fldChar w:fldCharType="separate"/>
      </w:r>
      <w:r w:rsidR="001C71EF">
        <w:rPr>
          <w:rFonts w:cs="Courier New"/>
          <w:szCs w:val="22"/>
        </w:rPr>
        <w:object w:dxaOrig="10268" w:dyaOrig="2895" w14:anchorId="35504B2A">
          <v:shape id="_x0000_i1043" type="#_x0000_t75" style="width:475.45pt;height:151.45pt" o:ole="">
            <v:imagedata r:id="rId70" o:title=""/>
            <o:lock v:ext="edit" aspectratio="f"/>
          </v:shape>
        </w:object>
      </w:r>
      <w:r>
        <w:rPr>
          <w:rFonts w:cs="Courier New"/>
          <w:szCs w:val="22"/>
        </w:rPr>
        <w:fldChar w:fldCharType="end"/>
      </w:r>
    </w:p>
    <w:p w14:paraId="77BCB35E" w14:textId="77777777" w:rsidR="005D650A" w:rsidRPr="00EC06E7" w:rsidRDefault="005D650A" w:rsidP="00DE5055">
      <w:pPr>
        <w:rPr>
          <w:rFonts w:cs="Courier New"/>
          <w:szCs w:val="22"/>
        </w:rPr>
      </w:pPr>
    </w:p>
    <w:p w14:paraId="0D80F888" w14:textId="77777777" w:rsidR="00360B3F" w:rsidRPr="00EC06E7" w:rsidRDefault="00360B3F" w:rsidP="00DE5055">
      <w:pPr>
        <w:rPr>
          <w:rFonts w:cs="Courier New"/>
          <w:szCs w:val="22"/>
        </w:rPr>
      </w:pPr>
      <w:r w:rsidRPr="00EC06E7">
        <w:rPr>
          <w:rFonts w:ascii="Arial,Bold" w:hAnsi="Arial,Bold" w:cs="Arial,Bold"/>
          <w:b/>
          <w:bCs/>
          <w:sz w:val="23"/>
          <w:szCs w:val="23"/>
        </w:rPr>
        <w:t xml:space="preserve">Fair Value Hierarchy </w:t>
      </w:r>
      <w:r w:rsidR="00AF483C" w:rsidRPr="00EC06E7">
        <w:rPr>
          <w:rFonts w:ascii="Arial,Bold" w:hAnsi="Arial,Bold" w:cs="Arial,Bold"/>
          <w:b/>
          <w:bCs/>
          <w:sz w:val="23"/>
          <w:szCs w:val="23"/>
        </w:rPr>
        <w:t>–</w:t>
      </w:r>
      <w:r w:rsidRPr="00EC06E7">
        <w:rPr>
          <w:rFonts w:ascii="Arial,Bold" w:hAnsi="Arial,Bold" w:cs="Arial,Bold"/>
          <w:b/>
          <w:bCs/>
          <w:sz w:val="23"/>
          <w:szCs w:val="23"/>
        </w:rPr>
        <w:t xml:space="preserve"> Investment Properties</w:t>
      </w:r>
    </w:p>
    <w:p w14:paraId="27CB38DF" w14:textId="77777777" w:rsidR="00360B3F" w:rsidRPr="00EC06E7" w:rsidRDefault="00360B3F" w:rsidP="006844F5">
      <w:pPr>
        <w:rPr>
          <w:rFonts w:cs="Courier New"/>
          <w:szCs w:val="22"/>
        </w:rPr>
      </w:pPr>
    </w:p>
    <w:p w14:paraId="3A519715" w14:textId="1C25E282" w:rsidR="00360B3F" w:rsidRPr="00EC06E7" w:rsidRDefault="00C70FDC" w:rsidP="006844F5">
      <w:pPr>
        <w:rPr>
          <w:rFonts w:cs="Courier New"/>
          <w:szCs w:val="22"/>
        </w:rPr>
      </w:pPr>
      <w:r w:rsidRPr="00EC06E7">
        <w:rPr>
          <w:rFonts w:cs="Courier New"/>
          <w:szCs w:val="22"/>
        </w:rPr>
        <w:t xml:space="preserve">All the </w:t>
      </w:r>
      <w:r w:rsidR="00BC0AA6">
        <w:rPr>
          <w:rFonts w:cs="Courier New"/>
          <w:szCs w:val="22"/>
        </w:rPr>
        <w:t>c</w:t>
      </w:r>
      <w:r w:rsidRPr="00EC06E7">
        <w:rPr>
          <w:rFonts w:cs="Courier New"/>
          <w:szCs w:val="22"/>
        </w:rPr>
        <w:t>ouncil’s investment properties have been value assessed as Level 2 (other significant observable inputs) on the fair value hierarchy for valuation purposes.  See the Fair Val</w:t>
      </w:r>
      <w:r w:rsidR="000227A5" w:rsidRPr="00EC06E7">
        <w:rPr>
          <w:rFonts w:cs="Courier New"/>
          <w:szCs w:val="22"/>
        </w:rPr>
        <w:t xml:space="preserve">ue Measurement section of Note </w:t>
      </w:r>
      <w:r w:rsidR="000227A5" w:rsidRPr="00EC06E7">
        <w:rPr>
          <w:rFonts w:cs="Courier New"/>
          <w:szCs w:val="22"/>
        </w:rPr>
        <w:fldChar w:fldCharType="begin"/>
      </w:r>
      <w:r w:rsidR="000227A5" w:rsidRPr="00EC06E7">
        <w:rPr>
          <w:rFonts w:cs="Courier New"/>
          <w:szCs w:val="22"/>
        </w:rPr>
        <w:instrText xml:space="preserve"> REF _Ref483390677 \r \h </w:instrText>
      </w:r>
      <w:r w:rsidR="00EC06E7">
        <w:rPr>
          <w:rFonts w:cs="Courier New"/>
          <w:szCs w:val="22"/>
        </w:rPr>
        <w:instrText xml:space="preserve"> \* MERGEFORMAT </w:instrText>
      </w:r>
      <w:r w:rsidR="000227A5" w:rsidRPr="00EC06E7">
        <w:rPr>
          <w:rFonts w:cs="Courier New"/>
          <w:szCs w:val="22"/>
        </w:rPr>
      </w:r>
      <w:r w:rsidR="000227A5" w:rsidRPr="00EC06E7">
        <w:rPr>
          <w:rFonts w:cs="Courier New"/>
          <w:szCs w:val="22"/>
        </w:rPr>
        <w:fldChar w:fldCharType="separate"/>
      </w:r>
      <w:r w:rsidR="000F49D2">
        <w:rPr>
          <w:rFonts w:cs="Courier New"/>
          <w:szCs w:val="22"/>
        </w:rPr>
        <w:t>2</w:t>
      </w:r>
      <w:r w:rsidR="000227A5" w:rsidRPr="00EC06E7">
        <w:rPr>
          <w:rFonts w:cs="Courier New"/>
          <w:szCs w:val="22"/>
        </w:rPr>
        <w:fldChar w:fldCharType="end"/>
      </w:r>
      <w:r w:rsidRPr="00EC06E7">
        <w:rPr>
          <w:rFonts w:cs="Courier New"/>
          <w:szCs w:val="22"/>
        </w:rPr>
        <w:t xml:space="preserve"> Accounting Poli</w:t>
      </w:r>
      <w:r w:rsidR="00261730" w:rsidRPr="00EC06E7">
        <w:rPr>
          <w:rFonts w:cs="Courier New"/>
          <w:szCs w:val="22"/>
        </w:rPr>
        <w:t>cies</w:t>
      </w:r>
      <w:r w:rsidRPr="00EC06E7">
        <w:rPr>
          <w:rFonts w:cs="Courier New"/>
          <w:szCs w:val="22"/>
        </w:rPr>
        <w:t xml:space="preserve"> for an explanation of the fair value levels.</w:t>
      </w:r>
    </w:p>
    <w:p w14:paraId="671DD2D3" w14:textId="77777777" w:rsidR="00454B0F" w:rsidRPr="00EC06E7" w:rsidRDefault="00454B0F" w:rsidP="006844F5">
      <w:pPr>
        <w:rPr>
          <w:rFonts w:ascii="Arial,Bold" w:hAnsi="Arial,Bold" w:cs="Arial,Bold"/>
          <w:bCs/>
          <w:sz w:val="23"/>
          <w:szCs w:val="23"/>
        </w:rPr>
      </w:pPr>
    </w:p>
    <w:p w14:paraId="7E2DCC74" w14:textId="77777777" w:rsidR="000E6561" w:rsidRPr="00EC06E7" w:rsidRDefault="000E6561" w:rsidP="006844F5">
      <w:pPr>
        <w:autoSpaceDE w:val="0"/>
        <w:autoSpaceDN w:val="0"/>
        <w:adjustRightInd w:val="0"/>
        <w:rPr>
          <w:rFonts w:ascii="Arial,Bold" w:hAnsi="Arial,Bold" w:cs="Arial,Bold"/>
          <w:b/>
          <w:bCs/>
          <w:szCs w:val="22"/>
        </w:rPr>
      </w:pPr>
      <w:r w:rsidRPr="00EC06E7">
        <w:rPr>
          <w:rFonts w:ascii="Arial,Bold" w:hAnsi="Arial,Bold" w:cs="Arial,Bold"/>
          <w:b/>
          <w:bCs/>
          <w:szCs w:val="22"/>
        </w:rPr>
        <w:t>Transfers between Levels of the Fair Value Hierarchy</w:t>
      </w:r>
    </w:p>
    <w:p w14:paraId="3E097C3F" w14:textId="77777777" w:rsidR="000E6561" w:rsidRPr="00EC06E7" w:rsidRDefault="000E6561" w:rsidP="006844F5">
      <w:pPr>
        <w:autoSpaceDE w:val="0"/>
        <w:autoSpaceDN w:val="0"/>
        <w:adjustRightInd w:val="0"/>
        <w:rPr>
          <w:rFonts w:cs="Arial"/>
          <w:sz w:val="23"/>
          <w:szCs w:val="23"/>
        </w:rPr>
      </w:pPr>
    </w:p>
    <w:p w14:paraId="0CF04B57" w14:textId="77777777" w:rsidR="000E6561" w:rsidRPr="00EC06E7" w:rsidRDefault="000E6561" w:rsidP="006844F5">
      <w:pPr>
        <w:rPr>
          <w:rFonts w:cs="Courier New"/>
          <w:szCs w:val="22"/>
        </w:rPr>
      </w:pPr>
      <w:r w:rsidRPr="00EC06E7">
        <w:rPr>
          <w:rFonts w:cs="Courier New"/>
          <w:szCs w:val="22"/>
        </w:rPr>
        <w:t>There were no transfers between levels 1 and 2 during the year.</w:t>
      </w:r>
    </w:p>
    <w:p w14:paraId="798702E6" w14:textId="77777777" w:rsidR="00BC6FAF" w:rsidRPr="00EC06E7" w:rsidRDefault="00BC6FAF" w:rsidP="00E139B6"/>
    <w:p w14:paraId="4B871788" w14:textId="77777777" w:rsidR="000E6561" w:rsidRPr="00EC06E7" w:rsidRDefault="000E6561" w:rsidP="006844F5">
      <w:pPr>
        <w:autoSpaceDE w:val="0"/>
        <w:autoSpaceDN w:val="0"/>
        <w:adjustRightInd w:val="0"/>
        <w:rPr>
          <w:rFonts w:ascii="Arial,Bold" w:hAnsi="Arial,Bold" w:cs="Arial,Bold"/>
          <w:b/>
          <w:bCs/>
          <w:szCs w:val="22"/>
        </w:rPr>
      </w:pPr>
      <w:r w:rsidRPr="00EC06E7">
        <w:rPr>
          <w:rFonts w:ascii="Arial,Bold" w:hAnsi="Arial,Bold" w:cs="Arial,Bold"/>
          <w:b/>
          <w:bCs/>
          <w:szCs w:val="22"/>
        </w:rPr>
        <w:t>Valuation techniques used to determine Level 2 and 3 Fair Values for Investment</w:t>
      </w:r>
    </w:p>
    <w:p w14:paraId="189E9E7D" w14:textId="77777777" w:rsidR="000E6561" w:rsidRPr="00EC06E7" w:rsidRDefault="000E6561" w:rsidP="006844F5">
      <w:pPr>
        <w:autoSpaceDE w:val="0"/>
        <w:autoSpaceDN w:val="0"/>
        <w:adjustRightInd w:val="0"/>
        <w:rPr>
          <w:rFonts w:ascii="Arial,Bold" w:hAnsi="Arial,Bold" w:cs="Arial,Bold"/>
          <w:b/>
          <w:bCs/>
          <w:szCs w:val="22"/>
        </w:rPr>
      </w:pPr>
      <w:r w:rsidRPr="00EC06E7">
        <w:rPr>
          <w:rFonts w:ascii="Arial,Bold" w:hAnsi="Arial,Bold" w:cs="Arial,Bold"/>
          <w:b/>
          <w:bCs/>
          <w:szCs w:val="22"/>
        </w:rPr>
        <w:t>Properties</w:t>
      </w:r>
    </w:p>
    <w:p w14:paraId="1832F256" w14:textId="77777777" w:rsidR="00454B0F" w:rsidRPr="00EC06E7" w:rsidRDefault="00454B0F" w:rsidP="006844F5">
      <w:pPr>
        <w:autoSpaceDE w:val="0"/>
        <w:autoSpaceDN w:val="0"/>
        <w:adjustRightInd w:val="0"/>
        <w:rPr>
          <w:rFonts w:ascii="Arial,Bold" w:hAnsi="Arial,Bold" w:cs="Arial,Bold"/>
          <w:b/>
          <w:bCs/>
          <w:szCs w:val="22"/>
        </w:rPr>
      </w:pPr>
    </w:p>
    <w:p w14:paraId="7587874F" w14:textId="77777777" w:rsidR="000E6561" w:rsidRPr="00EC06E7" w:rsidRDefault="000E6561" w:rsidP="006844F5">
      <w:pPr>
        <w:autoSpaceDE w:val="0"/>
        <w:autoSpaceDN w:val="0"/>
        <w:adjustRightInd w:val="0"/>
        <w:rPr>
          <w:rFonts w:cs="Arial"/>
          <w:szCs w:val="22"/>
          <w:u w:val="single"/>
        </w:rPr>
      </w:pPr>
      <w:r w:rsidRPr="00EC06E7">
        <w:rPr>
          <w:rFonts w:cs="Arial"/>
          <w:szCs w:val="22"/>
          <w:u w:val="single"/>
        </w:rPr>
        <w:t>Significant Observable Inputs - Level 2</w:t>
      </w:r>
    </w:p>
    <w:p w14:paraId="6B5ED922" w14:textId="77777777" w:rsidR="000E6561" w:rsidRPr="00EC06E7" w:rsidRDefault="000E6561" w:rsidP="006844F5">
      <w:pPr>
        <w:autoSpaceDE w:val="0"/>
        <w:autoSpaceDN w:val="0"/>
        <w:adjustRightInd w:val="0"/>
        <w:rPr>
          <w:rFonts w:cs="Arial"/>
          <w:sz w:val="23"/>
          <w:szCs w:val="23"/>
        </w:rPr>
      </w:pPr>
    </w:p>
    <w:p w14:paraId="30BCDBDF" w14:textId="77777777" w:rsidR="000E6561" w:rsidRPr="00EC06E7" w:rsidRDefault="000E6561" w:rsidP="006844F5">
      <w:pPr>
        <w:rPr>
          <w:rFonts w:cs="Courier New"/>
          <w:szCs w:val="22"/>
        </w:rPr>
      </w:pPr>
      <w:r w:rsidRPr="00EC06E7">
        <w:rPr>
          <w:rFonts w:cs="Courier New"/>
          <w:szCs w:val="22"/>
        </w:rPr>
        <w:t xml:space="preserve">The fair value for the level 2 investment properties has been based on the market approach using current market conditions and recent sales prices and other relevant information for similar assets in the </w:t>
      </w:r>
      <w:r w:rsidR="00BC0AA6">
        <w:rPr>
          <w:rFonts w:cs="Courier New"/>
          <w:szCs w:val="22"/>
        </w:rPr>
        <w:t>c</w:t>
      </w:r>
      <w:r w:rsidRPr="00EC06E7">
        <w:rPr>
          <w:rFonts w:cs="Courier New"/>
          <w:szCs w:val="22"/>
        </w:rPr>
        <w:t>ouncil's area. Market conditions are such that similar properties are actively purchased and sold and the level of observable inputs are significant, leading to the properties being categorised at Level 2 in the fair value hierarchy.</w:t>
      </w:r>
    </w:p>
    <w:p w14:paraId="584BD0DA" w14:textId="77777777" w:rsidR="000C64A3" w:rsidRPr="00EC06E7" w:rsidRDefault="000C64A3" w:rsidP="006844F5">
      <w:pPr>
        <w:rPr>
          <w:rFonts w:cs="Courier New"/>
          <w:szCs w:val="22"/>
        </w:rPr>
      </w:pPr>
    </w:p>
    <w:p w14:paraId="6F98290A" w14:textId="77777777" w:rsidR="000E6561" w:rsidRPr="00EC06E7" w:rsidRDefault="000E6561" w:rsidP="006844F5">
      <w:pPr>
        <w:rPr>
          <w:rFonts w:cs="Courier New"/>
          <w:b/>
          <w:szCs w:val="22"/>
        </w:rPr>
      </w:pPr>
      <w:r w:rsidRPr="00EC06E7">
        <w:rPr>
          <w:rFonts w:cs="Courier New"/>
          <w:b/>
          <w:szCs w:val="22"/>
        </w:rPr>
        <w:t>Highest and Best Use of Investment Properties</w:t>
      </w:r>
    </w:p>
    <w:p w14:paraId="3B6B4969" w14:textId="77777777" w:rsidR="000E6561" w:rsidRPr="00EC06E7" w:rsidRDefault="000E6561" w:rsidP="006844F5">
      <w:pPr>
        <w:rPr>
          <w:rFonts w:cs="Courier New"/>
          <w:szCs w:val="22"/>
        </w:rPr>
      </w:pPr>
    </w:p>
    <w:p w14:paraId="1DEC26D3" w14:textId="77777777" w:rsidR="000E6561" w:rsidRPr="00EC06E7" w:rsidRDefault="000E6561" w:rsidP="006844F5">
      <w:pPr>
        <w:rPr>
          <w:rFonts w:cs="Courier New"/>
          <w:szCs w:val="22"/>
        </w:rPr>
      </w:pPr>
      <w:r w:rsidRPr="00EC06E7">
        <w:rPr>
          <w:rFonts w:cs="Courier New"/>
          <w:szCs w:val="22"/>
        </w:rPr>
        <w:t xml:space="preserve">In estimating the fair value of the </w:t>
      </w:r>
      <w:r w:rsidR="00BC0AA6">
        <w:rPr>
          <w:rFonts w:cs="Courier New"/>
          <w:szCs w:val="22"/>
        </w:rPr>
        <w:t>c</w:t>
      </w:r>
      <w:r w:rsidRPr="00EC06E7">
        <w:rPr>
          <w:rFonts w:cs="Courier New"/>
          <w:szCs w:val="22"/>
        </w:rPr>
        <w:t>ouncil's investment properties, the highest and best use</w:t>
      </w:r>
      <w:r w:rsidR="008C2C0C" w:rsidRPr="00EC06E7">
        <w:rPr>
          <w:rFonts w:cs="Courier New"/>
          <w:szCs w:val="22"/>
        </w:rPr>
        <w:t xml:space="preserve"> </w:t>
      </w:r>
      <w:r w:rsidRPr="00EC06E7">
        <w:rPr>
          <w:rFonts w:cs="Courier New"/>
          <w:szCs w:val="22"/>
        </w:rPr>
        <w:t>of the properties is their current use.</w:t>
      </w:r>
    </w:p>
    <w:p w14:paraId="079A32CA" w14:textId="77777777" w:rsidR="000C64A3" w:rsidRPr="00EC06E7" w:rsidRDefault="000C64A3" w:rsidP="006844F5">
      <w:pPr>
        <w:rPr>
          <w:rFonts w:cs="Courier New"/>
          <w:szCs w:val="22"/>
        </w:rPr>
      </w:pPr>
    </w:p>
    <w:p w14:paraId="419B2375" w14:textId="77777777" w:rsidR="000E6561" w:rsidRPr="00EC06E7" w:rsidRDefault="000E6561" w:rsidP="006844F5">
      <w:pPr>
        <w:rPr>
          <w:rFonts w:cs="Courier New"/>
          <w:b/>
          <w:szCs w:val="22"/>
        </w:rPr>
      </w:pPr>
      <w:r w:rsidRPr="00EC06E7">
        <w:rPr>
          <w:rFonts w:cs="Courier New"/>
          <w:b/>
          <w:szCs w:val="22"/>
        </w:rPr>
        <w:t>Valuation Techniques</w:t>
      </w:r>
    </w:p>
    <w:p w14:paraId="77AC228E" w14:textId="77777777" w:rsidR="000E6561" w:rsidRPr="00EC06E7" w:rsidRDefault="000E6561" w:rsidP="006844F5">
      <w:pPr>
        <w:rPr>
          <w:rFonts w:cs="Courier New"/>
          <w:szCs w:val="22"/>
        </w:rPr>
      </w:pPr>
    </w:p>
    <w:p w14:paraId="21B6A6BC" w14:textId="77777777" w:rsidR="000E6561" w:rsidRPr="00EC06E7" w:rsidRDefault="000E6561" w:rsidP="006844F5">
      <w:pPr>
        <w:rPr>
          <w:rFonts w:cs="Courier New"/>
          <w:szCs w:val="22"/>
        </w:rPr>
      </w:pPr>
      <w:r w:rsidRPr="00EC06E7">
        <w:rPr>
          <w:rFonts w:cs="Courier New"/>
          <w:szCs w:val="22"/>
        </w:rPr>
        <w:t>There has been no change in the valuation techniques used during the year for investment</w:t>
      </w:r>
      <w:r w:rsidR="008C2C0C" w:rsidRPr="00EC06E7">
        <w:rPr>
          <w:rFonts w:cs="Courier New"/>
          <w:szCs w:val="22"/>
        </w:rPr>
        <w:t xml:space="preserve"> </w:t>
      </w:r>
      <w:r w:rsidRPr="00EC06E7">
        <w:rPr>
          <w:rFonts w:cs="Courier New"/>
          <w:szCs w:val="22"/>
        </w:rPr>
        <w:t>properties.</w:t>
      </w:r>
    </w:p>
    <w:p w14:paraId="77274B97" w14:textId="77777777" w:rsidR="000E6561" w:rsidRPr="00EC06E7" w:rsidRDefault="000E6561" w:rsidP="006844F5"/>
    <w:p w14:paraId="398BE321" w14:textId="77777777" w:rsidR="008C2C0C" w:rsidRPr="00EC06E7" w:rsidRDefault="008C2C0C" w:rsidP="006844F5">
      <w:pPr>
        <w:rPr>
          <w:b/>
        </w:rPr>
      </w:pPr>
      <w:r w:rsidRPr="00EC06E7">
        <w:rPr>
          <w:b/>
        </w:rPr>
        <w:t>Valuation Process for Investment Properties</w:t>
      </w:r>
    </w:p>
    <w:p w14:paraId="46954BD2" w14:textId="77777777" w:rsidR="008C2C0C" w:rsidRPr="00EC06E7" w:rsidRDefault="008C2C0C" w:rsidP="006844F5">
      <w:pPr>
        <w:rPr>
          <w:rFonts w:cs="Courier New"/>
          <w:szCs w:val="22"/>
        </w:rPr>
      </w:pPr>
    </w:p>
    <w:p w14:paraId="688A812B" w14:textId="6C78B0BB" w:rsidR="00C913DB" w:rsidRPr="00EC06E7" w:rsidRDefault="008C2C0C" w:rsidP="006844F5">
      <w:pPr>
        <w:rPr>
          <w:rFonts w:cs="Courier New"/>
          <w:szCs w:val="22"/>
        </w:rPr>
      </w:pPr>
      <w:r w:rsidRPr="00EC06E7">
        <w:rPr>
          <w:rFonts w:cs="Courier New"/>
          <w:szCs w:val="22"/>
        </w:rPr>
        <w:t xml:space="preserve">The fair value of the </w:t>
      </w:r>
      <w:r w:rsidR="00BC0AA6">
        <w:rPr>
          <w:rFonts w:cs="Courier New"/>
          <w:szCs w:val="22"/>
        </w:rPr>
        <w:t>c</w:t>
      </w:r>
      <w:r w:rsidRPr="00EC06E7">
        <w:rPr>
          <w:rFonts w:cs="Courier New"/>
          <w:szCs w:val="22"/>
        </w:rPr>
        <w:t>ouncil's investment property is measured annually at each reporting date. All valuations are carried out in accordance with the methodologies and bases for estimation set out in the professional standards of the Royal Institution of Chartered Surveyors (RICS).</w:t>
      </w:r>
      <w:r w:rsidR="00C913DB" w:rsidRPr="00EC06E7">
        <w:rPr>
          <w:rFonts w:cs="Courier New"/>
          <w:szCs w:val="22"/>
        </w:rPr>
        <w:t xml:space="preserve"> During </w:t>
      </w:r>
      <w:r w:rsidR="00C77DD7">
        <w:rPr>
          <w:rFonts w:cs="Courier New"/>
          <w:szCs w:val="22"/>
        </w:rPr>
        <w:t>2020/21</w:t>
      </w:r>
      <w:r w:rsidR="00C913DB" w:rsidRPr="00EC06E7">
        <w:rPr>
          <w:rFonts w:cs="Courier New"/>
          <w:szCs w:val="22"/>
        </w:rPr>
        <w:t xml:space="preserve"> the valuations of investment properties were carried out </w:t>
      </w:r>
      <w:r w:rsidR="00C77EA0" w:rsidRPr="00EC06E7">
        <w:rPr>
          <w:rFonts w:cs="Courier New"/>
          <w:szCs w:val="22"/>
        </w:rPr>
        <w:t xml:space="preserve">on behalf of the </w:t>
      </w:r>
      <w:r w:rsidR="00BC0AA6">
        <w:rPr>
          <w:rFonts w:cs="Courier New"/>
          <w:szCs w:val="22"/>
        </w:rPr>
        <w:t>c</w:t>
      </w:r>
      <w:r w:rsidR="00EC5751" w:rsidRPr="00EC06E7">
        <w:rPr>
          <w:rFonts w:cs="Courier New"/>
          <w:szCs w:val="22"/>
        </w:rPr>
        <w:t>ouncil by</w:t>
      </w:r>
      <w:r w:rsidR="00C913DB" w:rsidRPr="00EC06E7">
        <w:rPr>
          <w:rFonts w:cs="Courier New"/>
          <w:szCs w:val="22"/>
        </w:rPr>
        <w:t xml:space="preserve"> </w:t>
      </w:r>
      <w:r w:rsidR="007D24CB" w:rsidRPr="007D24CB">
        <w:rPr>
          <w:rFonts w:cs="Courier New"/>
          <w:szCs w:val="22"/>
        </w:rPr>
        <w:t>Sanderson Weatherall LLP</w:t>
      </w:r>
      <w:r w:rsidR="00C913DB" w:rsidRPr="00EC06E7">
        <w:rPr>
          <w:rFonts w:cs="Courier New"/>
          <w:szCs w:val="22"/>
        </w:rPr>
        <w:t>. The ba</w:t>
      </w:r>
      <w:r w:rsidR="007E5D02">
        <w:rPr>
          <w:rFonts w:cs="Courier New"/>
          <w:szCs w:val="22"/>
        </w:rPr>
        <w:t>sis of valuation is set out in N</w:t>
      </w:r>
      <w:r w:rsidR="00C913DB" w:rsidRPr="00EC06E7">
        <w:rPr>
          <w:rFonts w:cs="Courier New"/>
          <w:szCs w:val="22"/>
        </w:rPr>
        <w:t xml:space="preserve">ote </w:t>
      </w:r>
      <w:r w:rsidR="00454B0F" w:rsidRPr="00EC06E7">
        <w:rPr>
          <w:rFonts w:cs="Courier New"/>
          <w:szCs w:val="22"/>
        </w:rPr>
        <w:fldChar w:fldCharType="begin"/>
      </w:r>
      <w:r w:rsidR="00454B0F" w:rsidRPr="00EC06E7">
        <w:rPr>
          <w:rFonts w:cs="Courier New"/>
          <w:szCs w:val="22"/>
        </w:rPr>
        <w:instrText xml:space="preserve"> REF _Ref483390677 \r \h </w:instrText>
      </w:r>
      <w:r w:rsidR="00EC06E7">
        <w:rPr>
          <w:rFonts w:cs="Courier New"/>
          <w:szCs w:val="22"/>
        </w:rPr>
        <w:instrText xml:space="preserve"> \* MERGEFORMAT </w:instrText>
      </w:r>
      <w:r w:rsidR="00454B0F" w:rsidRPr="00EC06E7">
        <w:rPr>
          <w:rFonts w:cs="Courier New"/>
          <w:szCs w:val="22"/>
        </w:rPr>
      </w:r>
      <w:r w:rsidR="00454B0F" w:rsidRPr="00EC06E7">
        <w:rPr>
          <w:rFonts w:cs="Courier New"/>
          <w:szCs w:val="22"/>
        </w:rPr>
        <w:fldChar w:fldCharType="separate"/>
      </w:r>
      <w:r w:rsidR="000F49D2">
        <w:rPr>
          <w:rFonts w:cs="Courier New"/>
          <w:szCs w:val="22"/>
        </w:rPr>
        <w:t>2</w:t>
      </w:r>
      <w:r w:rsidR="00454B0F" w:rsidRPr="00EC06E7">
        <w:rPr>
          <w:rFonts w:cs="Courier New"/>
          <w:szCs w:val="22"/>
        </w:rPr>
        <w:fldChar w:fldCharType="end"/>
      </w:r>
      <w:r w:rsidR="00C913DB" w:rsidRPr="00EC06E7">
        <w:rPr>
          <w:rFonts w:cs="Courier New"/>
          <w:szCs w:val="22"/>
        </w:rPr>
        <w:t xml:space="preserve"> Accounting Poli</w:t>
      </w:r>
      <w:r w:rsidR="00261730" w:rsidRPr="00EC06E7">
        <w:rPr>
          <w:rFonts w:cs="Courier New"/>
          <w:szCs w:val="22"/>
        </w:rPr>
        <w:t>cies</w:t>
      </w:r>
      <w:r w:rsidR="00C913DB" w:rsidRPr="00EC06E7">
        <w:rPr>
          <w:rFonts w:cs="Courier New"/>
          <w:szCs w:val="22"/>
        </w:rPr>
        <w:t>.</w:t>
      </w:r>
    </w:p>
    <w:p w14:paraId="248A2C35" w14:textId="77777777" w:rsidR="00E139B6" w:rsidRPr="00EC06E7" w:rsidRDefault="00E139B6" w:rsidP="006844F5">
      <w:pPr>
        <w:rPr>
          <w:rFonts w:cs="Courier New"/>
          <w:szCs w:val="22"/>
        </w:rPr>
      </w:pPr>
    </w:p>
    <w:p w14:paraId="63CEC212" w14:textId="77777777" w:rsidR="00454B0F" w:rsidRPr="00EC06E7" w:rsidRDefault="00454B0F">
      <w:pPr>
        <w:jc w:val="left"/>
        <w:rPr>
          <w:rFonts w:cs="Arial"/>
          <w:b/>
          <w:color w:val="0070C0"/>
          <w:szCs w:val="22"/>
        </w:rPr>
      </w:pPr>
      <w:bookmarkStart w:id="94" w:name="_Toc483390982"/>
      <w:bookmarkStart w:id="95" w:name="_Ref483392665"/>
    </w:p>
    <w:p w14:paraId="0DF81E0F" w14:textId="77777777" w:rsidR="00C8113E" w:rsidRPr="001422EA" w:rsidRDefault="006E1448" w:rsidP="00127756">
      <w:pPr>
        <w:pStyle w:val="Heading2"/>
      </w:pPr>
      <w:bookmarkStart w:id="96" w:name="_Ref483991124"/>
      <w:bookmarkStart w:id="97" w:name="_Toc77603792"/>
      <w:r w:rsidRPr="001422EA">
        <w:t>Intangible assets</w:t>
      </w:r>
      <w:bookmarkEnd w:id="94"/>
      <w:bookmarkEnd w:id="95"/>
      <w:bookmarkEnd w:id="96"/>
      <w:bookmarkEnd w:id="97"/>
    </w:p>
    <w:p w14:paraId="02A5E00C" w14:textId="77777777" w:rsidR="0070625B" w:rsidRPr="00EC06E7" w:rsidRDefault="0070625B" w:rsidP="00E139B6">
      <w:pPr>
        <w:rPr>
          <w:rFonts w:cs="Courier New"/>
          <w:b/>
          <w:szCs w:val="22"/>
        </w:rPr>
      </w:pPr>
    </w:p>
    <w:p w14:paraId="3090E17C" w14:textId="77777777" w:rsidR="00AF402D" w:rsidRPr="00EC06E7" w:rsidRDefault="00BC6FAF" w:rsidP="00E139B6">
      <w:pPr>
        <w:rPr>
          <w:rFonts w:cs="Courier New"/>
          <w:szCs w:val="22"/>
        </w:rPr>
      </w:pPr>
      <w:r w:rsidRPr="00EC06E7">
        <w:rPr>
          <w:rFonts w:cs="Courier New"/>
          <w:szCs w:val="22"/>
        </w:rPr>
        <w:t xml:space="preserve">The </w:t>
      </w:r>
      <w:r w:rsidR="00BC0AA6">
        <w:rPr>
          <w:rFonts w:cs="Courier New"/>
          <w:szCs w:val="22"/>
        </w:rPr>
        <w:t>c</w:t>
      </w:r>
      <w:r w:rsidRPr="00EC06E7">
        <w:rPr>
          <w:rFonts w:cs="Courier New"/>
          <w:szCs w:val="22"/>
        </w:rPr>
        <w:t xml:space="preserve">ouncil accounts for its software as intangible assets, to the extent that software is not an integral part of a </w:t>
      </w:r>
      <w:proofErr w:type="gramStart"/>
      <w:r w:rsidRPr="00EC06E7">
        <w:rPr>
          <w:rFonts w:cs="Courier New"/>
          <w:szCs w:val="22"/>
        </w:rPr>
        <w:t>particular IT</w:t>
      </w:r>
      <w:proofErr w:type="gramEnd"/>
      <w:r w:rsidRPr="00EC06E7">
        <w:rPr>
          <w:rFonts w:cs="Courier New"/>
          <w:szCs w:val="22"/>
        </w:rPr>
        <w:t xml:space="preserve"> system and accounted for as part of the hardware item of Property, Plant and Equipment</w:t>
      </w:r>
      <w:r w:rsidR="00AF402D" w:rsidRPr="00EC06E7">
        <w:rPr>
          <w:rFonts w:cs="Courier New"/>
          <w:szCs w:val="22"/>
        </w:rPr>
        <w:t>.</w:t>
      </w:r>
    </w:p>
    <w:p w14:paraId="41272392" w14:textId="77777777" w:rsidR="00AF402D" w:rsidRPr="00EC06E7" w:rsidRDefault="00AF402D" w:rsidP="00E139B6">
      <w:pPr>
        <w:rPr>
          <w:rFonts w:cs="Courier New"/>
          <w:szCs w:val="22"/>
        </w:rPr>
      </w:pPr>
    </w:p>
    <w:p w14:paraId="158C7A7F" w14:textId="77777777" w:rsidR="00C8113E" w:rsidRPr="00EC06E7" w:rsidRDefault="00155078" w:rsidP="00E139B6">
      <w:pPr>
        <w:rPr>
          <w:rFonts w:cs="Courier New"/>
          <w:szCs w:val="22"/>
        </w:rPr>
      </w:pPr>
      <w:r w:rsidRPr="00EC06E7">
        <w:rPr>
          <w:rFonts w:cs="Courier New"/>
          <w:szCs w:val="22"/>
        </w:rPr>
        <w:t xml:space="preserve">All software is given a finite useful life, based on assessments of the period that the software is expected to be of use to the Authority. The following periods have been used in amortising the Authority’s </w:t>
      </w:r>
      <w:r w:rsidR="003F5232" w:rsidRPr="00EC06E7">
        <w:rPr>
          <w:rFonts w:cs="Courier New"/>
          <w:szCs w:val="22"/>
        </w:rPr>
        <w:t xml:space="preserve">significant </w:t>
      </w:r>
      <w:r w:rsidRPr="00EC06E7">
        <w:rPr>
          <w:rFonts w:cs="Courier New"/>
          <w:szCs w:val="22"/>
        </w:rPr>
        <w:t>intangible assets</w:t>
      </w:r>
      <w:r w:rsidR="00EA60B7" w:rsidRPr="00EC06E7">
        <w:rPr>
          <w:rFonts w:cs="Courier New"/>
          <w:szCs w:val="22"/>
        </w:rPr>
        <w:t>.</w:t>
      </w:r>
    </w:p>
    <w:p w14:paraId="4944278A" w14:textId="77777777" w:rsidR="00CB27FE" w:rsidRPr="00EC06E7" w:rsidRDefault="00CB27FE" w:rsidP="00E139B6">
      <w:pPr>
        <w:rPr>
          <w:rFonts w:cs="Courier New"/>
          <w:szCs w:val="22"/>
        </w:rPr>
      </w:pPr>
    </w:p>
    <w:tbl>
      <w:tblPr>
        <w:tblW w:w="9639"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7151"/>
        <w:gridCol w:w="2488"/>
      </w:tblGrid>
      <w:tr w:rsidR="001908EE" w:rsidRPr="00EC06E7" w14:paraId="78AF8DD2" w14:textId="77777777" w:rsidTr="00E139B6">
        <w:trPr>
          <w:trHeight w:val="340"/>
        </w:trPr>
        <w:tc>
          <w:tcPr>
            <w:tcW w:w="7488" w:type="dxa"/>
            <w:tcBorders>
              <w:top w:val="single" w:sz="4" w:space="0" w:color="auto"/>
              <w:bottom w:val="single" w:sz="4" w:space="0" w:color="auto"/>
              <w:right w:val="single" w:sz="4" w:space="0" w:color="auto"/>
            </w:tcBorders>
            <w:shd w:val="clear" w:color="auto" w:fill="B8CCE4" w:themeFill="accent1" w:themeFillTint="66"/>
            <w:vAlign w:val="center"/>
          </w:tcPr>
          <w:p w14:paraId="56ADA4F6" w14:textId="77777777" w:rsidR="001908EE" w:rsidRPr="00EC06E7" w:rsidRDefault="001908EE" w:rsidP="00CB27FE">
            <w:pPr>
              <w:rPr>
                <w:rFonts w:cs="Courier New"/>
                <w:b/>
                <w:szCs w:val="22"/>
              </w:rPr>
            </w:pPr>
            <w:r w:rsidRPr="00EC06E7">
              <w:rPr>
                <w:rFonts w:cs="Courier New"/>
                <w:b/>
                <w:szCs w:val="22"/>
              </w:rPr>
              <w:t xml:space="preserve">Asset </w:t>
            </w:r>
            <w:r w:rsidR="00CB27FE" w:rsidRPr="00EC06E7">
              <w:rPr>
                <w:rFonts w:cs="Courier New"/>
                <w:b/>
                <w:szCs w:val="22"/>
              </w:rPr>
              <w:t>D</w:t>
            </w:r>
            <w:r w:rsidRPr="00EC06E7">
              <w:rPr>
                <w:rFonts w:cs="Courier New"/>
                <w:b/>
                <w:szCs w:val="22"/>
              </w:rPr>
              <w:t>escription</w:t>
            </w:r>
          </w:p>
        </w:tc>
        <w:tc>
          <w:tcPr>
            <w:tcW w:w="2543" w:type="dxa"/>
            <w:tcBorders>
              <w:top w:val="single" w:sz="4" w:space="0" w:color="auto"/>
              <w:left w:val="single" w:sz="4" w:space="0" w:color="auto"/>
              <w:bottom w:val="single" w:sz="4" w:space="0" w:color="auto"/>
            </w:tcBorders>
            <w:shd w:val="clear" w:color="auto" w:fill="B8CCE4" w:themeFill="accent1" w:themeFillTint="66"/>
            <w:vAlign w:val="center"/>
          </w:tcPr>
          <w:p w14:paraId="5E9E4450" w14:textId="77777777" w:rsidR="001908EE" w:rsidRPr="00EC06E7" w:rsidRDefault="001908EE" w:rsidP="00E139B6">
            <w:pPr>
              <w:jc w:val="center"/>
              <w:rPr>
                <w:rFonts w:cs="Courier New"/>
                <w:b/>
                <w:szCs w:val="22"/>
              </w:rPr>
            </w:pPr>
            <w:r w:rsidRPr="00EC06E7">
              <w:rPr>
                <w:rFonts w:cs="Courier New"/>
                <w:b/>
                <w:szCs w:val="22"/>
              </w:rPr>
              <w:t>Amortisation</w:t>
            </w:r>
            <w:r w:rsidR="00E139B6" w:rsidRPr="00EC06E7">
              <w:rPr>
                <w:rFonts w:cs="Courier New"/>
                <w:b/>
                <w:szCs w:val="22"/>
              </w:rPr>
              <w:t xml:space="preserve"> </w:t>
            </w:r>
            <w:r w:rsidRPr="00EC06E7">
              <w:rPr>
                <w:rFonts w:cs="Courier New"/>
                <w:b/>
                <w:szCs w:val="22"/>
              </w:rPr>
              <w:t>Period</w:t>
            </w:r>
          </w:p>
        </w:tc>
      </w:tr>
      <w:tr w:rsidR="001908EE" w:rsidRPr="00EC06E7" w14:paraId="272781E5" w14:textId="77777777" w:rsidTr="00E139B6">
        <w:trPr>
          <w:trHeight w:val="340"/>
        </w:trPr>
        <w:tc>
          <w:tcPr>
            <w:tcW w:w="7488" w:type="dxa"/>
            <w:tcBorders>
              <w:top w:val="single" w:sz="4" w:space="0" w:color="auto"/>
              <w:bottom w:val="single" w:sz="4" w:space="0" w:color="BFBFBF" w:themeColor="background1" w:themeShade="BF"/>
              <w:right w:val="single" w:sz="4" w:space="0" w:color="BFBFBF" w:themeColor="background1" w:themeShade="BF"/>
            </w:tcBorders>
            <w:vAlign w:val="center"/>
          </w:tcPr>
          <w:p w14:paraId="01E0AC8D" w14:textId="77777777" w:rsidR="001908EE" w:rsidRPr="00EC06E7" w:rsidRDefault="00EC5751" w:rsidP="00CB27FE">
            <w:pPr>
              <w:rPr>
                <w:rFonts w:cs="Courier New"/>
                <w:szCs w:val="22"/>
              </w:rPr>
            </w:pPr>
            <w:r w:rsidRPr="00EC06E7">
              <w:rPr>
                <w:rFonts w:cs="Courier New"/>
                <w:szCs w:val="22"/>
              </w:rPr>
              <w:t>IT work programme</w:t>
            </w:r>
          </w:p>
        </w:tc>
        <w:tc>
          <w:tcPr>
            <w:tcW w:w="2543" w:type="dxa"/>
            <w:tcBorders>
              <w:top w:val="single" w:sz="4" w:space="0" w:color="auto"/>
              <w:left w:val="single" w:sz="4" w:space="0" w:color="BFBFBF" w:themeColor="background1" w:themeShade="BF"/>
              <w:bottom w:val="single" w:sz="4" w:space="0" w:color="BFBFBF" w:themeColor="background1" w:themeShade="BF"/>
            </w:tcBorders>
            <w:vAlign w:val="center"/>
          </w:tcPr>
          <w:p w14:paraId="2348490F" w14:textId="77777777" w:rsidR="001908EE" w:rsidRPr="00EC06E7" w:rsidRDefault="003F5232" w:rsidP="00CB27FE">
            <w:pPr>
              <w:jc w:val="center"/>
              <w:rPr>
                <w:rFonts w:cs="Courier New"/>
                <w:szCs w:val="22"/>
              </w:rPr>
            </w:pPr>
            <w:r w:rsidRPr="00EC06E7">
              <w:rPr>
                <w:rFonts w:cs="Courier New"/>
                <w:szCs w:val="22"/>
              </w:rPr>
              <w:t>5 years</w:t>
            </w:r>
          </w:p>
        </w:tc>
      </w:tr>
      <w:tr w:rsidR="003F5232" w:rsidRPr="00EC06E7" w14:paraId="591162A1" w14:textId="77777777" w:rsidTr="00E139B6">
        <w:trPr>
          <w:trHeight w:val="340"/>
        </w:trPr>
        <w:tc>
          <w:tcPr>
            <w:tcW w:w="7488"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AEF693" w14:textId="77777777" w:rsidR="003F5232" w:rsidRPr="00EC06E7" w:rsidRDefault="00EC5751" w:rsidP="007F4B56">
            <w:pPr>
              <w:rPr>
                <w:rFonts w:cs="Courier New"/>
                <w:szCs w:val="22"/>
              </w:rPr>
            </w:pPr>
            <w:r w:rsidRPr="00EC06E7">
              <w:rPr>
                <w:rFonts w:cs="Courier New"/>
                <w:szCs w:val="22"/>
              </w:rPr>
              <w:t>Customer Contact Centre and Relationship Management System</w:t>
            </w:r>
          </w:p>
        </w:tc>
        <w:tc>
          <w:tcPr>
            <w:tcW w:w="2543"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0362AB7" w14:textId="77777777" w:rsidR="003F5232" w:rsidRPr="00EC06E7" w:rsidRDefault="003F5232" w:rsidP="00A1794A">
            <w:pPr>
              <w:jc w:val="center"/>
            </w:pPr>
            <w:r w:rsidRPr="00EC06E7">
              <w:rPr>
                <w:rFonts w:cs="Courier New"/>
                <w:szCs w:val="22"/>
              </w:rPr>
              <w:t>5 years</w:t>
            </w:r>
          </w:p>
        </w:tc>
      </w:tr>
      <w:tr w:rsidR="003F5232" w:rsidRPr="00EC06E7" w14:paraId="7EA95F35" w14:textId="77777777" w:rsidTr="00E139B6">
        <w:trPr>
          <w:trHeight w:val="340"/>
        </w:trPr>
        <w:tc>
          <w:tcPr>
            <w:tcW w:w="7488"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B01A484" w14:textId="77777777" w:rsidR="002F618E" w:rsidRPr="00EC06E7" w:rsidRDefault="00EC5751" w:rsidP="007F4B56">
            <w:pPr>
              <w:rPr>
                <w:rFonts w:cs="Courier New"/>
                <w:szCs w:val="22"/>
              </w:rPr>
            </w:pPr>
            <w:r w:rsidRPr="00EC06E7">
              <w:rPr>
                <w:rFonts w:cs="Courier New"/>
                <w:szCs w:val="22"/>
              </w:rPr>
              <w:t>Revenues and Benefits System</w:t>
            </w:r>
          </w:p>
        </w:tc>
        <w:tc>
          <w:tcPr>
            <w:tcW w:w="2543"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59111040" w14:textId="77777777" w:rsidR="002F618E" w:rsidRPr="00EC06E7" w:rsidRDefault="003F5232" w:rsidP="00E139B6">
            <w:pPr>
              <w:jc w:val="center"/>
              <w:rPr>
                <w:rFonts w:cs="Courier New"/>
                <w:szCs w:val="22"/>
              </w:rPr>
            </w:pPr>
            <w:r w:rsidRPr="00EC06E7">
              <w:rPr>
                <w:rFonts w:cs="Courier New"/>
                <w:szCs w:val="22"/>
              </w:rPr>
              <w:t>5 year</w:t>
            </w:r>
            <w:r w:rsidR="00E139B6" w:rsidRPr="00EC06E7">
              <w:rPr>
                <w:rFonts w:cs="Courier New"/>
                <w:szCs w:val="22"/>
              </w:rPr>
              <w:t>s</w:t>
            </w:r>
          </w:p>
        </w:tc>
      </w:tr>
      <w:tr w:rsidR="00BC179E" w:rsidRPr="00EC06E7" w14:paraId="72206A8F" w14:textId="77777777" w:rsidTr="00E139B6">
        <w:trPr>
          <w:trHeight w:val="340"/>
        </w:trPr>
        <w:tc>
          <w:tcPr>
            <w:tcW w:w="7488"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B66D0A" w14:textId="77777777" w:rsidR="00BC179E" w:rsidRPr="00EC06E7" w:rsidRDefault="00BC179E" w:rsidP="00E139B6">
            <w:pPr>
              <w:rPr>
                <w:rFonts w:cs="Courier New"/>
                <w:szCs w:val="22"/>
              </w:rPr>
            </w:pPr>
            <w:r w:rsidRPr="00EC06E7">
              <w:rPr>
                <w:rFonts w:cs="Courier New"/>
                <w:szCs w:val="22"/>
              </w:rPr>
              <w:t>Human Resources System</w:t>
            </w:r>
          </w:p>
        </w:tc>
        <w:tc>
          <w:tcPr>
            <w:tcW w:w="2543"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6B81EAFA" w14:textId="77777777" w:rsidR="00BC179E" w:rsidRPr="00EC06E7" w:rsidRDefault="00BC179E" w:rsidP="00E139B6">
            <w:pPr>
              <w:jc w:val="center"/>
              <w:rPr>
                <w:rFonts w:cs="Courier New"/>
                <w:szCs w:val="22"/>
              </w:rPr>
            </w:pPr>
            <w:r w:rsidRPr="00EC06E7">
              <w:rPr>
                <w:rFonts w:cs="Courier New"/>
                <w:szCs w:val="22"/>
              </w:rPr>
              <w:t>5 years</w:t>
            </w:r>
          </w:p>
        </w:tc>
      </w:tr>
      <w:tr w:rsidR="00E139B6" w:rsidRPr="00EC06E7" w14:paraId="5755853C" w14:textId="77777777" w:rsidTr="00E139B6">
        <w:trPr>
          <w:trHeight w:val="340"/>
        </w:trPr>
        <w:tc>
          <w:tcPr>
            <w:tcW w:w="7488"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A4E5F6" w14:textId="77777777" w:rsidR="00E139B6" w:rsidRPr="00EC06E7" w:rsidRDefault="00BC179E" w:rsidP="00E139B6">
            <w:pPr>
              <w:rPr>
                <w:rFonts w:cs="Courier New"/>
                <w:szCs w:val="22"/>
              </w:rPr>
            </w:pPr>
            <w:r w:rsidRPr="00EC06E7">
              <w:rPr>
                <w:rFonts w:cs="Courier New"/>
                <w:szCs w:val="22"/>
              </w:rPr>
              <w:t>Licensing Management System</w:t>
            </w:r>
          </w:p>
        </w:tc>
        <w:tc>
          <w:tcPr>
            <w:tcW w:w="2543"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3116EB81" w14:textId="77777777" w:rsidR="00E139B6" w:rsidRPr="00EC06E7" w:rsidRDefault="00E139B6" w:rsidP="00E139B6">
            <w:pPr>
              <w:jc w:val="center"/>
              <w:rPr>
                <w:rFonts w:cs="Courier New"/>
                <w:szCs w:val="22"/>
              </w:rPr>
            </w:pPr>
            <w:r w:rsidRPr="00EC06E7">
              <w:rPr>
                <w:rFonts w:cs="Courier New"/>
                <w:szCs w:val="22"/>
              </w:rPr>
              <w:t>5 years</w:t>
            </w:r>
          </w:p>
        </w:tc>
      </w:tr>
      <w:tr w:rsidR="00E139B6" w:rsidRPr="00EC06E7" w14:paraId="283A3934" w14:textId="77777777" w:rsidTr="00127756">
        <w:trPr>
          <w:trHeight w:val="340"/>
        </w:trPr>
        <w:tc>
          <w:tcPr>
            <w:tcW w:w="7488"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6E532AE" w14:textId="77777777" w:rsidR="00E139B6" w:rsidRPr="00EC06E7" w:rsidRDefault="00BC179E" w:rsidP="00E139B6">
            <w:pPr>
              <w:rPr>
                <w:rFonts w:cs="Courier New"/>
                <w:szCs w:val="22"/>
              </w:rPr>
            </w:pPr>
            <w:r w:rsidRPr="00EC06E7">
              <w:rPr>
                <w:rFonts w:cs="Courier New"/>
                <w:szCs w:val="22"/>
              </w:rPr>
              <w:t>Planning &amp; Building Control System</w:t>
            </w:r>
          </w:p>
        </w:tc>
        <w:tc>
          <w:tcPr>
            <w:tcW w:w="2543"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1D5F58F" w14:textId="77777777" w:rsidR="00E139B6" w:rsidRPr="00EC06E7" w:rsidRDefault="00E139B6" w:rsidP="00E139B6">
            <w:pPr>
              <w:jc w:val="center"/>
              <w:rPr>
                <w:rFonts w:cs="Courier New"/>
                <w:szCs w:val="22"/>
              </w:rPr>
            </w:pPr>
            <w:r w:rsidRPr="00EC06E7">
              <w:rPr>
                <w:rFonts w:cs="Courier New"/>
                <w:szCs w:val="22"/>
              </w:rPr>
              <w:t>5 years</w:t>
            </w:r>
          </w:p>
        </w:tc>
      </w:tr>
      <w:tr w:rsidR="00127756" w:rsidRPr="00EC06E7" w14:paraId="70AB4D5E" w14:textId="77777777" w:rsidTr="00127756">
        <w:trPr>
          <w:trHeight w:val="340"/>
        </w:trPr>
        <w:tc>
          <w:tcPr>
            <w:tcW w:w="7488"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CB159F4" w14:textId="77777777" w:rsidR="00127756" w:rsidRPr="00EC06E7" w:rsidRDefault="00127756" w:rsidP="00E139B6">
            <w:pPr>
              <w:rPr>
                <w:rFonts w:cs="Courier New"/>
                <w:szCs w:val="22"/>
              </w:rPr>
            </w:pPr>
            <w:r>
              <w:rPr>
                <w:rFonts w:cs="Courier New"/>
                <w:szCs w:val="22"/>
              </w:rPr>
              <w:t>Committee Management System</w:t>
            </w:r>
          </w:p>
        </w:tc>
        <w:tc>
          <w:tcPr>
            <w:tcW w:w="2543"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1AD4CC38" w14:textId="77777777" w:rsidR="00127756" w:rsidRPr="00EC06E7" w:rsidRDefault="00127756" w:rsidP="00E139B6">
            <w:pPr>
              <w:jc w:val="center"/>
              <w:rPr>
                <w:rFonts w:cs="Courier New"/>
                <w:szCs w:val="22"/>
              </w:rPr>
            </w:pPr>
            <w:r>
              <w:rPr>
                <w:rFonts w:cs="Courier New"/>
                <w:szCs w:val="22"/>
              </w:rPr>
              <w:t>5 years</w:t>
            </w:r>
          </w:p>
        </w:tc>
      </w:tr>
      <w:tr w:rsidR="00127756" w:rsidRPr="00EC06E7" w14:paraId="3CC103CB" w14:textId="77777777" w:rsidTr="00127756">
        <w:trPr>
          <w:trHeight w:val="340"/>
        </w:trPr>
        <w:tc>
          <w:tcPr>
            <w:tcW w:w="7488"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6C404DC" w14:textId="77777777" w:rsidR="00127756" w:rsidRPr="00EC06E7" w:rsidRDefault="00127756" w:rsidP="00E139B6">
            <w:pPr>
              <w:rPr>
                <w:rFonts w:cs="Courier New"/>
                <w:szCs w:val="22"/>
              </w:rPr>
            </w:pPr>
            <w:r w:rsidRPr="00127756">
              <w:rPr>
                <w:rFonts w:cs="Courier New"/>
                <w:szCs w:val="22"/>
              </w:rPr>
              <w:t>Financial Management Information System</w:t>
            </w:r>
          </w:p>
        </w:tc>
        <w:tc>
          <w:tcPr>
            <w:tcW w:w="2543"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58FB538C" w14:textId="77777777" w:rsidR="00127756" w:rsidRPr="00EC06E7" w:rsidRDefault="00127756" w:rsidP="00E139B6">
            <w:pPr>
              <w:jc w:val="center"/>
              <w:rPr>
                <w:rFonts w:cs="Courier New"/>
                <w:szCs w:val="22"/>
              </w:rPr>
            </w:pPr>
            <w:r>
              <w:rPr>
                <w:rFonts w:cs="Courier New"/>
                <w:szCs w:val="22"/>
              </w:rPr>
              <w:t>5 years</w:t>
            </w:r>
          </w:p>
        </w:tc>
      </w:tr>
      <w:tr w:rsidR="00127756" w:rsidRPr="00EC06E7" w14:paraId="0750D400" w14:textId="77777777" w:rsidTr="00127756">
        <w:trPr>
          <w:trHeight w:val="340"/>
        </w:trPr>
        <w:tc>
          <w:tcPr>
            <w:tcW w:w="7488" w:type="dxa"/>
            <w:tcBorders>
              <w:top w:val="single" w:sz="4" w:space="0" w:color="BFBFBF" w:themeColor="background1" w:themeShade="BF"/>
              <w:bottom w:val="single" w:sz="4" w:space="0" w:color="auto"/>
              <w:right w:val="single" w:sz="4" w:space="0" w:color="BFBFBF" w:themeColor="background1" w:themeShade="BF"/>
            </w:tcBorders>
            <w:vAlign w:val="center"/>
          </w:tcPr>
          <w:p w14:paraId="53BB45BB" w14:textId="77777777" w:rsidR="00127756" w:rsidRPr="00EC06E7" w:rsidRDefault="00127756" w:rsidP="00E139B6">
            <w:pPr>
              <w:rPr>
                <w:rFonts w:cs="Courier New"/>
                <w:szCs w:val="22"/>
              </w:rPr>
            </w:pPr>
            <w:r>
              <w:rPr>
                <w:rFonts w:cs="Courier New"/>
                <w:szCs w:val="22"/>
              </w:rPr>
              <w:t>Performance Management System</w:t>
            </w:r>
          </w:p>
        </w:tc>
        <w:tc>
          <w:tcPr>
            <w:tcW w:w="2543" w:type="dxa"/>
            <w:tcBorders>
              <w:top w:val="single" w:sz="4" w:space="0" w:color="BFBFBF" w:themeColor="background1" w:themeShade="BF"/>
              <w:left w:val="single" w:sz="4" w:space="0" w:color="BFBFBF" w:themeColor="background1" w:themeShade="BF"/>
              <w:bottom w:val="single" w:sz="4" w:space="0" w:color="auto"/>
            </w:tcBorders>
            <w:vAlign w:val="center"/>
          </w:tcPr>
          <w:p w14:paraId="526EFF9C" w14:textId="77777777" w:rsidR="00127756" w:rsidRPr="00EC06E7" w:rsidRDefault="00127756" w:rsidP="00E139B6">
            <w:pPr>
              <w:jc w:val="center"/>
              <w:rPr>
                <w:rFonts w:cs="Courier New"/>
                <w:szCs w:val="22"/>
              </w:rPr>
            </w:pPr>
            <w:r>
              <w:rPr>
                <w:rFonts w:cs="Courier New"/>
                <w:szCs w:val="22"/>
              </w:rPr>
              <w:t>5 years</w:t>
            </w:r>
          </w:p>
        </w:tc>
      </w:tr>
    </w:tbl>
    <w:p w14:paraId="42E1ACB0" w14:textId="77777777" w:rsidR="00155078" w:rsidRPr="00EC06E7" w:rsidRDefault="00155078" w:rsidP="00E139B6">
      <w:pPr>
        <w:rPr>
          <w:rFonts w:cs="Courier New"/>
          <w:szCs w:val="22"/>
        </w:rPr>
      </w:pPr>
    </w:p>
    <w:p w14:paraId="66AAA79D" w14:textId="125B4605" w:rsidR="005535FB" w:rsidRDefault="00EA60B7" w:rsidP="00E139B6">
      <w:pPr>
        <w:rPr>
          <w:rFonts w:cs="Courier New"/>
          <w:szCs w:val="22"/>
        </w:rPr>
      </w:pPr>
      <w:r w:rsidRPr="00EC06E7">
        <w:rPr>
          <w:rFonts w:cs="Courier New"/>
          <w:szCs w:val="22"/>
        </w:rPr>
        <w:t xml:space="preserve">Amortisation is on a </w:t>
      </w:r>
      <w:proofErr w:type="gramStart"/>
      <w:r w:rsidRPr="00EC06E7">
        <w:rPr>
          <w:rFonts w:cs="Courier New"/>
          <w:szCs w:val="22"/>
        </w:rPr>
        <w:t>straight line</w:t>
      </w:r>
      <w:proofErr w:type="gramEnd"/>
      <w:r w:rsidRPr="00EC06E7">
        <w:rPr>
          <w:rFonts w:cs="Courier New"/>
          <w:szCs w:val="22"/>
        </w:rPr>
        <w:t xml:space="preserve"> basis.</w:t>
      </w:r>
      <w:r w:rsidR="00B74D7B" w:rsidRPr="00EC06E7">
        <w:rPr>
          <w:rFonts w:cs="Courier New"/>
          <w:szCs w:val="22"/>
        </w:rPr>
        <w:t xml:space="preserve"> In </w:t>
      </w:r>
      <w:r w:rsidR="00772AC3">
        <w:rPr>
          <w:rFonts w:cs="Courier New"/>
          <w:szCs w:val="22"/>
        </w:rPr>
        <w:t>2020/21</w:t>
      </w:r>
      <w:r w:rsidR="00B74D7B" w:rsidRPr="00EC06E7">
        <w:rPr>
          <w:rFonts w:cs="Courier New"/>
          <w:szCs w:val="22"/>
        </w:rPr>
        <w:t xml:space="preserve"> amortisation </w:t>
      </w:r>
      <w:r w:rsidR="00127756">
        <w:rPr>
          <w:rFonts w:cs="Courier New"/>
          <w:szCs w:val="22"/>
        </w:rPr>
        <w:t xml:space="preserve">of </w:t>
      </w:r>
      <w:r w:rsidR="00B74D7B" w:rsidRPr="00EC06E7">
        <w:rPr>
          <w:rFonts w:cs="Courier New"/>
          <w:szCs w:val="22"/>
        </w:rPr>
        <w:t>£</w:t>
      </w:r>
      <w:r w:rsidR="00C9635D" w:rsidRPr="00EC06E7">
        <w:rPr>
          <w:rFonts w:cs="Courier New"/>
          <w:szCs w:val="22"/>
        </w:rPr>
        <w:t>0.</w:t>
      </w:r>
      <w:r w:rsidR="004E3FBD">
        <w:rPr>
          <w:rFonts w:cs="Courier New"/>
          <w:szCs w:val="22"/>
        </w:rPr>
        <w:t>1</w:t>
      </w:r>
      <w:r w:rsidR="00772AC3">
        <w:rPr>
          <w:rFonts w:cs="Courier New"/>
          <w:szCs w:val="22"/>
        </w:rPr>
        <w:t>02</w:t>
      </w:r>
      <w:r w:rsidR="008A63BA" w:rsidRPr="00EC06E7">
        <w:rPr>
          <w:rFonts w:cs="Courier New"/>
          <w:szCs w:val="22"/>
        </w:rPr>
        <w:t>m</w:t>
      </w:r>
      <w:r w:rsidR="00B74D7B" w:rsidRPr="00EC06E7">
        <w:rPr>
          <w:rFonts w:cs="Courier New"/>
          <w:szCs w:val="22"/>
        </w:rPr>
        <w:t xml:space="preserve"> was charged</w:t>
      </w:r>
      <w:r w:rsidR="00127756" w:rsidRPr="00127756">
        <w:rPr>
          <w:rFonts w:cs="Courier New"/>
          <w:szCs w:val="22"/>
        </w:rPr>
        <w:t xml:space="preserve"> to the following lines in the Comprehensive Income and Expenditure Statement</w:t>
      </w:r>
      <w:r w:rsidR="00B74D7B" w:rsidRPr="00EC06E7">
        <w:rPr>
          <w:rFonts w:cs="Courier New"/>
          <w:szCs w:val="22"/>
        </w:rPr>
        <w:t>.</w:t>
      </w:r>
    </w:p>
    <w:p w14:paraId="3BED1D68" w14:textId="67071A5E" w:rsidR="00127756" w:rsidRDefault="00127756" w:rsidP="00E139B6">
      <w:pPr>
        <w:rPr>
          <w:rFonts w:cs="Courier New"/>
          <w:szCs w:val="22"/>
        </w:rPr>
      </w:pPr>
    </w:p>
    <w:p w14:paraId="168B6FED" w14:textId="61621C2E" w:rsidR="00BC412F" w:rsidRDefault="00ED767D" w:rsidP="00E139B6">
      <w:pPr>
        <w:rPr>
          <w:rFonts w:cs="Courier New"/>
          <w:szCs w:val="22"/>
        </w:rPr>
      </w:pPr>
      <w:r>
        <w:rPr>
          <w:rFonts w:cs="Courier New"/>
          <w:szCs w:val="22"/>
        </w:rPr>
        <w:fldChar w:fldCharType="begin"/>
      </w:r>
      <w:r>
        <w:rPr>
          <w:rFonts w:cs="Courier New"/>
          <w:szCs w:val="22"/>
        </w:rPr>
        <w:instrText xml:space="preserve"> LINK Excel.Sheet.12 "\\\\alpha\\accounts$\\CLOSURE\\Closure 20-21\\04 SoA Working Papers\\17 Intangible Assets\\Note 17 Intangible Assets 2020-21.xlsx!Embedded Table!R2C1:R8C3" "" \a \p </w:instrText>
      </w:r>
      <w:r>
        <w:rPr>
          <w:rFonts w:cs="Courier New"/>
          <w:szCs w:val="22"/>
        </w:rPr>
        <w:fldChar w:fldCharType="separate"/>
      </w:r>
      <w:r w:rsidR="001C71EF">
        <w:rPr>
          <w:rFonts w:cs="Courier New"/>
          <w:szCs w:val="22"/>
        </w:rPr>
        <w:object w:dxaOrig="10995" w:dyaOrig="2028" w14:anchorId="0F8CB209">
          <v:shape id="_x0000_i1044" type="#_x0000_t75" style="width:489.75pt;height:93.75pt" o:ole="">
            <v:imagedata r:id="rId71" o:title=""/>
            <o:lock v:ext="edit" aspectratio="f"/>
          </v:shape>
        </w:object>
      </w:r>
      <w:r>
        <w:rPr>
          <w:rFonts w:cs="Courier New"/>
          <w:szCs w:val="22"/>
        </w:rPr>
        <w:fldChar w:fldCharType="end"/>
      </w:r>
    </w:p>
    <w:p w14:paraId="1C88352F" w14:textId="77777777" w:rsidR="00BC412F" w:rsidRDefault="00BC412F" w:rsidP="00E139B6">
      <w:pPr>
        <w:rPr>
          <w:rFonts w:cs="Courier New"/>
          <w:szCs w:val="22"/>
        </w:rPr>
      </w:pPr>
    </w:p>
    <w:p w14:paraId="6D340A29" w14:textId="77777777" w:rsidR="008A79E1" w:rsidRDefault="008A79E1" w:rsidP="00E139B6">
      <w:pPr>
        <w:rPr>
          <w:rFonts w:cs="Courier New"/>
          <w:szCs w:val="22"/>
        </w:rPr>
      </w:pPr>
    </w:p>
    <w:p w14:paraId="0076C66D" w14:textId="77777777" w:rsidR="005C0D37" w:rsidRDefault="005C0D37" w:rsidP="00E139B6">
      <w:pPr>
        <w:rPr>
          <w:rFonts w:cs="Courier New"/>
          <w:szCs w:val="22"/>
        </w:rPr>
      </w:pPr>
      <w:r>
        <w:rPr>
          <w:rFonts w:cs="Courier New"/>
          <w:szCs w:val="22"/>
        </w:rPr>
        <w:br w:type="page"/>
      </w:r>
    </w:p>
    <w:p w14:paraId="67A6FD11" w14:textId="77777777" w:rsidR="00CB27FE" w:rsidRPr="00EC06E7" w:rsidRDefault="00B74D7B" w:rsidP="00E139B6">
      <w:pPr>
        <w:rPr>
          <w:rFonts w:cs="Courier New"/>
          <w:szCs w:val="22"/>
        </w:rPr>
      </w:pPr>
      <w:r w:rsidRPr="00EC06E7">
        <w:rPr>
          <w:rFonts w:cs="Courier New"/>
          <w:szCs w:val="22"/>
        </w:rPr>
        <w:t>The movement</w:t>
      </w:r>
      <w:r w:rsidR="00CB27FE" w:rsidRPr="00EC06E7">
        <w:rPr>
          <w:rFonts w:cs="Courier New"/>
          <w:szCs w:val="22"/>
        </w:rPr>
        <w:t>s</w:t>
      </w:r>
      <w:r w:rsidRPr="00EC06E7">
        <w:rPr>
          <w:rFonts w:cs="Courier New"/>
          <w:szCs w:val="22"/>
        </w:rPr>
        <w:t xml:space="preserve"> on Intangible Asset balances during the year are as </w:t>
      </w:r>
      <w:proofErr w:type="gramStart"/>
      <w:r w:rsidRPr="00EC06E7">
        <w:rPr>
          <w:rFonts w:cs="Courier New"/>
          <w:szCs w:val="22"/>
        </w:rPr>
        <w:t>follows</w:t>
      </w:r>
      <w:r w:rsidR="00B71E0E" w:rsidRPr="00EC06E7">
        <w:rPr>
          <w:rFonts w:cs="Courier New"/>
          <w:szCs w:val="22"/>
        </w:rPr>
        <w:t>:</w:t>
      </w:r>
      <w:r w:rsidR="006F2748" w:rsidRPr="00EC06E7">
        <w:rPr>
          <w:rFonts w:cs="Courier New"/>
          <w:szCs w:val="22"/>
        </w:rPr>
        <w:t>-</w:t>
      </w:r>
      <w:proofErr w:type="gramEnd"/>
    </w:p>
    <w:p w14:paraId="0C475B3C" w14:textId="12797B09" w:rsidR="00DC3AF2" w:rsidRDefault="00DC3AF2" w:rsidP="00E139B6">
      <w:pPr>
        <w:rPr>
          <w:rFonts w:cs="Courier New"/>
          <w:szCs w:val="22"/>
        </w:rPr>
      </w:pPr>
    </w:p>
    <w:p w14:paraId="5971CB08" w14:textId="5A6CA691" w:rsidR="00BC412F" w:rsidRDefault="00ED767D" w:rsidP="00E139B6">
      <w:pPr>
        <w:rPr>
          <w:rFonts w:cs="Courier New"/>
          <w:szCs w:val="22"/>
        </w:rPr>
      </w:pPr>
      <w:r>
        <w:rPr>
          <w:rFonts w:cs="Courier New"/>
          <w:szCs w:val="22"/>
        </w:rPr>
        <w:fldChar w:fldCharType="begin"/>
      </w:r>
      <w:r>
        <w:rPr>
          <w:rFonts w:cs="Courier New"/>
          <w:szCs w:val="22"/>
        </w:rPr>
        <w:instrText xml:space="preserve"> LINK Excel.Sheet.12 "\\\\alpha\\accounts$\\CLOSURE\\Closure 20-21\\04 SoA Working Papers\\17 Intangible Assets\\Note 17 Intangible Assets 2020-21.xlsx!Embedded Table!R12C1:R23C3" "" \a \p </w:instrText>
      </w:r>
      <w:r>
        <w:rPr>
          <w:rFonts w:cs="Courier New"/>
          <w:szCs w:val="22"/>
        </w:rPr>
        <w:fldChar w:fldCharType="separate"/>
      </w:r>
      <w:r w:rsidR="001C71EF">
        <w:rPr>
          <w:rFonts w:cs="Courier New"/>
          <w:szCs w:val="22"/>
        </w:rPr>
        <w:object w:dxaOrig="10995" w:dyaOrig="3765" w14:anchorId="026357CC">
          <v:shape id="_x0000_i1045" type="#_x0000_t75" style="width:489.75pt;height:180pt" o:ole="">
            <v:imagedata r:id="rId72" o:title=""/>
            <o:lock v:ext="edit" aspectratio="f"/>
          </v:shape>
        </w:object>
      </w:r>
      <w:r>
        <w:rPr>
          <w:rFonts w:cs="Courier New"/>
          <w:szCs w:val="22"/>
        </w:rPr>
        <w:fldChar w:fldCharType="end"/>
      </w:r>
    </w:p>
    <w:p w14:paraId="365A5A89" w14:textId="77777777" w:rsidR="00BC412F" w:rsidRDefault="00BC412F" w:rsidP="00E139B6">
      <w:pPr>
        <w:rPr>
          <w:rFonts w:cs="Courier New"/>
          <w:szCs w:val="22"/>
        </w:rPr>
      </w:pPr>
    </w:p>
    <w:p w14:paraId="1B454101" w14:textId="74A1774F" w:rsidR="00993809" w:rsidRPr="00EC06E7" w:rsidRDefault="00DF1418" w:rsidP="00E139B6">
      <w:pPr>
        <w:rPr>
          <w:rFonts w:cs="Courier New"/>
          <w:szCs w:val="22"/>
        </w:rPr>
      </w:pPr>
      <w:r w:rsidRPr="00F036CE">
        <w:rPr>
          <w:rFonts w:cs="Courier New"/>
          <w:szCs w:val="22"/>
        </w:rPr>
        <w:t xml:space="preserve">At </w:t>
      </w:r>
      <w:r w:rsidR="00255FA7" w:rsidRPr="00F036CE">
        <w:rPr>
          <w:rFonts w:cs="Courier New"/>
          <w:szCs w:val="22"/>
        </w:rPr>
        <w:t xml:space="preserve">31 </w:t>
      </w:r>
      <w:r w:rsidR="003D255A">
        <w:rPr>
          <w:rFonts w:cs="Courier New"/>
          <w:szCs w:val="22"/>
        </w:rPr>
        <w:t>March 20</w:t>
      </w:r>
      <w:r w:rsidR="00441041">
        <w:rPr>
          <w:rFonts w:cs="Courier New"/>
          <w:szCs w:val="22"/>
        </w:rPr>
        <w:t>2</w:t>
      </w:r>
      <w:r w:rsidR="00772AC3">
        <w:rPr>
          <w:rFonts w:cs="Courier New"/>
          <w:szCs w:val="22"/>
        </w:rPr>
        <w:t>1</w:t>
      </w:r>
      <w:r w:rsidR="007A75C3" w:rsidRPr="00F036CE">
        <w:rPr>
          <w:rFonts w:cs="Courier New"/>
          <w:szCs w:val="22"/>
        </w:rPr>
        <w:t>, t</w:t>
      </w:r>
      <w:r w:rsidR="00993809" w:rsidRPr="00F036CE">
        <w:rPr>
          <w:rFonts w:cs="Courier New"/>
          <w:szCs w:val="22"/>
        </w:rPr>
        <w:t xml:space="preserve">here </w:t>
      </w:r>
      <w:r w:rsidR="007A75C3" w:rsidRPr="00F036CE">
        <w:rPr>
          <w:rFonts w:cs="Courier New"/>
          <w:szCs w:val="22"/>
        </w:rPr>
        <w:t>were</w:t>
      </w:r>
      <w:r w:rsidR="00993809" w:rsidRPr="00F036CE">
        <w:rPr>
          <w:rFonts w:cs="Courier New"/>
          <w:szCs w:val="22"/>
        </w:rPr>
        <w:t xml:space="preserve"> no significant contractual commitments, and no individual intangible assets the amortisation of which is materially significant to the </w:t>
      </w:r>
      <w:r w:rsidR="00BC0AA6">
        <w:rPr>
          <w:rFonts w:cs="Courier New"/>
          <w:szCs w:val="22"/>
        </w:rPr>
        <w:t>c</w:t>
      </w:r>
      <w:r w:rsidR="00993809" w:rsidRPr="00F036CE">
        <w:rPr>
          <w:rFonts w:cs="Courier New"/>
          <w:szCs w:val="22"/>
        </w:rPr>
        <w:t>ouncil.</w:t>
      </w:r>
    </w:p>
    <w:p w14:paraId="4ADB7D22" w14:textId="77777777" w:rsidR="00CB6F84" w:rsidRDefault="00CB6F84" w:rsidP="00E139B6">
      <w:pPr>
        <w:rPr>
          <w:rFonts w:cs="Courier New"/>
          <w:szCs w:val="22"/>
        </w:rPr>
      </w:pPr>
    </w:p>
    <w:p w14:paraId="615C5CEA" w14:textId="77777777" w:rsidR="00664D02" w:rsidRDefault="00664D02" w:rsidP="00E139B6">
      <w:pPr>
        <w:rPr>
          <w:rFonts w:cs="Courier New"/>
          <w:szCs w:val="22"/>
        </w:rPr>
      </w:pPr>
    </w:p>
    <w:p w14:paraId="2F655580" w14:textId="77777777" w:rsidR="00C8113E" w:rsidRPr="00EC06E7" w:rsidRDefault="006E1448" w:rsidP="004E5A07">
      <w:pPr>
        <w:pStyle w:val="Heading2"/>
      </w:pPr>
      <w:bookmarkStart w:id="98" w:name="_Toc483390983"/>
      <w:bookmarkStart w:id="99" w:name="_Ref483392678"/>
      <w:bookmarkStart w:id="100" w:name="_Ref483392692"/>
      <w:bookmarkStart w:id="101" w:name="_Ref483392746"/>
      <w:bookmarkStart w:id="102" w:name="_Ref483392750"/>
      <w:bookmarkStart w:id="103" w:name="_Ref483393265"/>
      <w:bookmarkStart w:id="104" w:name="_Ref483393345"/>
      <w:bookmarkStart w:id="105" w:name="_Ref483394680"/>
      <w:bookmarkStart w:id="106" w:name="_Ref483408421"/>
      <w:bookmarkStart w:id="107" w:name="_Ref483907242"/>
      <w:bookmarkStart w:id="108" w:name="_Toc77603793"/>
      <w:r w:rsidRPr="001422EA">
        <w:t>Financial instruments</w:t>
      </w:r>
      <w:bookmarkEnd w:id="98"/>
      <w:bookmarkEnd w:id="99"/>
      <w:bookmarkEnd w:id="100"/>
      <w:bookmarkEnd w:id="101"/>
      <w:bookmarkEnd w:id="102"/>
      <w:bookmarkEnd w:id="103"/>
      <w:bookmarkEnd w:id="104"/>
      <w:bookmarkEnd w:id="105"/>
      <w:bookmarkEnd w:id="106"/>
      <w:bookmarkEnd w:id="107"/>
      <w:bookmarkEnd w:id="108"/>
      <w:r w:rsidR="007C0B6F" w:rsidRPr="00EC06E7">
        <w:t xml:space="preserve"> </w:t>
      </w:r>
    </w:p>
    <w:p w14:paraId="5D8DD6D5" w14:textId="77777777" w:rsidR="0094158C" w:rsidRPr="00EC06E7" w:rsidRDefault="0094158C" w:rsidP="00E139B6">
      <w:pPr>
        <w:rPr>
          <w:rFonts w:cs="Courier New"/>
          <w:b/>
          <w:szCs w:val="22"/>
        </w:rPr>
      </w:pPr>
    </w:p>
    <w:p w14:paraId="25778039" w14:textId="77777777" w:rsidR="008B1599" w:rsidRPr="00EC06E7" w:rsidRDefault="00DD70B3" w:rsidP="00E139B6">
      <w:pPr>
        <w:rPr>
          <w:rFonts w:cs="Courier New"/>
          <w:b/>
          <w:szCs w:val="22"/>
        </w:rPr>
      </w:pPr>
      <w:r w:rsidRPr="001422EA">
        <w:rPr>
          <w:rFonts w:cs="Courier New"/>
          <w:b/>
          <w:szCs w:val="22"/>
        </w:rPr>
        <w:t>1</w:t>
      </w:r>
      <w:r w:rsidR="008D6DF0" w:rsidRPr="001422EA">
        <w:rPr>
          <w:rFonts w:cs="Courier New"/>
          <w:b/>
          <w:szCs w:val="22"/>
        </w:rPr>
        <w:t>8</w:t>
      </w:r>
      <w:r w:rsidR="008B1599" w:rsidRPr="001422EA">
        <w:rPr>
          <w:rFonts w:cs="Courier New"/>
          <w:b/>
          <w:szCs w:val="22"/>
        </w:rPr>
        <w:t>a</w:t>
      </w:r>
      <w:r w:rsidR="000E2E12" w:rsidRPr="001422EA">
        <w:rPr>
          <w:rFonts w:cs="Courier New"/>
          <w:b/>
          <w:szCs w:val="22"/>
        </w:rPr>
        <w:t xml:space="preserve"> </w:t>
      </w:r>
      <w:r w:rsidR="0094158C" w:rsidRPr="001422EA">
        <w:rPr>
          <w:rFonts w:cs="Courier New"/>
          <w:b/>
          <w:szCs w:val="22"/>
        </w:rPr>
        <w:t>Categories of Financial Instrument</w:t>
      </w:r>
      <w:r w:rsidR="007C0B6F" w:rsidRPr="00EC06E7">
        <w:rPr>
          <w:rFonts w:cs="Courier New"/>
          <w:b/>
          <w:szCs w:val="22"/>
        </w:rPr>
        <w:t xml:space="preserve"> </w:t>
      </w:r>
    </w:p>
    <w:p w14:paraId="747ED230" w14:textId="77777777" w:rsidR="00CB27FE" w:rsidRPr="00EC06E7" w:rsidRDefault="00CB27FE" w:rsidP="00E139B6">
      <w:pPr>
        <w:rPr>
          <w:rFonts w:cs="Courier New"/>
          <w:b/>
          <w:szCs w:val="22"/>
        </w:rPr>
      </w:pPr>
    </w:p>
    <w:p w14:paraId="40526037" w14:textId="77777777" w:rsidR="006C7AD4" w:rsidRPr="00424DCE" w:rsidRDefault="00C53450" w:rsidP="00E139B6">
      <w:pPr>
        <w:rPr>
          <w:rFonts w:cs="Courier New"/>
          <w:szCs w:val="22"/>
        </w:rPr>
      </w:pPr>
      <w:r w:rsidRPr="00EC06E7">
        <w:rPr>
          <w:rFonts w:cs="Courier New"/>
          <w:szCs w:val="22"/>
        </w:rPr>
        <w:t>The following categories of Financial Instruments are carried in the Balance Sheet</w:t>
      </w:r>
      <w:r w:rsidR="00B71E0E" w:rsidRPr="00EC06E7">
        <w:rPr>
          <w:rFonts w:cs="Courier New"/>
          <w:szCs w:val="22"/>
        </w:rPr>
        <w:t>:</w:t>
      </w:r>
    </w:p>
    <w:p w14:paraId="334203A9" w14:textId="107ABF92" w:rsidR="0094158C" w:rsidRDefault="0094158C" w:rsidP="00E139B6"/>
    <w:p w14:paraId="50140D8B" w14:textId="784F9383" w:rsidR="00E052FE" w:rsidRDefault="009F5A81" w:rsidP="00E139B6">
      <w:r>
        <w:fldChar w:fldCharType="begin"/>
      </w:r>
      <w:r>
        <w:instrText xml:space="preserve"> LINK Excel.Sheet.12 "\\\\alpha\\accounts$\\CLOSURE\\Closure 20-21\\04 SoA Working Papers\\18 Financial Instruments\\Note 18 Financial Instruments 2020-21.xlsx!18a!R2C1:R21C5" "" \a \p </w:instrText>
      </w:r>
      <w:r>
        <w:fldChar w:fldCharType="separate"/>
      </w:r>
      <w:r w:rsidR="001C71EF">
        <w:object w:dxaOrig="11034" w:dyaOrig="6938" w14:anchorId="0A478CF2">
          <v:shape id="_x0000_i1046" type="#_x0000_t75" style="width:474.8pt;height:345.75pt" o:ole="">
            <v:imagedata r:id="rId73" o:title=""/>
            <o:lock v:ext="edit" aspectratio="f"/>
          </v:shape>
        </w:object>
      </w:r>
      <w:r>
        <w:fldChar w:fldCharType="end"/>
      </w:r>
    </w:p>
    <w:p w14:paraId="06933088" w14:textId="76D177BD" w:rsidR="00DE0644" w:rsidRDefault="00DE0644" w:rsidP="00E139B6"/>
    <w:p w14:paraId="57B9857B" w14:textId="77777777" w:rsidR="00DE0644" w:rsidRDefault="00DE0644" w:rsidP="00E139B6"/>
    <w:p w14:paraId="0342A2BE" w14:textId="77777777" w:rsidR="00C53450" w:rsidRDefault="008B1599" w:rsidP="00E139B6">
      <w:pPr>
        <w:rPr>
          <w:rFonts w:cs="Courier New"/>
          <w:szCs w:val="22"/>
        </w:rPr>
      </w:pPr>
      <w:r w:rsidRPr="00EC06E7">
        <w:rPr>
          <w:rFonts w:cs="Courier New"/>
          <w:szCs w:val="22"/>
        </w:rPr>
        <w:t>There has been no reclassification of assets and no pledges of collateral have been made</w:t>
      </w:r>
      <w:r w:rsidR="006754C9" w:rsidRPr="00EC06E7">
        <w:rPr>
          <w:rFonts w:cs="Courier New"/>
          <w:szCs w:val="22"/>
        </w:rPr>
        <w:t xml:space="preserve"> in the periods reported in these statements</w:t>
      </w:r>
      <w:r w:rsidRPr="00EC06E7">
        <w:rPr>
          <w:rFonts w:cs="Courier New"/>
          <w:szCs w:val="22"/>
        </w:rPr>
        <w:t>.</w:t>
      </w:r>
    </w:p>
    <w:p w14:paraId="2E6A0B72" w14:textId="77777777" w:rsidR="008228B6" w:rsidRDefault="008228B6" w:rsidP="00E139B6">
      <w:pPr>
        <w:rPr>
          <w:rFonts w:cs="Courier New"/>
          <w:szCs w:val="22"/>
        </w:rPr>
      </w:pPr>
    </w:p>
    <w:p w14:paraId="3545E5A4" w14:textId="7BA33089" w:rsidR="008228B6" w:rsidRPr="00EC06E7" w:rsidRDefault="008228B6" w:rsidP="00E139B6">
      <w:pPr>
        <w:rPr>
          <w:rFonts w:cs="Courier New"/>
          <w:szCs w:val="22"/>
        </w:rPr>
      </w:pPr>
      <w:r>
        <w:rPr>
          <w:rFonts w:cs="Courier New"/>
          <w:szCs w:val="22"/>
        </w:rPr>
        <w:t xml:space="preserve">In March 2020, with the onset of the </w:t>
      </w:r>
      <w:proofErr w:type="spellStart"/>
      <w:r>
        <w:rPr>
          <w:rFonts w:cs="Courier New"/>
          <w:szCs w:val="22"/>
        </w:rPr>
        <w:t>Covid</w:t>
      </w:r>
      <w:proofErr w:type="spellEnd"/>
      <w:r>
        <w:rPr>
          <w:rFonts w:cs="Courier New"/>
          <w:szCs w:val="22"/>
        </w:rPr>
        <w:t xml:space="preserve"> 19 pandemic and the implementation of measures to support local businesses, and </w:t>
      </w:r>
      <w:r w:rsidR="00745C5F">
        <w:rPr>
          <w:rFonts w:cs="Courier New"/>
          <w:szCs w:val="22"/>
        </w:rPr>
        <w:t>the need for this to be done</w:t>
      </w:r>
      <w:r>
        <w:rPr>
          <w:rFonts w:cs="Courier New"/>
          <w:szCs w:val="22"/>
        </w:rPr>
        <w:t xml:space="preserve"> promptly, the possibility arose that the </w:t>
      </w:r>
      <w:r w:rsidR="00BC0AA6">
        <w:rPr>
          <w:rFonts w:cs="Courier New"/>
          <w:szCs w:val="22"/>
        </w:rPr>
        <w:t>c</w:t>
      </w:r>
      <w:r>
        <w:rPr>
          <w:rFonts w:cs="Courier New"/>
          <w:szCs w:val="22"/>
        </w:rPr>
        <w:t>ouncil would make substantial payments of grants shortly before receipt of the associated financial support from Central Government</w:t>
      </w:r>
      <w:r w:rsidR="00745C5F">
        <w:rPr>
          <w:rFonts w:cs="Courier New"/>
          <w:szCs w:val="22"/>
        </w:rPr>
        <w:t xml:space="preserve">. The </w:t>
      </w:r>
      <w:r w:rsidR="00BC0AA6">
        <w:rPr>
          <w:rFonts w:cs="Courier New"/>
          <w:szCs w:val="22"/>
        </w:rPr>
        <w:t>c</w:t>
      </w:r>
      <w:r w:rsidR="00745C5F">
        <w:rPr>
          <w:rFonts w:cs="Courier New"/>
          <w:szCs w:val="22"/>
        </w:rPr>
        <w:t xml:space="preserve">ouncil’s investments, which had been made in accordance with the approved Investment Policy, were mostly committed for longer periods and so the funds were not immediately available without incurring financial penalties. Given that the costs of </w:t>
      </w:r>
      <w:proofErr w:type="gramStart"/>
      <w:r w:rsidR="00745C5F">
        <w:rPr>
          <w:rFonts w:cs="Courier New"/>
          <w:szCs w:val="22"/>
        </w:rPr>
        <w:t>short term</w:t>
      </w:r>
      <w:proofErr w:type="gramEnd"/>
      <w:r w:rsidR="00745C5F">
        <w:rPr>
          <w:rFonts w:cs="Courier New"/>
          <w:szCs w:val="22"/>
        </w:rPr>
        <w:t xml:space="preserve"> borrowing were less than those potential penalties, short term loans of £10m were taken out to support immediate cash flow requirements.</w:t>
      </w:r>
      <w:r w:rsidR="00A20D04">
        <w:rPr>
          <w:rFonts w:cs="Courier New"/>
          <w:szCs w:val="22"/>
        </w:rPr>
        <w:t xml:space="preserve"> This borrowing was repaid in April 2021 and no further borrowing was entered into in 2020/21.</w:t>
      </w:r>
    </w:p>
    <w:p w14:paraId="55878B29" w14:textId="77777777" w:rsidR="008B1599" w:rsidRDefault="008B1599" w:rsidP="00E139B6">
      <w:pPr>
        <w:rPr>
          <w:rFonts w:cs="Courier New"/>
          <w:szCs w:val="22"/>
        </w:rPr>
      </w:pPr>
    </w:p>
    <w:p w14:paraId="4BF281C7" w14:textId="77777777" w:rsidR="00F62ABC" w:rsidRDefault="00F62ABC" w:rsidP="00E139B6">
      <w:pPr>
        <w:rPr>
          <w:rFonts w:cs="Courier New"/>
          <w:szCs w:val="22"/>
        </w:rPr>
      </w:pPr>
      <w:proofErr w:type="gramStart"/>
      <w:r>
        <w:rPr>
          <w:rFonts w:cs="Courier New"/>
          <w:szCs w:val="22"/>
        </w:rPr>
        <w:t>All of</w:t>
      </w:r>
      <w:proofErr w:type="gramEnd"/>
      <w:r>
        <w:rPr>
          <w:rFonts w:cs="Courier New"/>
          <w:szCs w:val="22"/>
        </w:rPr>
        <w:t xml:space="preserve"> the </w:t>
      </w:r>
      <w:r w:rsidR="003045F5">
        <w:rPr>
          <w:rFonts w:cs="Courier New"/>
          <w:szCs w:val="22"/>
        </w:rPr>
        <w:t xml:space="preserve">financial instruments included in the table above are carried at amortised cost and there are no implications in respect of the impact on fair values of the </w:t>
      </w:r>
      <w:proofErr w:type="spellStart"/>
      <w:r w:rsidR="003045F5">
        <w:rPr>
          <w:rFonts w:cs="Courier New"/>
          <w:szCs w:val="22"/>
        </w:rPr>
        <w:t>Covid</w:t>
      </w:r>
      <w:proofErr w:type="spellEnd"/>
      <w:r w:rsidR="003045F5">
        <w:rPr>
          <w:rFonts w:cs="Courier New"/>
          <w:szCs w:val="22"/>
        </w:rPr>
        <w:t xml:space="preserve"> 19 pandemic.</w:t>
      </w:r>
    </w:p>
    <w:p w14:paraId="31699FFD" w14:textId="77777777" w:rsidR="00A77EDF" w:rsidRPr="00EC06E7" w:rsidRDefault="00A77EDF">
      <w:pPr>
        <w:rPr>
          <w:rFonts w:cs="Courier New"/>
          <w:b/>
          <w:szCs w:val="22"/>
        </w:rPr>
      </w:pPr>
    </w:p>
    <w:p w14:paraId="3C2B6794" w14:textId="77777777" w:rsidR="008B1599" w:rsidRPr="00EC06E7" w:rsidRDefault="00DD70B3" w:rsidP="00E139B6">
      <w:pPr>
        <w:rPr>
          <w:rFonts w:cs="Courier New"/>
          <w:b/>
          <w:szCs w:val="22"/>
        </w:rPr>
      </w:pPr>
      <w:r w:rsidRPr="001422EA">
        <w:rPr>
          <w:rFonts w:cs="Courier New"/>
          <w:b/>
          <w:szCs w:val="22"/>
        </w:rPr>
        <w:t>1</w:t>
      </w:r>
      <w:r w:rsidR="008D6DF0" w:rsidRPr="001422EA">
        <w:rPr>
          <w:rFonts w:cs="Courier New"/>
          <w:b/>
          <w:szCs w:val="22"/>
        </w:rPr>
        <w:t>8</w:t>
      </w:r>
      <w:r w:rsidR="0094158C" w:rsidRPr="001422EA">
        <w:rPr>
          <w:rFonts w:cs="Courier New"/>
          <w:b/>
          <w:szCs w:val="22"/>
        </w:rPr>
        <w:t>b</w:t>
      </w:r>
      <w:r w:rsidR="00A51187" w:rsidRPr="001422EA">
        <w:rPr>
          <w:rFonts w:cs="Courier New"/>
          <w:b/>
          <w:szCs w:val="22"/>
        </w:rPr>
        <w:t xml:space="preserve"> </w:t>
      </w:r>
      <w:r w:rsidR="0094158C" w:rsidRPr="001422EA">
        <w:rPr>
          <w:rFonts w:cs="Courier New"/>
          <w:b/>
          <w:szCs w:val="22"/>
        </w:rPr>
        <w:t>Income, Expense, Gains and Losses</w:t>
      </w:r>
      <w:r w:rsidR="00E162C5" w:rsidRPr="00EC06E7">
        <w:rPr>
          <w:rFonts w:cs="Courier New"/>
          <w:b/>
          <w:szCs w:val="22"/>
        </w:rPr>
        <w:t xml:space="preserve"> </w:t>
      </w:r>
    </w:p>
    <w:p w14:paraId="68317B38" w14:textId="77777777" w:rsidR="00BB7A7C" w:rsidRPr="00EC06E7" w:rsidRDefault="00BB7A7C" w:rsidP="00E139B6">
      <w:pPr>
        <w:rPr>
          <w:rFonts w:cs="Courier New"/>
          <w:szCs w:val="22"/>
        </w:rPr>
      </w:pPr>
    </w:p>
    <w:p w14:paraId="4D51071C" w14:textId="24DFEAD8" w:rsidR="008B1599" w:rsidRPr="00EC06E7" w:rsidRDefault="0094158C" w:rsidP="00E139B6">
      <w:pPr>
        <w:rPr>
          <w:rFonts w:cs="Courier New"/>
          <w:szCs w:val="22"/>
        </w:rPr>
      </w:pPr>
      <w:r w:rsidRPr="00EC06E7">
        <w:rPr>
          <w:rFonts w:cs="Courier New"/>
          <w:szCs w:val="22"/>
        </w:rPr>
        <w:t xml:space="preserve">The amounts charged in the </w:t>
      </w:r>
      <w:r w:rsidR="00600635" w:rsidRPr="00EC06E7">
        <w:rPr>
          <w:rFonts w:cs="Courier New"/>
          <w:szCs w:val="22"/>
        </w:rPr>
        <w:t xml:space="preserve">Comprehensive Income and Expenditure Statement </w:t>
      </w:r>
      <w:r w:rsidR="00C30216">
        <w:rPr>
          <w:rFonts w:cs="Courier New"/>
          <w:szCs w:val="22"/>
        </w:rPr>
        <w:t xml:space="preserve">to the Financing and Investment Income and </w:t>
      </w:r>
      <w:r w:rsidR="006B188E">
        <w:rPr>
          <w:rFonts w:cs="Courier New"/>
          <w:szCs w:val="22"/>
        </w:rPr>
        <w:t>Expenditure line (and shown in N</w:t>
      </w:r>
      <w:r w:rsidR="00C30216">
        <w:rPr>
          <w:rFonts w:cs="Courier New"/>
          <w:szCs w:val="22"/>
        </w:rPr>
        <w:t xml:space="preserve">ote </w:t>
      </w:r>
      <w:r w:rsidR="00C30216">
        <w:rPr>
          <w:rFonts w:cs="Courier New"/>
          <w:szCs w:val="22"/>
        </w:rPr>
        <w:fldChar w:fldCharType="begin"/>
      </w:r>
      <w:r w:rsidR="00C30216">
        <w:rPr>
          <w:rFonts w:cs="Courier New"/>
          <w:szCs w:val="22"/>
        </w:rPr>
        <w:instrText xml:space="preserve"> REF _Ref514929902 \r \h </w:instrText>
      </w:r>
      <w:r w:rsidR="00C30216">
        <w:rPr>
          <w:rFonts w:cs="Courier New"/>
          <w:szCs w:val="22"/>
        </w:rPr>
      </w:r>
      <w:r w:rsidR="00C30216">
        <w:rPr>
          <w:rFonts w:cs="Courier New"/>
          <w:szCs w:val="22"/>
        </w:rPr>
        <w:fldChar w:fldCharType="separate"/>
      </w:r>
      <w:r w:rsidR="000F49D2">
        <w:rPr>
          <w:rFonts w:cs="Courier New"/>
          <w:szCs w:val="22"/>
        </w:rPr>
        <w:t>13</w:t>
      </w:r>
      <w:r w:rsidR="00C30216">
        <w:rPr>
          <w:rFonts w:cs="Courier New"/>
          <w:szCs w:val="22"/>
        </w:rPr>
        <w:fldChar w:fldCharType="end"/>
      </w:r>
      <w:r w:rsidR="00C30216">
        <w:rPr>
          <w:rFonts w:cs="Courier New"/>
          <w:szCs w:val="22"/>
        </w:rPr>
        <w:t xml:space="preserve">) </w:t>
      </w:r>
      <w:r w:rsidRPr="00EC06E7">
        <w:rPr>
          <w:rFonts w:cs="Courier New"/>
          <w:szCs w:val="22"/>
        </w:rPr>
        <w:t xml:space="preserve">are as </w:t>
      </w:r>
      <w:proofErr w:type="gramStart"/>
      <w:r w:rsidRPr="00EC06E7">
        <w:rPr>
          <w:rFonts w:cs="Courier New"/>
          <w:szCs w:val="22"/>
        </w:rPr>
        <w:t>follows</w:t>
      </w:r>
      <w:r w:rsidR="00B71E0E" w:rsidRPr="00EC06E7">
        <w:rPr>
          <w:rFonts w:cs="Courier New"/>
          <w:szCs w:val="22"/>
        </w:rPr>
        <w:t>:</w:t>
      </w:r>
      <w:r w:rsidR="008201AA" w:rsidRPr="00EC06E7">
        <w:rPr>
          <w:rFonts w:cs="Courier New"/>
          <w:szCs w:val="22"/>
        </w:rPr>
        <w:t>-</w:t>
      </w:r>
      <w:proofErr w:type="gramEnd"/>
    </w:p>
    <w:p w14:paraId="388A8900" w14:textId="3C99027F" w:rsidR="0094158C" w:rsidRDefault="0094158C" w:rsidP="00E139B6">
      <w:pPr>
        <w:rPr>
          <w:rFonts w:cs="Courier New"/>
          <w:szCs w:val="22"/>
        </w:rPr>
      </w:pPr>
    </w:p>
    <w:p w14:paraId="550189EB" w14:textId="2796F501" w:rsidR="00FE2C43" w:rsidRDefault="00A20D04" w:rsidP="00E139B6">
      <w:pPr>
        <w:rPr>
          <w:rFonts w:cs="Courier New"/>
          <w:szCs w:val="22"/>
        </w:rPr>
      </w:pPr>
      <w:r>
        <w:rPr>
          <w:rFonts w:cs="Courier New"/>
          <w:szCs w:val="22"/>
        </w:rPr>
        <w:fldChar w:fldCharType="begin"/>
      </w:r>
      <w:r>
        <w:rPr>
          <w:rFonts w:cs="Courier New"/>
          <w:szCs w:val="22"/>
        </w:rPr>
        <w:instrText xml:space="preserve"> LINK Excel.Sheet.12 "\\\\alpha\\accounts$\\CLOSURE\\Closure 20-21\\04 SoA Working Papers\\18 Financial Instruments\\Note 18 Financial Instruments 2020-21.xlsx!18b!R2C1:R8C7" "" \a \p </w:instrText>
      </w:r>
      <w:r>
        <w:rPr>
          <w:rFonts w:cs="Courier New"/>
          <w:szCs w:val="22"/>
        </w:rPr>
        <w:fldChar w:fldCharType="separate"/>
      </w:r>
      <w:r w:rsidR="001C71EF">
        <w:rPr>
          <w:rFonts w:cs="Courier New"/>
          <w:szCs w:val="22"/>
        </w:rPr>
        <w:object w:dxaOrig="11197" w:dyaOrig="4333" w14:anchorId="6CDD2CE7">
          <v:shape id="_x0000_i1047" type="#_x0000_t75" style="width:482.25pt;height:208.55pt" o:ole="">
            <v:imagedata r:id="rId74" o:title=""/>
            <o:lock v:ext="edit" aspectratio="f"/>
          </v:shape>
        </w:object>
      </w:r>
      <w:r>
        <w:rPr>
          <w:rFonts w:cs="Courier New"/>
          <w:szCs w:val="22"/>
        </w:rPr>
        <w:fldChar w:fldCharType="end"/>
      </w:r>
    </w:p>
    <w:p w14:paraId="357BE684" w14:textId="77777777" w:rsidR="00FE2C43" w:rsidRDefault="00FE2C43" w:rsidP="00E139B6">
      <w:pPr>
        <w:rPr>
          <w:rFonts w:cs="Courier New"/>
          <w:szCs w:val="22"/>
        </w:rPr>
      </w:pPr>
    </w:p>
    <w:p w14:paraId="6996F0BD" w14:textId="1D209AFB" w:rsidR="00C802CA" w:rsidRPr="00EC06E7" w:rsidRDefault="00DD70B3" w:rsidP="005E2C0A">
      <w:pPr>
        <w:rPr>
          <w:rFonts w:cs="Courier New"/>
          <w:b/>
          <w:szCs w:val="22"/>
        </w:rPr>
      </w:pPr>
      <w:r w:rsidRPr="001422EA">
        <w:rPr>
          <w:rFonts w:cs="Courier New"/>
          <w:b/>
          <w:szCs w:val="22"/>
        </w:rPr>
        <w:t>1</w:t>
      </w:r>
      <w:r w:rsidR="008D6DF0" w:rsidRPr="001422EA">
        <w:rPr>
          <w:rFonts w:cs="Courier New"/>
          <w:b/>
          <w:szCs w:val="22"/>
        </w:rPr>
        <w:t>8</w:t>
      </w:r>
      <w:r w:rsidR="000E656E" w:rsidRPr="001422EA">
        <w:rPr>
          <w:rFonts w:cs="Courier New"/>
          <w:b/>
          <w:szCs w:val="22"/>
        </w:rPr>
        <w:t>c</w:t>
      </w:r>
      <w:r w:rsidR="000E656E" w:rsidRPr="001422EA">
        <w:rPr>
          <w:rFonts w:cs="Courier New"/>
          <w:b/>
          <w:szCs w:val="22"/>
        </w:rPr>
        <w:tab/>
      </w:r>
      <w:r w:rsidR="004F76AC" w:rsidRPr="001422EA">
        <w:rPr>
          <w:rFonts w:cs="Courier New"/>
          <w:b/>
          <w:szCs w:val="22"/>
        </w:rPr>
        <w:t>The Fair Values of Financial Assets and Financial Liabilities that are not measured at   Fair Value (but for which Fair Value disclosures are required)</w:t>
      </w:r>
    </w:p>
    <w:p w14:paraId="5E9E7B25" w14:textId="77777777" w:rsidR="004643C1" w:rsidRPr="00EC06E7" w:rsidRDefault="004643C1" w:rsidP="005E2C0A">
      <w:pPr>
        <w:rPr>
          <w:rFonts w:cs="Courier New"/>
          <w:szCs w:val="22"/>
        </w:rPr>
      </w:pPr>
    </w:p>
    <w:p w14:paraId="00E71748" w14:textId="77777777" w:rsidR="00C91070" w:rsidRPr="00EC06E7" w:rsidRDefault="00C91070" w:rsidP="005E2C0A">
      <w:pPr>
        <w:rPr>
          <w:rFonts w:cs="Arial"/>
          <w:szCs w:val="22"/>
        </w:rPr>
      </w:pPr>
      <w:r w:rsidRPr="00EC06E7">
        <w:rPr>
          <w:rFonts w:cs="Arial"/>
          <w:szCs w:val="22"/>
        </w:rPr>
        <w:t xml:space="preserve">Financial liabilities and financial assets represented by loans and receivables and </w:t>
      </w:r>
      <w:proofErr w:type="gramStart"/>
      <w:r w:rsidRPr="00EC06E7">
        <w:rPr>
          <w:rFonts w:cs="Arial"/>
          <w:szCs w:val="22"/>
        </w:rPr>
        <w:t>long term</w:t>
      </w:r>
      <w:proofErr w:type="gramEnd"/>
      <w:r w:rsidRPr="00EC06E7">
        <w:rPr>
          <w:rFonts w:cs="Arial"/>
          <w:szCs w:val="22"/>
        </w:rPr>
        <w:t xml:space="preserve"> debtors and creditors are carried on the </w:t>
      </w:r>
      <w:r w:rsidR="002938E7">
        <w:rPr>
          <w:rFonts w:cs="Arial"/>
          <w:szCs w:val="22"/>
        </w:rPr>
        <w:t>B</w:t>
      </w:r>
      <w:r w:rsidRPr="00EC06E7">
        <w:rPr>
          <w:rFonts w:cs="Arial"/>
          <w:szCs w:val="22"/>
        </w:rPr>
        <w:t xml:space="preserve">alance </w:t>
      </w:r>
      <w:r w:rsidR="002938E7">
        <w:rPr>
          <w:rFonts w:cs="Arial"/>
          <w:szCs w:val="22"/>
        </w:rPr>
        <w:t>S</w:t>
      </w:r>
      <w:r w:rsidRPr="00EC06E7">
        <w:rPr>
          <w:rFonts w:cs="Arial"/>
          <w:szCs w:val="22"/>
        </w:rPr>
        <w:t>heet at amortised cost.  Their fair value can be assessed by calculating the present value of the cash flows that take place over the remaining life of the instruments (Level 2</w:t>
      </w:r>
      <w:r w:rsidR="007166AC" w:rsidRPr="00EC06E7">
        <w:rPr>
          <w:rFonts w:cs="Arial"/>
          <w:szCs w:val="22"/>
        </w:rPr>
        <w:t xml:space="preserve"> of the fair value hierarchy</w:t>
      </w:r>
      <w:r w:rsidRPr="00EC06E7">
        <w:rPr>
          <w:rFonts w:cs="Arial"/>
          <w:szCs w:val="22"/>
        </w:rPr>
        <w:t>), using the following assumptions:</w:t>
      </w:r>
    </w:p>
    <w:p w14:paraId="3C74DAA8" w14:textId="77777777" w:rsidR="00C91070" w:rsidRPr="00EC06E7" w:rsidRDefault="00C91070" w:rsidP="005E2C0A">
      <w:pPr>
        <w:rPr>
          <w:rFonts w:cs="Arial"/>
          <w:szCs w:val="22"/>
        </w:rPr>
      </w:pPr>
    </w:p>
    <w:p w14:paraId="69F52D08" w14:textId="77777777" w:rsidR="00C91070" w:rsidRPr="00EC06E7" w:rsidRDefault="00C91070" w:rsidP="00496186">
      <w:pPr>
        <w:numPr>
          <w:ilvl w:val="0"/>
          <w:numId w:val="14"/>
        </w:numPr>
        <w:spacing w:before="60" w:after="60"/>
        <w:rPr>
          <w:rFonts w:cs="Arial"/>
          <w:szCs w:val="22"/>
        </w:rPr>
      </w:pPr>
      <w:r w:rsidRPr="00EC06E7">
        <w:rPr>
          <w:rFonts w:cs="Arial"/>
          <w:szCs w:val="22"/>
        </w:rPr>
        <w:t xml:space="preserve">For non-PWLB loans payable (such as the </w:t>
      </w:r>
      <w:r w:rsidR="00BC0AA6">
        <w:rPr>
          <w:rFonts w:cs="Arial"/>
          <w:szCs w:val="22"/>
        </w:rPr>
        <w:t>c</w:t>
      </w:r>
      <w:r w:rsidRPr="00EC06E7">
        <w:rPr>
          <w:rFonts w:cs="Arial"/>
          <w:szCs w:val="22"/>
        </w:rPr>
        <w:t xml:space="preserve">ouncil’s Leisure Finance Lease), PWLB </w:t>
      </w:r>
      <w:r w:rsidR="006E5B8F" w:rsidRPr="00EC06E7">
        <w:rPr>
          <w:rFonts w:cs="Arial"/>
          <w:szCs w:val="22"/>
        </w:rPr>
        <w:t>new borrowing rates</w:t>
      </w:r>
      <w:r w:rsidRPr="00EC06E7">
        <w:rPr>
          <w:rFonts w:cs="Arial"/>
          <w:szCs w:val="22"/>
        </w:rPr>
        <w:t xml:space="preserve"> have been applied to provide the fair value under PWLB debt redemption procedures;</w:t>
      </w:r>
    </w:p>
    <w:p w14:paraId="7DCD7494" w14:textId="77777777" w:rsidR="00C91070" w:rsidRPr="00EC06E7" w:rsidRDefault="00C91070" w:rsidP="00496186">
      <w:pPr>
        <w:numPr>
          <w:ilvl w:val="0"/>
          <w:numId w:val="14"/>
        </w:numPr>
        <w:spacing w:before="60" w:after="60"/>
        <w:rPr>
          <w:rFonts w:cs="Arial"/>
          <w:szCs w:val="22"/>
        </w:rPr>
      </w:pPr>
      <w:r w:rsidRPr="00EC06E7">
        <w:rPr>
          <w:rFonts w:cs="Arial"/>
          <w:szCs w:val="22"/>
        </w:rPr>
        <w:t>No early repayment or impairment is recognised;</w:t>
      </w:r>
    </w:p>
    <w:p w14:paraId="4DFE4874" w14:textId="77777777" w:rsidR="00C91070" w:rsidRPr="00EC06E7" w:rsidRDefault="00C91070" w:rsidP="00496186">
      <w:pPr>
        <w:numPr>
          <w:ilvl w:val="0"/>
          <w:numId w:val="14"/>
        </w:numPr>
        <w:spacing w:before="60" w:after="60"/>
        <w:rPr>
          <w:rFonts w:cs="Arial"/>
          <w:szCs w:val="22"/>
        </w:rPr>
      </w:pPr>
      <w:r w:rsidRPr="00EC06E7">
        <w:rPr>
          <w:rFonts w:cs="Arial"/>
          <w:szCs w:val="22"/>
        </w:rPr>
        <w:t>Where an instrument has a maturity of less than 12 months or is a trade or other receivable the fair value is taken to be the carrying amount or the billed amount;</w:t>
      </w:r>
    </w:p>
    <w:p w14:paraId="2F2E5931" w14:textId="77777777" w:rsidR="007166AC" w:rsidRPr="00EC06E7" w:rsidRDefault="00C91070" w:rsidP="00496186">
      <w:pPr>
        <w:numPr>
          <w:ilvl w:val="0"/>
          <w:numId w:val="14"/>
        </w:numPr>
        <w:spacing w:before="60" w:after="60"/>
        <w:rPr>
          <w:rFonts w:cs="Arial"/>
          <w:b/>
          <w:bCs/>
          <w:szCs w:val="22"/>
        </w:rPr>
      </w:pPr>
      <w:r w:rsidRPr="00EC06E7">
        <w:rPr>
          <w:rFonts w:cs="Arial"/>
          <w:szCs w:val="22"/>
        </w:rPr>
        <w:t>The fair value of trade and other receivables is taken to be the invoiced or billed amount.</w:t>
      </w:r>
    </w:p>
    <w:p w14:paraId="2020787B" w14:textId="77777777" w:rsidR="00A417CD" w:rsidRDefault="00A417CD" w:rsidP="002E2503">
      <w:pPr>
        <w:rPr>
          <w:rFonts w:cs="Courier New"/>
          <w:szCs w:val="22"/>
        </w:rPr>
      </w:pPr>
    </w:p>
    <w:p w14:paraId="18BACBB2" w14:textId="77777777" w:rsidR="00664D02" w:rsidRDefault="00D67CE0" w:rsidP="005C0D37">
      <w:pPr>
        <w:rPr>
          <w:rFonts w:cs="Courier New"/>
          <w:szCs w:val="22"/>
        </w:rPr>
      </w:pPr>
      <w:r w:rsidRPr="0030005C">
        <w:rPr>
          <w:rFonts w:cs="Courier New"/>
          <w:szCs w:val="22"/>
        </w:rPr>
        <w:t xml:space="preserve">All financial assets and liabilities held by the </w:t>
      </w:r>
      <w:r w:rsidR="00BC0AA6">
        <w:rPr>
          <w:rFonts w:cs="Courier New"/>
          <w:szCs w:val="22"/>
        </w:rPr>
        <w:t>c</w:t>
      </w:r>
      <w:r w:rsidRPr="0030005C">
        <w:rPr>
          <w:rFonts w:cs="Courier New"/>
          <w:szCs w:val="22"/>
        </w:rPr>
        <w:t>ouncil are carried in the Balance Sheet at amortised cost.</w:t>
      </w:r>
    </w:p>
    <w:p w14:paraId="51252A4E" w14:textId="77777777" w:rsidR="005C0D37" w:rsidRDefault="005C0D37" w:rsidP="005C0D37">
      <w:pPr>
        <w:rPr>
          <w:rFonts w:cs="Courier New"/>
          <w:b/>
          <w:szCs w:val="22"/>
          <w:u w:val="single"/>
        </w:rPr>
      </w:pPr>
    </w:p>
    <w:p w14:paraId="19D4C67C" w14:textId="77777777" w:rsidR="00346FA4" w:rsidRPr="00EC06E7" w:rsidRDefault="00A417CD" w:rsidP="002E2503">
      <w:pPr>
        <w:rPr>
          <w:rFonts w:cs="Courier New"/>
          <w:b/>
          <w:szCs w:val="22"/>
          <w:u w:val="single"/>
        </w:rPr>
      </w:pPr>
      <w:r w:rsidRPr="00EC06E7">
        <w:rPr>
          <w:rFonts w:cs="Courier New"/>
          <w:b/>
          <w:szCs w:val="22"/>
          <w:u w:val="single"/>
        </w:rPr>
        <w:t>Financial Liabilities</w:t>
      </w:r>
    </w:p>
    <w:p w14:paraId="12CF35DA" w14:textId="32E951CA" w:rsidR="00A417CD" w:rsidRDefault="00A417CD" w:rsidP="002E2503">
      <w:pPr>
        <w:rPr>
          <w:rFonts w:cs="Courier New"/>
          <w:szCs w:val="22"/>
        </w:rPr>
      </w:pPr>
    </w:p>
    <w:p w14:paraId="3BF37EBC" w14:textId="0E190E23" w:rsidR="009D34F9" w:rsidRDefault="009F5A81" w:rsidP="002E2503">
      <w:pPr>
        <w:rPr>
          <w:rFonts w:cs="Courier New"/>
          <w:szCs w:val="22"/>
        </w:rPr>
      </w:pPr>
      <w:r>
        <w:rPr>
          <w:rFonts w:cs="Courier New"/>
          <w:szCs w:val="22"/>
        </w:rPr>
        <w:fldChar w:fldCharType="begin"/>
      </w:r>
      <w:r>
        <w:rPr>
          <w:rFonts w:cs="Courier New"/>
          <w:szCs w:val="22"/>
        </w:rPr>
        <w:instrText xml:space="preserve"> LINK Excel.Sheet.12 "\\\\alpha\\accounts$\\CLOSURE\\Closure 20-21\\04 SoA Working Papers\\18 Financial Instruments\\Note 18 Financial Instruments 2020-21.xlsx!18c!R2C1:R10C5" "" \a \p </w:instrText>
      </w:r>
      <w:r>
        <w:rPr>
          <w:rFonts w:cs="Courier New"/>
          <w:szCs w:val="22"/>
        </w:rPr>
        <w:fldChar w:fldCharType="separate"/>
      </w:r>
      <w:r w:rsidR="001C71EF">
        <w:rPr>
          <w:rFonts w:cs="Courier New"/>
          <w:szCs w:val="22"/>
        </w:rPr>
        <w:object w:dxaOrig="11058" w:dyaOrig="2955" w14:anchorId="72B56B51">
          <v:shape id="_x0000_i1048" type="#_x0000_t75" style="width:482.25pt;height:2in" o:ole="">
            <v:imagedata r:id="rId75" o:title=""/>
            <o:lock v:ext="edit" aspectratio="f"/>
          </v:shape>
        </w:object>
      </w:r>
      <w:r>
        <w:rPr>
          <w:rFonts w:cs="Courier New"/>
          <w:szCs w:val="22"/>
        </w:rPr>
        <w:fldChar w:fldCharType="end"/>
      </w:r>
    </w:p>
    <w:p w14:paraId="6898464E" w14:textId="77777777" w:rsidR="009D34F9" w:rsidRDefault="009D34F9" w:rsidP="002E2503">
      <w:pPr>
        <w:rPr>
          <w:rFonts w:cs="Courier New"/>
          <w:szCs w:val="22"/>
        </w:rPr>
      </w:pPr>
    </w:p>
    <w:p w14:paraId="31952A65" w14:textId="5808A0F3" w:rsidR="004F76AC" w:rsidRPr="00EC06E7" w:rsidRDefault="00A20D04" w:rsidP="002E2503">
      <w:pPr>
        <w:rPr>
          <w:rFonts w:cs="Arial"/>
          <w:szCs w:val="22"/>
        </w:rPr>
      </w:pPr>
      <w:r>
        <w:rPr>
          <w:rFonts w:cs="Arial"/>
          <w:szCs w:val="22"/>
        </w:rPr>
        <w:t>T</w:t>
      </w:r>
      <w:r w:rsidR="004F76AC" w:rsidRPr="00EC06E7">
        <w:rPr>
          <w:rFonts w:cs="Arial"/>
          <w:szCs w:val="22"/>
        </w:rPr>
        <w:t>he Leisure Finance Lease fair value represent</w:t>
      </w:r>
      <w:r>
        <w:rPr>
          <w:rFonts w:cs="Arial"/>
          <w:szCs w:val="22"/>
        </w:rPr>
        <w:t>ed</w:t>
      </w:r>
      <w:r w:rsidR="004F76AC" w:rsidRPr="00EC06E7">
        <w:rPr>
          <w:rFonts w:cs="Arial"/>
          <w:szCs w:val="22"/>
        </w:rPr>
        <w:t xml:space="preserve"> the value of the liability if the </w:t>
      </w:r>
      <w:r w:rsidR="00BC0AA6">
        <w:rPr>
          <w:rFonts w:cs="Arial"/>
          <w:szCs w:val="22"/>
        </w:rPr>
        <w:t>c</w:t>
      </w:r>
      <w:r w:rsidR="004F76AC" w:rsidRPr="00EC06E7">
        <w:rPr>
          <w:rFonts w:cs="Arial"/>
          <w:szCs w:val="22"/>
        </w:rPr>
        <w:t>ouncil were to prematurely repay the debt and so would incur a premium.</w:t>
      </w:r>
      <w:r w:rsidR="003045F5">
        <w:rPr>
          <w:rFonts w:cs="Arial"/>
          <w:szCs w:val="22"/>
        </w:rPr>
        <w:t xml:space="preserve"> Given the nature of the calculation of the fair value for this type of asset, it </w:t>
      </w:r>
      <w:r>
        <w:rPr>
          <w:rFonts w:cs="Arial"/>
          <w:szCs w:val="22"/>
        </w:rPr>
        <w:t>wa</w:t>
      </w:r>
      <w:r w:rsidR="003045F5">
        <w:rPr>
          <w:rFonts w:cs="Arial"/>
          <w:szCs w:val="22"/>
        </w:rPr>
        <w:t xml:space="preserve">s not affected by potential market fluctuations as a result of the </w:t>
      </w:r>
      <w:proofErr w:type="spellStart"/>
      <w:r w:rsidR="003045F5">
        <w:rPr>
          <w:rFonts w:cs="Arial"/>
          <w:szCs w:val="22"/>
        </w:rPr>
        <w:t>Covid</w:t>
      </w:r>
      <w:proofErr w:type="spellEnd"/>
      <w:r w:rsidR="003045F5">
        <w:rPr>
          <w:rFonts w:cs="Arial"/>
          <w:szCs w:val="22"/>
        </w:rPr>
        <w:t xml:space="preserve"> 19 pandemic.</w:t>
      </w:r>
      <w:r>
        <w:rPr>
          <w:rFonts w:cs="Arial"/>
          <w:szCs w:val="22"/>
        </w:rPr>
        <w:t xml:space="preserve"> </w:t>
      </w:r>
      <w:r w:rsidR="006F373E">
        <w:rPr>
          <w:rFonts w:cs="Arial"/>
          <w:szCs w:val="22"/>
        </w:rPr>
        <w:t>By the end of 2020/21, the</w:t>
      </w:r>
      <w:r>
        <w:rPr>
          <w:rFonts w:cs="Arial"/>
          <w:szCs w:val="22"/>
        </w:rPr>
        <w:t xml:space="preserve"> liability was fully discharged</w:t>
      </w:r>
      <w:r w:rsidR="006F373E">
        <w:rPr>
          <w:rFonts w:cs="Arial"/>
          <w:szCs w:val="22"/>
        </w:rPr>
        <w:t>.</w:t>
      </w:r>
    </w:p>
    <w:p w14:paraId="428829C7" w14:textId="77777777" w:rsidR="001E5ABB" w:rsidRPr="00EC06E7" w:rsidRDefault="001E5ABB" w:rsidP="002E2503">
      <w:pPr>
        <w:rPr>
          <w:rFonts w:cs="Arial"/>
          <w:szCs w:val="22"/>
        </w:rPr>
      </w:pPr>
    </w:p>
    <w:p w14:paraId="7CB78866" w14:textId="77777777" w:rsidR="004F76AC" w:rsidRPr="00EC06E7" w:rsidRDefault="004F76AC" w:rsidP="002E2503">
      <w:pPr>
        <w:rPr>
          <w:rFonts w:cs="Arial"/>
          <w:szCs w:val="22"/>
        </w:rPr>
      </w:pPr>
      <w:r w:rsidRPr="00EC06E7">
        <w:rPr>
          <w:rFonts w:cs="Arial"/>
          <w:szCs w:val="22"/>
        </w:rPr>
        <w:t xml:space="preserve">Long-term creditors </w:t>
      </w:r>
      <w:proofErr w:type="gramStart"/>
      <w:r w:rsidRPr="00EC06E7">
        <w:rPr>
          <w:rFonts w:cs="Arial"/>
          <w:szCs w:val="22"/>
        </w:rPr>
        <w:t>comprises</w:t>
      </w:r>
      <w:proofErr w:type="gramEnd"/>
      <w:r w:rsidRPr="00EC06E7">
        <w:rPr>
          <w:rFonts w:cs="Arial"/>
          <w:szCs w:val="22"/>
        </w:rPr>
        <w:t xml:space="preserve"> numerous commuted sums relating to grounds maintenance. Any difference between carrying amount and fair value of each of these small sums would be immaterial, and therefore they are carried at cost as a fair approximation of their value.</w:t>
      </w:r>
    </w:p>
    <w:p w14:paraId="27F8B621" w14:textId="77777777" w:rsidR="004F76AC" w:rsidRPr="00EC06E7" w:rsidRDefault="004F76AC" w:rsidP="002E2503">
      <w:pPr>
        <w:rPr>
          <w:rFonts w:cs="Courier New"/>
          <w:b/>
          <w:szCs w:val="22"/>
          <w:u w:val="single"/>
        </w:rPr>
      </w:pPr>
    </w:p>
    <w:p w14:paraId="0B6FDA3F" w14:textId="77777777" w:rsidR="00A417CD" w:rsidRPr="00EC06E7" w:rsidRDefault="00A417CD" w:rsidP="002E2503">
      <w:pPr>
        <w:rPr>
          <w:rFonts w:cs="Courier New"/>
          <w:b/>
          <w:szCs w:val="22"/>
          <w:u w:val="single"/>
        </w:rPr>
      </w:pPr>
      <w:r w:rsidRPr="00EC06E7">
        <w:rPr>
          <w:rFonts w:cs="Courier New"/>
          <w:b/>
          <w:szCs w:val="22"/>
          <w:u w:val="single"/>
        </w:rPr>
        <w:t>Financial Assets</w:t>
      </w:r>
    </w:p>
    <w:p w14:paraId="5D145696" w14:textId="5D508344" w:rsidR="00A417CD" w:rsidRDefault="00A417CD" w:rsidP="002E2503">
      <w:pPr>
        <w:rPr>
          <w:rFonts w:cs="Courier New"/>
          <w:szCs w:val="22"/>
        </w:rPr>
      </w:pPr>
    </w:p>
    <w:p w14:paraId="74C8BC70" w14:textId="2504FD00" w:rsidR="009D34F9" w:rsidRDefault="009F5A81" w:rsidP="002E2503">
      <w:pPr>
        <w:rPr>
          <w:rFonts w:cs="Courier New"/>
          <w:szCs w:val="22"/>
        </w:rPr>
      </w:pPr>
      <w:r>
        <w:rPr>
          <w:rFonts w:cs="Courier New"/>
          <w:szCs w:val="22"/>
        </w:rPr>
        <w:fldChar w:fldCharType="begin"/>
      </w:r>
      <w:r>
        <w:rPr>
          <w:rFonts w:cs="Courier New"/>
          <w:szCs w:val="22"/>
        </w:rPr>
        <w:instrText xml:space="preserve"> LINK Excel.Sheet.12 "\\\\alpha\\accounts$\\CLOSURE\\Closure 20-21\\04 SoA Working Papers\\18 Financial Instruments\\Note 18 Financial Instruments 2020-21.xlsx!18c!R13C1:R21C5" "" \a \p </w:instrText>
      </w:r>
      <w:r>
        <w:rPr>
          <w:rFonts w:cs="Courier New"/>
          <w:szCs w:val="22"/>
        </w:rPr>
        <w:fldChar w:fldCharType="separate"/>
      </w:r>
      <w:r w:rsidR="001C71EF">
        <w:rPr>
          <w:rFonts w:cs="Courier New"/>
          <w:szCs w:val="22"/>
        </w:rPr>
        <w:object w:dxaOrig="11058" w:dyaOrig="2955" w14:anchorId="0C1CFD96">
          <v:shape id="_x0000_i1049" type="#_x0000_t75" style="width:482.25pt;height:2in" o:ole="">
            <v:imagedata r:id="rId76" o:title=""/>
            <o:lock v:ext="edit" aspectratio="f"/>
          </v:shape>
        </w:object>
      </w:r>
      <w:r>
        <w:rPr>
          <w:rFonts w:cs="Courier New"/>
          <w:szCs w:val="22"/>
        </w:rPr>
        <w:fldChar w:fldCharType="end"/>
      </w:r>
    </w:p>
    <w:p w14:paraId="091280D6" w14:textId="77777777" w:rsidR="009D34F9" w:rsidRDefault="009D34F9" w:rsidP="002E2503">
      <w:pPr>
        <w:rPr>
          <w:rFonts w:cs="Courier New"/>
          <w:szCs w:val="22"/>
        </w:rPr>
      </w:pPr>
    </w:p>
    <w:p w14:paraId="1F978407" w14:textId="77777777" w:rsidR="005D7C92" w:rsidRPr="00EC06E7" w:rsidRDefault="004F76AC" w:rsidP="002E2503">
      <w:r w:rsidRPr="00EC06E7">
        <w:t xml:space="preserve">Long-term debtors comprise </w:t>
      </w:r>
      <w:proofErr w:type="gramStart"/>
      <w:r w:rsidRPr="00EC06E7">
        <w:t>a number of</w:t>
      </w:r>
      <w:proofErr w:type="gramEnd"/>
      <w:r w:rsidRPr="00EC06E7">
        <w:t xml:space="preserve"> small debts such as some small loans. Any difference between carrying amount and fair value of each of these small sums would be immaterial, and therefore they are carried at cost as a</w:t>
      </w:r>
      <w:r w:rsidR="00B07ACB">
        <w:t>n</w:t>
      </w:r>
      <w:r w:rsidRPr="00EC06E7">
        <w:t xml:space="preserve"> approximation of their </w:t>
      </w:r>
      <w:r w:rsidR="00B07ACB">
        <w:t xml:space="preserve">fair </w:t>
      </w:r>
      <w:r w:rsidRPr="00EC06E7">
        <w:t>value.</w:t>
      </w:r>
    </w:p>
    <w:p w14:paraId="12B0C1CF" w14:textId="77777777" w:rsidR="00500112" w:rsidRPr="00EC06E7" w:rsidRDefault="00500112" w:rsidP="002E2503"/>
    <w:p w14:paraId="2207DDB2" w14:textId="77777777" w:rsidR="004F76AC" w:rsidRPr="00EC06E7" w:rsidRDefault="004F76AC" w:rsidP="002E2503"/>
    <w:p w14:paraId="22D0B1AF" w14:textId="77777777" w:rsidR="00990E12" w:rsidRPr="00EC06E7" w:rsidRDefault="00D02225" w:rsidP="002E2503">
      <w:pPr>
        <w:rPr>
          <w:b/>
        </w:rPr>
      </w:pPr>
      <w:r w:rsidRPr="001422EA">
        <w:rPr>
          <w:b/>
        </w:rPr>
        <w:t>1</w:t>
      </w:r>
      <w:r w:rsidR="008D6DF0" w:rsidRPr="001422EA">
        <w:rPr>
          <w:b/>
        </w:rPr>
        <w:t>8</w:t>
      </w:r>
      <w:r w:rsidRPr="001422EA">
        <w:rPr>
          <w:b/>
        </w:rPr>
        <w:t>d Nature and extent of risks arising from financial instruments</w:t>
      </w:r>
    </w:p>
    <w:p w14:paraId="3B3D4D02" w14:textId="77777777" w:rsidR="00287C75" w:rsidRPr="00EC06E7" w:rsidRDefault="00287C75" w:rsidP="002E2503">
      <w:pPr>
        <w:rPr>
          <w:snapToGrid w:val="0"/>
          <w:szCs w:val="20"/>
          <w:lang w:eastAsia="en-US"/>
        </w:rPr>
      </w:pPr>
    </w:p>
    <w:p w14:paraId="39C015AD" w14:textId="77777777" w:rsidR="00287C75" w:rsidRPr="00EC06E7" w:rsidRDefault="00287C75" w:rsidP="002E2503">
      <w:pPr>
        <w:rPr>
          <w:b/>
          <w:snapToGrid w:val="0"/>
          <w:szCs w:val="20"/>
          <w:lang w:eastAsia="en-US"/>
        </w:rPr>
      </w:pPr>
      <w:r w:rsidRPr="00EC06E7">
        <w:rPr>
          <w:b/>
          <w:snapToGrid w:val="0"/>
          <w:szCs w:val="20"/>
          <w:lang w:eastAsia="en-US"/>
        </w:rPr>
        <w:t>Key risks</w:t>
      </w:r>
    </w:p>
    <w:p w14:paraId="190C606C" w14:textId="77777777" w:rsidR="00287C75" w:rsidRPr="00EC06E7" w:rsidRDefault="00287C75" w:rsidP="002E2503">
      <w:pPr>
        <w:rPr>
          <w:snapToGrid w:val="0"/>
          <w:szCs w:val="20"/>
          <w:lang w:eastAsia="en-US"/>
        </w:rPr>
      </w:pPr>
    </w:p>
    <w:p w14:paraId="0ADBC928" w14:textId="77777777" w:rsidR="00287C75" w:rsidRPr="00EC06E7" w:rsidRDefault="00287C75" w:rsidP="002E2503">
      <w:pPr>
        <w:rPr>
          <w:snapToGrid w:val="0"/>
          <w:szCs w:val="20"/>
          <w:lang w:eastAsia="en-US"/>
        </w:rPr>
      </w:pPr>
      <w:r w:rsidRPr="00EC06E7">
        <w:rPr>
          <w:snapToGrid w:val="0"/>
          <w:szCs w:val="20"/>
          <w:lang w:eastAsia="en-US"/>
        </w:rPr>
        <w:t>The authority’s activities potentially expose it to a variety of financial risks:</w:t>
      </w:r>
    </w:p>
    <w:p w14:paraId="2CC0C6AB" w14:textId="77777777" w:rsidR="00287C75" w:rsidRPr="00EC06E7" w:rsidRDefault="00287C75" w:rsidP="00CC5901">
      <w:pPr>
        <w:numPr>
          <w:ilvl w:val="0"/>
          <w:numId w:val="4"/>
        </w:numPr>
        <w:tabs>
          <w:tab w:val="clear" w:pos="360"/>
        </w:tabs>
        <w:ind w:left="1276"/>
        <w:rPr>
          <w:snapToGrid w:val="0"/>
          <w:szCs w:val="20"/>
          <w:lang w:eastAsia="en-US"/>
        </w:rPr>
      </w:pPr>
      <w:r w:rsidRPr="00EC06E7">
        <w:rPr>
          <w:snapToGrid w:val="0"/>
          <w:szCs w:val="20"/>
          <w:lang w:eastAsia="en-US"/>
        </w:rPr>
        <w:t xml:space="preserve">Credit risk – that other parties might fail to pay amounts due to the </w:t>
      </w:r>
      <w:r w:rsidR="00BC0AA6">
        <w:rPr>
          <w:snapToGrid w:val="0"/>
          <w:szCs w:val="20"/>
          <w:lang w:eastAsia="en-US"/>
        </w:rPr>
        <w:t>c</w:t>
      </w:r>
      <w:r w:rsidRPr="00EC06E7">
        <w:rPr>
          <w:snapToGrid w:val="0"/>
          <w:szCs w:val="20"/>
          <w:lang w:eastAsia="en-US"/>
        </w:rPr>
        <w:t>ouncil.</w:t>
      </w:r>
    </w:p>
    <w:p w14:paraId="7A925E5E" w14:textId="77777777" w:rsidR="00287C75" w:rsidRPr="00EC06E7" w:rsidRDefault="00287C75" w:rsidP="00CC5901">
      <w:pPr>
        <w:numPr>
          <w:ilvl w:val="0"/>
          <w:numId w:val="4"/>
        </w:numPr>
        <w:ind w:left="1276"/>
        <w:rPr>
          <w:snapToGrid w:val="0"/>
          <w:szCs w:val="20"/>
          <w:lang w:eastAsia="en-US"/>
        </w:rPr>
      </w:pPr>
      <w:r w:rsidRPr="00EC06E7">
        <w:rPr>
          <w:snapToGrid w:val="0"/>
          <w:szCs w:val="20"/>
          <w:lang w:eastAsia="en-US"/>
        </w:rPr>
        <w:t>Liquidity risk – that the Authority might not have liquid funds available to make payments when due.</w:t>
      </w:r>
    </w:p>
    <w:p w14:paraId="5C3B2A97" w14:textId="77777777" w:rsidR="00287C75" w:rsidRPr="00EC06E7" w:rsidRDefault="00287C75" w:rsidP="00CC5901">
      <w:pPr>
        <w:numPr>
          <w:ilvl w:val="0"/>
          <w:numId w:val="4"/>
        </w:numPr>
        <w:tabs>
          <w:tab w:val="clear" w:pos="360"/>
        </w:tabs>
        <w:ind w:left="1276"/>
        <w:rPr>
          <w:snapToGrid w:val="0"/>
          <w:szCs w:val="20"/>
          <w:lang w:eastAsia="en-US"/>
        </w:rPr>
      </w:pPr>
      <w:r w:rsidRPr="00EC06E7">
        <w:rPr>
          <w:snapToGrid w:val="0"/>
          <w:szCs w:val="20"/>
          <w:lang w:eastAsia="en-US"/>
        </w:rPr>
        <w:t>Market risk – the possibility of financial loss arising from movements in interest rates.</w:t>
      </w:r>
    </w:p>
    <w:p w14:paraId="64DDD92A" w14:textId="77777777" w:rsidR="00287C75" w:rsidRPr="00EC06E7" w:rsidRDefault="00287C75" w:rsidP="002E2503">
      <w:pPr>
        <w:tabs>
          <w:tab w:val="num" w:pos="0"/>
        </w:tabs>
        <w:rPr>
          <w:snapToGrid w:val="0"/>
          <w:szCs w:val="20"/>
          <w:lang w:eastAsia="en-US"/>
        </w:rPr>
      </w:pPr>
    </w:p>
    <w:p w14:paraId="2DE11932" w14:textId="77777777" w:rsidR="00287C75" w:rsidRPr="00EC06E7" w:rsidRDefault="00287C75" w:rsidP="002E2503">
      <w:pPr>
        <w:tabs>
          <w:tab w:val="num" w:pos="0"/>
        </w:tabs>
        <w:rPr>
          <w:b/>
          <w:snapToGrid w:val="0"/>
          <w:szCs w:val="20"/>
          <w:lang w:eastAsia="en-US"/>
        </w:rPr>
      </w:pPr>
    </w:p>
    <w:p w14:paraId="2F904D16" w14:textId="77777777" w:rsidR="00664D02" w:rsidRDefault="00664D02">
      <w:pPr>
        <w:jc w:val="left"/>
        <w:rPr>
          <w:b/>
          <w:snapToGrid w:val="0"/>
          <w:szCs w:val="20"/>
          <w:lang w:eastAsia="en-US"/>
        </w:rPr>
      </w:pPr>
      <w:r>
        <w:rPr>
          <w:b/>
          <w:snapToGrid w:val="0"/>
          <w:szCs w:val="20"/>
          <w:lang w:eastAsia="en-US"/>
        </w:rPr>
        <w:br w:type="page"/>
      </w:r>
    </w:p>
    <w:p w14:paraId="4DEA0821" w14:textId="77777777" w:rsidR="00287C75" w:rsidRPr="00EC06E7" w:rsidRDefault="00287C75" w:rsidP="002E2503">
      <w:pPr>
        <w:tabs>
          <w:tab w:val="num" w:pos="0"/>
        </w:tabs>
        <w:rPr>
          <w:b/>
          <w:snapToGrid w:val="0"/>
          <w:szCs w:val="20"/>
          <w:lang w:eastAsia="en-US"/>
        </w:rPr>
      </w:pPr>
      <w:r w:rsidRPr="00EC06E7">
        <w:rPr>
          <w:b/>
          <w:snapToGrid w:val="0"/>
          <w:szCs w:val="20"/>
          <w:lang w:eastAsia="en-US"/>
        </w:rPr>
        <w:t>Overall procedures for managing risk</w:t>
      </w:r>
    </w:p>
    <w:p w14:paraId="2646AA3D" w14:textId="77777777" w:rsidR="00287C75" w:rsidRPr="00EC06E7" w:rsidRDefault="00287C75" w:rsidP="002E2503">
      <w:pPr>
        <w:tabs>
          <w:tab w:val="num" w:pos="0"/>
        </w:tabs>
        <w:rPr>
          <w:b/>
          <w:snapToGrid w:val="0"/>
          <w:szCs w:val="20"/>
          <w:lang w:eastAsia="en-US"/>
        </w:rPr>
      </w:pPr>
    </w:p>
    <w:p w14:paraId="7FFDAE3D" w14:textId="7F17FFF1" w:rsidR="00287C75" w:rsidRDefault="00287C75" w:rsidP="002E2503">
      <w:pPr>
        <w:tabs>
          <w:tab w:val="num" w:pos="0"/>
        </w:tabs>
        <w:rPr>
          <w:snapToGrid w:val="0"/>
          <w:szCs w:val="20"/>
          <w:lang w:eastAsia="en-US"/>
        </w:rPr>
      </w:pPr>
      <w:r w:rsidRPr="00EC06E7">
        <w:rPr>
          <w:snapToGrid w:val="0"/>
          <w:szCs w:val="20"/>
          <w:lang w:eastAsia="en-US"/>
        </w:rPr>
        <w:t xml:space="preserve">In managing investment </w:t>
      </w:r>
      <w:proofErr w:type="gramStart"/>
      <w:r w:rsidRPr="00EC06E7">
        <w:rPr>
          <w:snapToGrid w:val="0"/>
          <w:szCs w:val="20"/>
          <w:lang w:eastAsia="en-US"/>
        </w:rPr>
        <w:t>risk</w:t>
      </w:r>
      <w:proofErr w:type="gramEnd"/>
      <w:r w:rsidRPr="00EC06E7">
        <w:rPr>
          <w:snapToGrid w:val="0"/>
          <w:szCs w:val="20"/>
          <w:lang w:eastAsia="en-US"/>
        </w:rPr>
        <w:t xml:space="preserve"> the </w:t>
      </w:r>
      <w:r w:rsidR="00BC0AA6">
        <w:rPr>
          <w:snapToGrid w:val="0"/>
          <w:szCs w:val="20"/>
          <w:lang w:eastAsia="en-US"/>
        </w:rPr>
        <w:t>c</w:t>
      </w:r>
      <w:r w:rsidRPr="00EC06E7">
        <w:rPr>
          <w:snapToGrid w:val="0"/>
          <w:szCs w:val="20"/>
          <w:lang w:eastAsia="en-US"/>
        </w:rPr>
        <w:t xml:space="preserve">ouncil works within the legal framework set out in the Local Government Act 2003 and associated regulations. This requires compliance with the CIPFA Code of Practice, the Prudential Code, and investment guidance issued through the Act. A key requirement is that the </w:t>
      </w:r>
      <w:r w:rsidR="00BC0AA6">
        <w:rPr>
          <w:snapToGrid w:val="0"/>
          <w:szCs w:val="20"/>
          <w:lang w:eastAsia="en-US"/>
        </w:rPr>
        <w:t>c</w:t>
      </w:r>
      <w:r w:rsidR="007777B6">
        <w:rPr>
          <w:snapToGrid w:val="0"/>
          <w:szCs w:val="20"/>
          <w:lang w:eastAsia="en-US"/>
        </w:rPr>
        <w:t>ouncil</w:t>
      </w:r>
      <w:r w:rsidRPr="00EC06E7">
        <w:rPr>
          <w:snapToGrid w:val="0"/>
          <w:szCs w:val="20"/>
          <w:lang w:eastAsia="en-US"/>
        </w:rPr>
        <w:t xml:space="preserve"> should annually consider its Treasury Management Strategy which incorporates the following:</w:t>
      </w:r>
    </w:p>
    <w:p w14:paraId="56C2C8EB" w14:textId="77777777" w:rsidR="00730F02" w:rsidRPr="00EC06E7" w:rsidRDefault="00730F02" w:rsidP="002E2503">
      <w:pPr>
        <w:tabs>
          <w:tab w:val="num" w:pos="0"/>
        </w:tabs>
        <w:rPr>
          <w:snapToGrid w:val="0"/>
          <w:szCs w:val="20"/>
          <w:lang w:eastAsia="en-US"/>
        </w:rPr>
      </w:pPr>
    </w:p>
    <w:p w14:paraId="42125053" w14:textId="77777777" w:rsidR="00287C75" w:rsidRPr="00EC06E7" w:rsidRDefault="00287C75" w:rsidP="002E2503">
      <w:pPr>
        <w:tabs>
          <w:tab w:val="num" w:pos="0"/>
        </w:tabs>
        <w:rPr>
          <w:snapToGrid w:val="0"/>
          <w:szCs w:val="20"/>
          <w:lang w:eastAsia="en-US"/>
        </w:rPr>
      </w:pPr>
      <w:r w:rsidRPr="00EC06E7">
        <w:rPr>
          <w:snapToGrid w:val="0"/>
          <w:szCs w:val="20"/>
          <w:lang w:eastAsia="en-US"/>
        </w:rPr>
        <w:t>Prudential indicators specifying:</w:t>
      </w:r>
    </w:p>
    <w:p w14:paraId="53A044DC" w14:textId="77777777" w:rsidR="00287C75" w:rsidRPr="00EC06E7" w:rsidRDefault="00287C75" w:rsidP="00CC5901">
      <w:pPr>
        <w:numPr>
          <w:ilvl w:val="0"/>
          <w:numId w:val="7"/>
        </w:numPr>
        <w:ind w:left="1701"/>
        <w:rPr>
          <w:snapToGrid w:val="0"/>
          <w:szCs w:val="20"/>
          <w:lang w:eastAsia="en-US"/>
        </w:rPr>
      </w:pPr>
      <w:r w:rsidRPr="00EC06E7">
        <w:rPr>
          <w:snapToGrid w:val="0"/>
          <w:szCs w:val="20"/>
          <w:lang w:eastAsia="en-US"/>
        </w:rPr>
        <w:t>Maximum and minimum exposure to fixed and variable rates;</w:t>
      </w:r>
    </w:p>
    <w:p w14:paraId="467E9B6A" w14:textId="77777777" w:rsidR="00287C75" w:rsidRPr="00EC06E7" w:rsidRDefault="00287C75" w:rsidP="00CC5901">
      <w:pPr>
        <w:numPr>
          <w:ilvl w:val="0"/>
          <w:numId w:val="7"/>
        </w:numPr>
        <w:ind w:left="1701"/>
        <w:rPr>
          <w:snapToGrid w:val="0"/>
          <w:szCs w:val="20"/>
          <w:lang w:eastAsia="en-US"/>
        </w:rPr>
      </w:pPr>
      <w:r w:rsidRPr="00EC06E7">
        <w:rPr>
          <w:snapToGrid w:val="0"/>
          <w:szCs w:val="20"/>
          <w:lang w:eastAsia="en-US"/>
        </w:rPr>
        <w:t>Limits on the maturity structure of the debt portfolio;</w:t>
      </w:r>
    </w:p>
    <w:p w14:paraId="021D1624" w14:textId="77777777" w:rsidR="00287C75" w:rsidRPr="00EC06E7" w:rsidRDefault="00287C75" w:rsidP="00CC5901">
      <w:pPr>
        <w:numPr>
          <w:ilvl w:val="0"/>
          <w:numId w:val="7"/>
        </w:numPr>
        <w:ind w:left="1701"/>
        <w:rPr>
          <w:snapToGrid w:val="0"/>
          <w:szCs w:val="20"/>
          <w:lang w:eastAsia="en-US"/>
        </w:rPr>
      </w:pPr>
      <w:r w:rsidRPr="00EC06E7">
        <w:rPr>
          <w:snapToGrid w:val="0"/>
          <w:szCs w:val="20"/>
          <w:lang w:eastAsia="en-US"/>
        </w:rPr>
        <w:t>Limits on total borrowing.</w:t>
      </w:r>
    </w:p>
    <w:p w14:paraId="30E71462" w14:textId="77777777" w:rsidR="00287C75" w:rsidRPr="00EC06E7" w:rsidRDefault="00287C75" w:rsidP="00287C75">
      <w:pPr>
        <w:ind w:left="1701"/>
        <w:rPr>
          <w:snapToGrid w:val="0"/>
          <w:szCs w:val="20"/>
          <w:lang w:eastAsia="en-US"/>
        </w:rPr>
      </w:pPr>
    </w:p>
    <w:p w14:paraId="2C05BB03" w14:textId="77777777" w:rsidR="00287C75" w:rsidRPr="00EC06E7" w:rsidRDefault="00287C75" w:rsidP="002E2503">
      <w:pPr>
        <w:rPr>
          <w:snapToGrid w:val="0"/>
          <w:szCs w:val="20"/>
          <w:lang w:eastAsia="en-US"/>
        </w:rPr>
      </w:pPr>
      <w:r w:rsidRPr="00EC06E7">
        <w:rPr>
          <w:snapToGrid w:val="0"/>
          <w:szCs w:val="20"/>
          <w:lang w:eastAsia="en-US"/>
        </w:rPr>
        <w:t>An Investment Strategy specifying:</w:t>
      </w:r>
    </w:p>
    <w:p w14:paraId="72E43089" w14:textId="77777777" w:rsidR="00287C75" w:rsidRPr="00EC06E7" w:rsidRDefault="00287C75" w:rsidP="00CC5901">
      <w:pPr>
        <w:numPr>
          <w:ilvl w:val="0"/>
          <w:numId w:val="8"/>
        </w:numPr>
        <w:ind w:left="1701"/>
        <w:rPr>
          <w:snapToGrid w:val="0"/>
          <w:szCs w:val="20"/>
          <w:lang w:eastAsia="en-US"/>
        </w:rPr>
      </w:pPr>
      <w:r w:rsidRPr="00EC06E7">
        <w:rPr>
          <w:snapToGrid w:val="0"/>
          <w:szCs w:val="20"/>
          <w:lang w:eastAsia="en-US"/>
        </w:rPr>
        <w:t>The use that should be made of credit ratings and other indicators to determine the financial standing of counterparties;</w:t>
      </w:r>
    </w:p>
    <w:p w14:paraId="3726FECB" w14:textId="77777777" w:rsidR="00287C75" w:rsidRPr="00EC06E7" w:rsidRDefault="00287C75" w:rsidP="00CC5901">
      <w:pPr>
        <w:numPr>
          <w:ilvl w:val="0"/>
          <w:numId w:val="8"/>
        </w:numPr>
        <w:ind w:left="1701"/>
        <w:rPr>
          <w:snapToGrid w:val="0"/>
          <w:szCs w:val="20"/>
          <w:lang w:eastAsia="en-US"/>
        </w:rPr>
      </w:pPr>
      <w:r w:rsidRPr="00EC06E7">
        <w:rPr>
          <w:snapToGrid w:val="0"/>
          <w:szCs w:val="20"/>
          <w:lang w:eastAsia="en-US"/>
        </w:rPr>
        <w:t>The use of sovereign ratings to limit investments to specific countries;</w:t>
      </w:r>
    </w:p>
    <w:p w14:paraId="6E097182" w14:textId="77777777" w:rsidR="00287C75" w:rsidRPr="00EC06E7" w:rsidRDefault="00287C75" w:rsidP="00CC5901">
      <w:pPr>
        <w:numPr>
          <w:ilvl w:val="0"/>
          <w:numId w:val="8"/>
        </w:numPr>
        <w:ind w:left="1701"/>
        <w:rPr>
          <w:snapToGrid w:val="0"/>
          <w:szCs w:val="20"/>
          <w:lang w:eastAsia="en-US"/>
        </w:rPr>
      </w:pPr>
      <w:r w:rsidRPr="00EC06E7">
        <w:rPr>
          <w:snapToGrid w:val="0"/>
          <w:szCs w:val="20"/>
          <w:lang w:eastAsia="en-US"/>
        </w:rPr>
        <w:t>The maximum amounts that might be deposited with any institution;</w:t>
      </w:r>
    </w:p>
    <w:p w14:paraId="7B54782B" w14:textId="77777777" w:rsidR="00287C75" w:rsidRPr="00EC06E7" w:rsidRDefault="00287C75" w:rsidP="00CC5901">
      <w:pPr>
        <w:numPr>
          <w:ilvl w:val="0"/>
          <w:numId w:val="8"/>
        </w:numPr>
        <w:ind w:left="1701"/>
        <w:rPr>
          <w:snapToGrid w:val="0"/>
          <w:szCs w:val="20"/>
          <w:lang w:eastAsia="en-US"/>
        </w:rPr>
      </w:pPr>
      <w:r w:rsidRPr="00EC06E7">
        <w:rPr>
          <w:snapToGrid w:val="0"/>
          <w:szCs w:val="20"/>
          <w:lang w:eastAsia="en-US"/>
        </w:rPr>
        <w:t>The lengths of time for which deposits can be made.</w:t>
      </w:r>
    </w:p>
    <w:p w14:paraId="7292F1D8" w14:textId="77777777" w:rsidR="00287C75" w:rsidRPr="00EC06E7" w:rsidRDefault="00287C75" w:rsidP="00287C75">
      <w:pPr>
        <w:rPr>
          <w:snapToGrid w:val="0"/>
          <w:szCs w:val="20"/>
          <w:lang w:eastAsia="en-US"/>
        </w:rPr>
      </w:pPr>
    </w:p>
    <w:p w14:paraId="0A54DEC9" w14:textId="77777777" w:rsidR="00287C75" w:rsidRPr="00EC06E7" w:rsidRDefault="00287C75" w:rsidP="002E2503">
      <w:pPr>
        <w:rPr>
          <w:b/>
          <w:snapToGrid w:val="0"/>
          <w:szCs w:val="20"/>
          <w:lang w:eastAsia="en-US"/>
        </w:rPr>
      </w:pPr>
      <w:r w:rsidRPr="00EC06E7">
        <w:rPr>
          <w:b/>
          <w:snapToGrid w:val="0"/>
          <w:szCs w:val="20"/>
          <w:lang w:eastAsia="en-US"/>
        </w:rPr>
        <w:t>Credit risk</w:t>
      </w:r>
    </w:p>
    <w:p w14:paraId="74F38D79" w14:textId="77777777" w:rsidR="00287C75" w:rsidRPr="00EC06E7" w:rsidRDefault="00287C75" w:rsidP="002E2503">
      <w:pPr>
        <w:rPr>
          <w:b/>
          <w:snapToGrid w:val="0"/>
          <w:szCs w:val="20"/>
          <w:lang w:eastAsia="en-US"/>
        </w:rPr>
      </w:pPr>
    </w:p>
    <w:p w14:paraId="3E874D99" w14:textId="77777777" w:rsidR="00AD5120" w:rsidRPr="00AD5120" w:rsidRDefault="00AD5120" w:rsidP="00AD5120">
      <w:pPr>
        <w:rPr>
          <w:snapToGrid w:val="0"/>
          <w:szCs w:val="20"/>
          <w:lang w:eastAsia="en-US"/>
        </w:rPr>
      </w:pPr>
      <w:r w:rsidRPr="00AD5120">
        <w:rPr>
          <w:snapToGrid w:val="0"/>
          <w:szCs w:val="20"/>
          <w:lang w:eastAsia="en-US"/>
        </w:rPr>
        <w:t xml:space="preserve">Credit risk arises from deposits with banks and financial institutions, as well as credit exposures to the </w:t>
      </w:r>
      <w:r w:rsidR="00BC0AA6">
        <w:rPr>
          <w:snapToGrid w:val="0"/>
          <w:szCs w:val="20"/>
          <w:lang w:eastAsia="en-US"/>
        </w:rPr>
        <w:t>c</w:t>
      </w:r>
      <w:r w:rsidRPr="00AD5120">
        <w:rPr>
          <w:snapToGrid w:val="0"/>
          <w:szCs w:val="20"/>
          <w:lang w:eastAsia="en-US"/>
        </w:rPr>
        <w:t xml:space="preserve">ouncil’s customers.  </w:t>
      </w:r>
    </w:p>
    <w:p w14:paraId="67B8BD1F" w14:textId="77777777" w:rsidR="00AD5120" w:rsidRPr="00AD5120" w:rsidRDefault="00AD5120" w:rsidP="00AD5120">
      <w:pPr>
        <w:rPr>
          <w:snapToGrid w:val="0"/>
          <w:szCs w:val="20"/>
          <w:lang w:eastAsia="en-US"/>
        </w:rPr>
      </w:pPr>
    </w:p>
    <w:p w14:paraId="353C4699" w14:textId="77777777" w:rsidR="00AD5120" w:rsidRPr="00AD5120" w:rsidRDefault="00AD5120" w:rsidP="00AD5120">
      <w:pPr>
        <w:rPr>
          <w:snapToGrid w:val="0"/>
          <w:szCs w:val="20"/>
          <w:lang w:eastAsia="en-US"/>
        </w:rPr>
      </w:pPr>
      <w:r w:rsidRPr="00AD5120">
        <w:rPr>
          <w:snapToGrid w:val="0"/>
          <w:szCs w:val="20"/>
          <w:lang w:eastAsia="en-US"/>
        </w:rPr>
        <w:t>This risk is minimised through the Annual Investment Strategy, which is available on the Authority’s website.</w:t>
      </w:r>
    </w:p>
    <w:p w14:paraId="646D2A7B" w14:textId="77777777" w:rsidR="00AD5120" w:rsidRPr="00AD5120" w:rsidRDefault="00AD5120" w:rsidP="00AD5120">
      <w:pPr>
        <w:rPr>
          <w:snapToGrid w:val="0"/>
          <w:szCs w:val="20"/>
          <w:lang w:eastAsia="en-US"/>
        </w:rPr>
      </w:pPr>
    </w:p>
    <w:p w14:paraId="4B0394CA" w14:textId="77777777" w:rsidR="00AD5120" w:rsidRPr="00360DAF" w:rsidRDefault="00AD5120" w:rsidP="00AD5120">
      <w:pPr>
        <w:rPr>
          <w:b/>
          <w:iCs/>
          <w:snapToGrid w:val="0"/>
          <w:szCs w:val="20"/>
          <w:lang w:eastAsia="en-US"/>
        </w:rPr>
      </w:pPr>
      <w:r w:rsidRPr="00360DAF">
        <w:rPr>
          <w:b/>
          <w:iCs/>
          <w:snapToGrid w:val="0"/>
          <w:szCs w:val="20"/>
          <w:lang w:eastAsia="en-US"/>
        </w:rPr>
        <w:t>Credit Risk Management Practices</w:t>
      </w:r>
    </w:p>
    <w:p w14:paraId="636FD6A2" w14:textId="77777777" w:rsidR="00AD5120" w:rsidRPr="00AD5120" w:rsidRDefault="00AD5120" w:rsidP="00AD5120">
      <w:pPr>
        <w:rPr>
          <w:snapToGrid w:val="0"/>
          <w:szCs w:val="20"/>
          <w:lang w:eastAsia="en-US"/>
        </w:rPr>
      </w:pPr>
    </w:p>
    <w:p w14:paraId="5489E91B" w14:textId="77777777" w:rsidR="00AD5120" w:rsidRPr="00AD5120" w:rsidRDefault="00AD5120" w:rsidP="00AD5120">
      <w:pPr>
        <w:rPr>
          <w:snapToGrid w:val="0"/>
          <w:szCs w:val="20"/>
          <w:lang w:eastAsia="en-US"/>
        </w:rPr>
      </w:pPr>
      <w:r w:rsidRPr="00AD5120">
        <w:rPr>
          <w:snapToGrid w:val="0"/>
          <w:szCs w:val="20"/>
          <w:lang w:eastAsia="en-US"/>
        </w:rPr>
        <w:t xml:space="preserve">The authority’s credit risk management practices are set out in section </w:t>
      </w:r>
      <w:r w:rsidR="00B07ACB">
        <w:rPr>
          <w:snapToGrid w:val="0"/>
          <w:szCs w:val="20"/>
          <w:lang w:eastAsia="en-US"/>
        </w:rPr>
        <w:t>8</w:t>
      </w:r>
      <w:r w:rsidRPr="00AD5120">
        <w:rPr>
          <w:snapToGrid w:val="0"/>
          <w:szCs w:val="20"/>
          <w:lang w:eastAsia="en-US"/>
        </w:rPr>
        <w:t>.2</w:t>
      </w:r>
      <w:r w:rsidR="00B07ACB">
        <w:rPr>
          <w:snapToGrid w:val="0"/>
          <w:szCs w:val="20"/>
          <w:lang w:eastAsia="en-US"/>
        </w:rPr>
        <w:t>-3</w:t>
      </w:r>
      <w:r w:rsidRPr="00AD5120">
        <w:rPr>
          <w:snapToGrid w:val="0"/>
          <w:szCs w:val="20"/>
          <w:lang w:eastAsia="en-US"/>
        </w:rPr>
        <w:t xml:space="preserve"> of the Annual Investment Strategy, which forms part of the </w:t>
      </w:r>
      <w:r w:rsidR="00BC0AA6">
        <w:rPr>
          <w:snapToGrid w:val="0"/>
          <w:szCs w:val="20"/>
          <w:lang w:eastAsia="en-US"/>
        </w:rPr>
        <w:t>c</w:t>
      </w:r>
      <w:r w:rsidRPr="00AD5120">
        <w:rPr>
          <w:snapToGrid w:val="0"/>
          <w:szCs w:val="20"/>
          <w:lang w:eastAsia="en-US"/>
        </w:rPr>
        <w:t xml:space="preserve">ouncil’s Treasury Strategy for the year. With </w:t>
      </w:r>
      <w:proofErr w:type="gramStart"/>
      <w:r w:rsidRPr="00AD5120">
        <w:rPr>
          <w:snapToGrid w:val="0"/>
          <w:szCs w:val="20"/>
          <w:lang w:eastAsia="en-US"/>
        </w:rPr>
        <w:t>particular regard</w:t>
      </w:r>
      <w:proofErr w:type="gramEnd"/>
      <w:r w:rsidRPr="00AD5120">
        <w:rPr>
          <w:snapToGrid w:val="0"/>
          <w:szCs w:val="20"/>
          <w:lang w:eastAsia="en-US"/>
        </w:rPr>
        <w:t xml:space="preserve"> to determining whether the credit risk of financial instruments has increased significantly since initial recognition.</w:t>
      </w:r>
    </w:p>
    <w:p w14:paraId="49C08BFF" w14:textId="77777777" w:rsidR="00AD5120" w:rsidRPr="00AD5120" w:rsidRDefault="00AD5120" w:rsidP="00AD5120">
      <w:pPr>
        <w:rPr>
          <w:snapToGrid w:val="0"/>
          <w:szCs w:val="20"/>
          <w:lang w:eastAsia="en-US"/>
        </w:rPr>
      </w:pPr>
    </w:p>
    <w:p w14:paraId="7AC791A5" w14:textId="77777777" w:rsidR="00AD5120" w:rsidRPr="00AD5120" w:rsidRDefault="00AD5120" w:rsidP="00AD5120">
      <w:pPr>
        <w:rPr>
          <w:snapToGrid w:val="0"/>
          <w:szCs w:val="20"/>
          <w:lang w:eastAsia="en-US"/>
        </w:rPr>
      </w:pPr>
      <w:r w:rsidRPr="00AD5120">
        <w:rPr>
          <w:snapToGrid w:val="0"/>
          <w:szCs w:val="20"/>
          <w:lang w:eastAsia="en-US"/>
        </w:rPr>
        <w:t>The Annual Investment Strategy:</w:t>
      </w:r>
    </w:p>
    <w:p w14:paraId="552B693E" w14:textId="77777777" w:rsidR="00AD5120" w:rsidRPr="00AD5120" w:rsidRDefault="00AD5120" w:rsidP="00E948BF">
      <w:pPr>
        <w:pStyle w:val="ListParagraph"/>
        <w:numPr>
          <w:ilvl w:val="0"/>
          <w:numId w:val="27"/>
        </w:numPr>
        <w:rPr>
          <w:snapToGrid w:val="0"/>
          <w:szCs w:val="20"/>
          <w:lang w:eastAsia="en-US"/>
        </w:rPr>
      </w:pPr>
      <w:r w:rsidRPr="00AD5120">
        <w:rPr>
          <w:snapToGrid w:val="0"/>
          <w:szCs w:val="20"/>
          <w:lang w:eastAsia="en-US"/>
        </w:rPr>
        <w:t>requires that deposits are not made with financial institutions unless they meet identified minimum credit criteria, in accordance with the Fitch, Moody’s and Standard &amp; Poor’s Credit Ratings Services, and</w:t>
      </w:r>
    </w:p>
    <w:p w14:paraId="7D714490" w14:textId="77777777" w:rsidR="00AD5120" w:rsidRPr="00AD5120" w:rsidRDefault="00AD5120" w:rsidP="00E948BF">
      <w:pPr>
        <w:pStyle w:val="ListParagraph"/>
        <w:numPr>
          <w:ilvl w:val="0"/>
          <w:numId w:val="27"/>
        </w:numPr>
        <w:rPr>
          <w:snapToGrid w:val="0"/>
          <w:szCs w:val="20"/>
          <w:lang w:eastAsia="en-US"/>
        </w:rPr>
      </w:pPr>
      <w:r w:rsidRPr="00AD5120">
        <w:rPr>
          <w:snapToGrid w:val="0"/>
          <w:szCs w:val="20"/>
          <w:lang w:eastAsia="en-US"/>
        </w:rPr>
        <w:t xml:space="preserve">it also considers maximum amounts and time limits with a financial institution located in each category.  </w:t>
      </w:r>
    </w:p>
    <w:p w14:paraId="7D604EBB" w14:textId="77777777" w:rsidR="00AD5120" w:rsidRPr="00AD5120" w:rsidRDefault="00AD5120" w:rsidP="00AD5120">
      <w:pPr>
        <w:rPr>
          <w:snapToGrid w:val="0"/>
          <w:szCs w:val="20"/>
          <w:lang w:eastAsia="en-US"/>
        </w:rPr>
      </w:pPr>
    </w:p>
    <w:p w14:paraId="72B9570A" w14:textId="77777777" w:rsidR="00AD5120" w:rsidRPr="00AD5120" w:rsidRDefault="00AD5120" w:rsidP="00AD5120">
      <w:pPr>
        <w:rPr>
          <w:snapToGrid w:val="0"/>
          <w:szCs w:val="20"/>
          <w:lang w:eastAsia="en-US"/>
        </w:rPr>
      </w:pPr>
      <w:r w:rsidRPr="00AD5120">
        <w:rPr>
          <w:snapToGrid w:val="0"/>
          <w:szCs w:val="20"/>
          <w:lang w:eastAsia="en-US"/>
        </w:rPr>
        <w:t xml:space="preserve">This </w:t>
      </w:r>
      <w:r w:rsidR="00BC0AA6">
        <w:rPr>
          <w:snapToGrid w:val="0"/>
          <w:szCs w:val="20"/>
          <w:lang w:eastAsia="en-US"/>
        </w:rPr>
        <w:t>c</w:t>
      </w:r>
      <w:r w:rsidRPr="00AD5120">
        <w:rPr>
          <w:snapToGrid w:val="0"/>
          <w:szCs w:val="20"/>
          <w:lang w:eastAsia="en-US"/>
        </w:rPr>
        <w:t xml:space="preserve">ouncil uses the creditworthiness service provided by its external treasury management advisors.  This service uses a sophisticated modelling approach with credit ratings from all three rating agencies, </w:t>
      </w:r>
      <w:proofErr w:type="spellStart"/>
      <w:r w:rsidRPr="00AD5120">
        <w:rPr>
          <w:snapToGrid w:val="0"/>
          <w:szCs w:val="20"/>
          <w:lang w:eastAsia="en-US"/>
        </w:rPr>
        <w:t>ie</w:t>
      </w:r>
      <w:proofErr w:type="spellEnd"/>
      <w:r w:rsidRPr="00AD5120">
        <w:rPr>
          <w:snapToGrid w:val="0"/>
          <w:szCs w:val="20"/>
          <w:lang w:eastAsia="en-US"/>
        </w:rPr>
        <w:t xml:space="preserve"> Fitch, Moody’s and Standard and Poor’s, forming the core element.  However, it does not rely solely on the current credit ratings of counterparties but also uses the following as overlays: </w:t>
      </w:r>
    </w:p>
    <w:p w14:paraId="4B4D0541" w14:textId="77777777" w:rsidR="00AD5120" w:rsidRPr="00AD5120" w:rsidRDefault="00AD5120" w:rsidP="00E948BF">
      <w:pPr>
        <w:pStyle w:val="ListParagraph"/>
        <w:numPr>
          <w:ilvl w:val="0"/>
          <w:numId w:val="28"/>
        </w:numPr>
        <w:rPr>
          <w:snapToGrid w:val="0"/>
          <w:szCs w:val="20"/>
          <w:lang w:eastAsia="en-US"/>
        </w:rPr>
      </w:pPr>
      <w:r w:rsidRPr="00AD5120">
        <w:rPr>
          <w:snapToGrid w:val="0"/>
          <w:szCs w:val="20"/>
          <w:lang w:eastAsia="en-US"/>
        </w:rPr>
        <w:t>credit watches and credit outlooks from credit rating agencies</w:t>
      </w:r>
    </w:p>
    <w:p w14:paraId="64CF7ABC" w14:textId="77777777" w:rsidR="00AD5120" w:rsidRPr="00AD5120" w:rsidRDefault="00AD5120" w:rsidP="00E948BF">
      <w:pPr>
        <w:pStyle w:val="ListParagraph"/>
        <w:numPr>
          <w:ilvl w:val="0"/>
          <w:numId w:val="28"/>
        </w:numPr>
        <w:rPr>
          <w:snapToGrid w:val="0"/>
          <w:szCs w:val="20"/>
          <w:lang w:eastAsia="en-US"/>
        </w:rPr>
      </w:pPr>
      <w:r w:rsidRPr="00AD5120">
        <w:rPr>
          <w:snapToGrid w:val="0"/>
          <w:szCs w:val="20"/>
          <w:lang w:eastAsia="en-US"/>
        </w:rPr>
        <w:t xml:space="preserve">Credit Default Swap spreads (an indication of the level of risk involved in lending to a </w:t>
      </w:r>
      <w:proofErr w:type="gramStart"/>
      <w:r w:rsidRPr="00AD5120">
        <w:rPr>
          <w:snapToGrid w:val="0"/>
          <w:szCs w:val="20"/>
          <w:lang w:eastAsia="en-US"/>
        </w:rPr>
        <w:t>particular organisation</w:t>
      </w:r>
      <w:proofErr w:type="gramEnd"/>
      <w:r w:rsidRPr="00AD5120">
        <w:rPr>
          <w:snapToGrid w:val="0"/>
          <w:szCs w:val="20"/>
          <w:lang w:eastAsia="en-US"/>
        </w:rPr>
        <w:t>) to give early warning of likely changes in credit ratings</w:t>
      </w:r>
    </w:p>
    <w:p w14:paraId="06A45C43" w14:textId="77777777" w:rsidR="00AD5120" w:rsidRPr="00AD5120" w:rsidRDefault="00AD5120" w:rsidP="00E948BF">
      <w:pPr>
        <w:pStyle w:val="ListParagraph"/>
        <w:numPr>
          <w:ilvl w:val="0"/>
          <w:numId w:val="28"/>
        </w:numPr>
        <w:rPr>
          <w:snapToGrid w:val="0"/>
          <w:szCs w:val="20"/>
          <w:lang w:eastAsia="en-US"/>
        </w:rPr>
      </w:pPr>
      <w:r w:rsidRPr="00AD5120">
        <w:rPr>
          <w:snapToGrid w:val="0"/>
          <w:szCs w:val="20"/>
          <w:lang w:eastAsia="en-US"/>
        </w:rPr>
        <w:t>sovereign ratings to select counterparties from only the most creditworthy countries</w:t>
      </w:r>
    </w:p>
    <w:p w14:paraId="6A742146" w14:textId="77777777" w:rsidR="00AD5120" w:rsidRPr="00AD5120" w:rsidRDefault="00AD5120" w:rsidP="00AD5120">
      <w:pPr>
        <w:rPr>
          <w:snapToGrid w:val="0"/>
          <w:szCs w:val="20"/>
          <w:lang w:eastAsia="en-US"/>
        </w:rPr>
      </w:pPr>
    </w:p>
    <w:p w14:paraId="042D5758" w14:textId="2F405A23" w:rsidR="00AD5120" w:rsidRPr="00AD5120" w:rsidRDefault="00AD5120" w:rsidP="00AD5120">
      <w:pPr>
        <w:rPr>
          <w:snapToGrid w:val="0"/>
          <w:szCs w:val="20"/>
          <w:lang w:eastAsia="en-US"/>
        </w:rPr>
      </w:pPr>
      <w:r w:rsidRPr="00AD5120">
        <w:rPr>
          <w:snapToGrid w:val="0"/>
          <w:szCs w:val="20"/>
          <w:lang w:eastAsia="en-US"/>
        </w:rPr>
        <w:t xml:space="preserve">The full Investment Strategy for </w:t>
      </w:r>
      <w:r w:rsidR="00730F02">
        <w:rPr>
          <w:snapToGrid w:val="0"/>
          <w:szCs w:val="20"/>
          <w:lang w:eastAsia="en-US"/>
        </w:rPr>
        <w:t>2020/21</w:t>
      </w:r>
      <w:r w:rsidRPr="00AD5120">
        <w:rPr>
          <w:snapToGrid w:val="0"/>
          <w:szCs w:val="20"/>
          <w:lang w:eastAsia="en-US"/>
        </w:rPr>
        <w:t xml:space="preserve"> was approved by Full Council on 2</w:t>
      </w:r>
      <w:r w:rsidR="00730F02">
        <w:rPr>
          <w:snapToGrid w:val="0"/>
          <w:szCs w:val="20"/>
          <w:lang w:eastAsia="en-US"/>
        </w:rPr>
        <w:t>6</w:t>
      </w:r>
      <w:r w:rsidRPr="00AD5120">
        <w:rPr>
          <w:snapToGrid w:val="0"/>
          <w:szCs w:val="20"/>
          <w:lang w:eastAsia="en-US"/>
        </w:rPr>
        <w:t>th February 20</w:t>
      </w:r>
      <w:r w:rsidR="00730F02">
        <w:rPr>
          <w:snapToGrid w:val="0"/>
          <w:szCs w:val="20"/>
          <w:lang w:eastAsia="en-US"/>
        </w:rPr>
        <w:t>20</w:t>
      </w:r>
      <w:r w:rsidRPr="00AD5120">
        <w:rPr>
          <w:snapToGrid w:val="0"/>
          <w:szCs w:val="20"/>
          <w:lang w:eastAsia="en-US"/>
        </w:rPr>
        <w:t xml:space="preserve"> and is available on the </w:t>
      </w:r>
      <w:r w:rsidR="00BC0AA6">
        <w:rPr>
          <w:snapToGrid w:val="0"/>
          <w:szCs w:val="20"/>
          <w:lang w:eastAsia="en-US"/>
        </w:rPr>
        <w:t>c</w:t>
      </w:r>
      <w:r w:rsidRPr="00AD5120">
        <w:rPr>
          <w:snapToGrid w:val="0"/>
          <w:szCs w:val="20"/>
          <w:lang w:eastAsia="en-US"/>
        </w:rPr>
        <w:t>ouncil’s website.</w:t>
      </w:r>
    </w:p>
    <w:p w14:paraId="5A7C876F" w14:textId="77777777" w:rsidR="00AD5120" w:rsidRPr="00AD5120" w:rsidRDefault="00AD5120" w:rsidP="00AD5120">
      <w:pPr>
        <w:rPr>
          <w:snapToGrid w:val="0"/>
          <w:szCs w:val="20"/>
          <w:lang w:eastAsia="en-US"/>
        </w:rPr>
      </w:pPr>
    </w:p>
    <w:p w14:paraId="76649D90" w14:textId="77777777" w:rsidR="00664D02" w:rsidRDefault="00664D02">
      <w:pPr>
        <w:jc w:val="left"/>
        <w:rPr>
          <w:b/>
          <w:snapToGrid w:val="0"/>
          <w:szCs w:val="20"/>
          <w:lang w:eastAsia="en-US"/>
        </w:rPr>
      </w:pPr>
      <w:r>
        <w:rPr>
          <w:b/>
          <w:snapToGrid w:val="0"/>
          <w:szCs w:val="20"/>
          <w:lang w:eastAsia="en-US"/>
        </w:rPr>
        <w:br w:type="page"/>
      </w:r>
    </w:p>
    <w:p w14:paraId="0CFDA144" w14:textId="77777777" w:rsidR="00AD5120" w:rsidRPr="00AD5120" w:rsidRDefault="00AD5120" w:rsidP="00AD5120">
      <w:pPr>
        <w:rPr>
          <w:b/>
          <w:snapToGrid w:val="0"/>
          <w:szCs w:val="20"/>
          <w:lang w:eastAsia="en-US"/>
        </w:rPr>
      </w:pPr>
      <w:r w:rsidRPr="00AD5120">
        <w:rPr>
          <w:b/>
          <w:snapToGrid w:val="0"/>
          <w:szCs w:val="20"/>
          <w:lang w:eastAsia="en-US"/>
        </w:rPr>
        <w:t>Expected Credit Loss</w:t>
      </w:r>
    </w:p>
    <w:p w14:paraId="79205C3B" w14:textId="77777777" w:rsidR="00AD5120" w:rsidRPr="00AD5120" w:rsidRDefault="00AD5120" w:rsidP="00AD5120">
      <w:pPr>
        <w:rPr>
          <w:snapToGrid w:val="0"/>
          <w:szCs w:val="20"/>
          <w:lang w:eastAsia="en-US"/>
        </w:rPr>
      </w:pPr>
    </w:p>
    <w:p w14:paraId="697F3BEB" w14:textId="77777777" w:rsidR="00AD5120" w:rsidRPr="00AD5120" w:rsidRDefault="00AD5120" w:rsidP="00AD5120">
      <w:pPr>
        <w:rPr>
          <w:snapToGrid w:val="0"/>
          <w:szCs w:val="20"/>
          <w:lang w:eastAsia="en-US"/>
        </w:rPr>
      </w:pPr>
      <w:r w:rsidRPr="00AD5120">
        <w:rPr>
          <w:snapToGrid w:val="0"/>
          <w:szCs w:val="20"/>
          <w:lang w:eastAsia="en-US"/>
        </w:rPr>
        <w:t xml:space="preserve">The </w:t>
      </w:r>
      <w:r w:rsidR="00BC0AA6">
        <w:rPr>
          <w:snapToGrid w:val="0"/>
          <w:szCs w:val="20"/>
          <w:lang w:eastAsia="en-US"/>
        </w:rPr>
        <w:t>c</w:t>
      </w:r>
      <w:r w:rsidRPr="00AD5120">
        <w:rPr>
          <w:snapToGrid w:val="0"/>
          <w:szCs w:val="20"/>
          <w:lang w:eastAsia="en-US"/>
        </w:rPr>
        <w:t>ouncil is required to disclose any material expected credit loss on its financial assets held at the end of the financial year, both in the following twelve months and over the lifetime of those assets.</w:t>
      </w:r>
    </w:p>
    <w:p w14:paraId="512A8335" w14:textId="77777777" w:rsidR="00AD5120" w:rsidRPr="00AD5120" w:rsidRDefault="00AD5120" w:rsidP="00AD5120">
      <w:pPr>
        <w:rPr>
          <w:snapToGrid w:val="0"/>
          <w:szCs w:val="20"/>
          <w:lang w:eastAsia="en-US"/>
        </w:rPr>
      </w:pPr>
    </w:p>
    <w:p w14:paraId="66F8641D" w14:textId="77777777" w:rsidR="00AD5120" w:rsidRPr="00AD5120" w:rsidRDefault="00AD5120" w:rsidP="00AD5120">
      <w:pPr>
        <w:rPr>
          <w:snapToGrid w:val="0"/>
          <w:szCs w:val="20"/>
          <w:lang w:eastAsia="en-US"/>
        </w:rPr>
      </w:pPr>
      <w:r w:rsidRPr="00AD5120">
        <w:rPr>
          <w:snapToGrid w:val="0"/>
          <w:szCs w:val="20"/>
          <w:lang w:eastAsia="en-US"/>
        </w:rPr>
        <w:t xml:space="preserve">The </w:t>
      </w:r>
      <w:r w:rsidR="00BC0AA6">
        <w:rPr>
          <w:snapToGrid w:val="0"/>
          <w:szCs w:val="20"/>
          <w:lang w:eastAsia="en-US"/>
        </w:rPr>
        <w:t>c</w:t>
      </w:r>
      <w:r w:rsidRPr="00AD5120">
        <w:rPr>
          <w:snapToGrid w:val="0"/>
          <w:szCs w:val="20"/>
          <w:lang w:eastAsia="en-US"/>
        </w:rPr>
        <w:t>ouncil’s material financial assets consist of a combination of:</w:t>
      </w:r>
    </w:p>
    <w:p w14:paraId="6225A0E6" w14:textId="77777777" w:rsidR="00AD5120" w:rsidRPr="00AD5120" w:rsidRDefault="00AD5120" w:rsidP="00E948BF">
      <w:pPr>
        <w:pStyle w:val="ListParagraph"/>
        <w:numPr>
          <w:ilvl w:val="0"/>
          <w:numId w:val="29"/>
        </w:numPr>
        <w:rPr>
          <w:snapToGrid w:val="0"/>
          <w:szCs w:val="20"/>
          <w:lang w:eastAsia="en-US"/>
        </w:rPr>
      </w:pPr>
      <w:r w:rsidRPr="00AD5120">
        <w:rPr>
          <w:snapToGrid w:val="0"/>
          <w:szCs w:val="20"/>
          <w:lang w:eastAsia="en-US"/>
        </w:rPr>
        <w:t>deposits and investments, all of which have a life of less than twelve months, and</w:t>
      </w:r>
    </w:p>
    <w:p w14:paraId="589A74C4" w14:textId="77777777" w:rsidR="00AD5120" w:rsidRPr="00AD5120" w:rsidRDefault="00AD5120" w:rsidP="00E948BF">
      <w:pPr>
        <w:pStyle w:val="ListParagraph"/>
        <w:numPr>
          <w:ilvl w:val="0"/>
          <w:numId w:val="29"/>
        </w:numPr>
        <w:rPr>
          <w:snapToGrid w:val="0"/>
          <w:szCs w:val="20"/>
          <w:lang w:eastAsia="en-US"/>
        </w:rPr>
      </w:pPr>
      <w:r w:rsidRPr="00AD5120">
        <w:rPr>
          <w:snapToGrid w:val="0"/>
          <w:szCs w:val="20"/>
          <w:lang w:eastAsia="en-US"/>
        </w:rPr>
        <w:t>short term debtors for trade receivables</w:t>
      </w:r>
    </w:p>
    <w:p w14:paraId="387E5B8B" w14:textId="77777777" w:rsidR="00AD5120" w:rsidRPr="00AD5120" w:rsidRDefault="00AD5120" w:rsidP="00AD5120">
      <w:pPr>
        <w:rPr>
          <w:snapToGrid w:val="0"/>
          <w:szCs w:val="20"/>
          <w:lang w:eastAsia="en-US"/>
        </w:rPr>
      </w:pPr>
    </w:p>
    <w:p w14:paraId="628AC341" w14:textId="17DC6401" w:rsidR="003045F5" w:rsidRPr="00AD5120" w:rsidRDefault="00AD5120" w:rsidP="00AD5120">
      <w:pPr>
        <w:rPr>
          <w:snapToGrid w:val="0"/>
          <w:szCs w:val="20"/>
          <w:lang w:eastAsia="en-US"/>
        </w:rPr>
      </w:pPr>
      <w:r w:rsidRPr="00AD5120">
        <w:rPr>
          <w:snapToGrid w:val="0"/>
          <w:szCs w:val="20"/>
          <w:lang w:eastAsia="en-US"/>
        </w:rPr>
        <w:t xml:space="preserve">The </w:t>
      </w:r>
      <w:r w:rsidR="00BC0AA6">
        <w:rPr>
          <w:snapToGrid w:val="0"/>
          <w:szCs w:val="20"/>
          <w:lang w:eastAsia="en-US"/>
        </w:rPr>
        <w:t>c</w:t>
      </w:r>
      <w:r w:rsidRPr="00AD5120">
        <w:rPr>
          <w:snapToGrid w:val="0"/>
          <w:szCs w:val="20"/>
          <w:lang w:eastAsia="en-US"/>
        </w:rPr>
        <w:t xml:space="preserve">ouncil’s maximum exposure to credit risk in relation to its investments in financial institutions cannot be assessed generally as the risk of any institution failing to make interest payments or repay the principal sum will be specific to each individual institution. As noted above, the </w:t>
      </w:r>
      <w:r w:rsidR="00BC0AA6">
        <w:rPr>
          <w:snapToGrid w:val="0"/>
          <w:szCs w:val="20"/>
          <w:lang w:eastAsia="en-US"/>
        </w:rPr>
        <w:t>c</w:t>
      </w:r>
      <w:r w:rsidRPr="00AD5120">
        <w:rPr>
          <w:snapToGrid w:val="0"/>
          <w:szCs w:val="20"/>
          <w:lang w:eastAsia="en-US"/>
        </w:rPr>
        <w:t>ouncil’s Investment Strategy restricts investments to a narrow range of counterparties. At 31 March 20</w:t>
      </w:r>
      <w:r w:rsidR="009E5008">
        <w:rPr>
          <w:snapToGrid w:val="0"/>
          <w:szCs w:val="20"/>
          <w:lang w:eastAsia="en-US"/>
        </w:rPr>
        <w:t>2</w:t>
      </w:r>
      <w:r w:rsidR="00EE5C7B">
        <w:rPr>
          <w:snapToGrid w:val="0"/>
          <w:szCs w:val="20"/>
          <w:lang w:eastAsia="en-US"/>
        </w:rPr>
        <w:t>1</w:t>
      </w:r>
      <w:r w:rsidRPr="00AD5120">
        <w:rPr>
          <w:snapToGrid w:val="0"/>
          <w:szCs w:val="20"/>
          <w:lang w:eastAsia="en-US"/>
        </w:rPr>
        <w:t xml:space="preserve"> it had deposits totalling £</w:t>
      </w:r>
      <w:r w:rsidR="00EE5C7B">
        <w:rPr>
          <w:snapToGrid w:val="0"/>
          <w:szCs w:val="20"/>
          <w:lang w:eastAsia="en-US"/>
        </w:rPr>
        <w:t>44</w:t>
      </w:r>
      <w:r w:rsidR="00454BA9">
        <w:rPr>
          <w:snapToGrid w:val="0"/>
          <w:szCs w:val="20"/>
          <w:lang w:eastAsia="en-US"/>
        </w:rPr>
        <w:t>.1</w:t>
      </w:r>
      <w:r w:rsidR="00EE5C7B">
        <w:rPr>
          <w:snapToGrid w:val="0"/>
          <w:szCs w:val="20"/>
          <w:lang w:eastAsia="en-US"/>
        </w:rPr>
        <w:t>63</w:t>
      </w:r>
      <w:r w:rsidRPr="00AD5120">
        <w:rPr>
          <w:snapToGrid w:val="0"/>
          <w:szCs w:val="20"/>
          <w:lang w:eastAsia="en-US"/>
        </w:rPr>
        <w:t>m (£</w:t>
      </w:r>
      <w:r w:rsidR="00EE5C7B">
        <w:rPr>
          <w:snapToGrid w:val="0"/>
          <w:szCs w:val="20"/>
          <w:lang w:eastAsia="en-US"/>
        </w:rPr>
        <w:t>50.118</w:t>
      </w:r>
      <w:r w:rsidR="00EE5C7B" w:rsidRPr="00AD5120">
        <w:rPr>
          <w:snapToGrid w:val="0"/>
          <w:szCs w:val="20"/>
          <w:lang w:eastAsia="en-US"/>
        </w:rPr>
        <w:t>m</w:t>
      </w:r>
      <w:r w:rsidRPr="00AD5120">
        <w:rPr>
          <w:snapToGrid w:val="0"/>
          <w:szCs w:val="20"/>
          <w:lang w:eastAsia="en-US"/>
        </w:rPr>
        <w:t xml:space="preserve"> at 31 March 20</w:t>
      </w:r>
      <w:r w:rsidR="00EE5C7B">
        <w:rPr>
          <w:snapToGrid w:val="0"/>
          <w:szCs w:val="20"/>
          <w:lang w:eastAsia="en-US"/>
        </w:rPr>
        <w:t>20</w:t>
      </w:r>
      <w:r w:rsidRPr="00AD5120">
        <w:rPr>
          <w:snapToGrid w:val="0"/>
          <w:szCs w:val="20"/>
          <w:lang w:eastAsia="en-US"/>
        </w:rPr>
        <w:t xml:space="preserve">) with </w:t>
      </w:r>
      <w:proofErr w:type="gramStart"/>
      <w:r w:rsidRPr="00AD5120">
        <w:rPr>
          <w:snapToGrid w:val="0"/>
          <w:szCs w:val="20"/>
          <w:lang w:eastAsia="en-US"/>
        </w:rPr>
        <w:t>a number of</w:t>
      </w:r>
      <w:proofErr w:type="gramEnd"/>
      <w:r w:rsidRPr="00AD5120">
        <w:rPr>
          <w:snapToGrid w:val="0"/>
          <w:szCs w:val="20"/>
          <w:lang w:eastAsia="en-US"/>
        </w:rPr>
        <w:t xml:space="preserve"> different institutions. Recent experience has shown that it is rare for such entities to be unable to meet their commitments. Review of the specific deposits and investments held at 31 March 20</w:t>
      </w:r>
      <w:r w:rsidR="009E5008">
        <w:rPr>
          <w:snapToGrid w:val="0"/>
          <w:szCs w:val="20"/>
          <w:lang w:eastAsia="en-US"/>
        </w:rPr>
        <w:t>2</w:t>
      </w:r>
      <w:r w:rsidR="00EE5C7B">
        <w:rPr>
          <w:snapToGrid w:val="0"/>
          <w:szCs w:val="20"/>
          <w:lang w:eastAsia="en-US"/>
        </w:rPr>
        <w:t>1</w:t>
      </w:r>
      <w:r w:rsidR="003045F5">
        <w:rPr>
          <w:snapToGrid w:val="0"/>
          <w:szCs w:val="20"/>
          <w:lang w:eastAsia="en-US"/>
        </w:rPr>
        <w:t>, including consideration of the uncertainties result</w:t>
      </w:r>
      <w:r w:rsidR="008F4D26">
        <w:rPr>
          <w:snapToGrid w:val="0"/>
          <w:szCs w:val="20"/>
          <w:lang w:eastAsia="en-US"/>
        </w:rPr>
        <w:t>ing</w:t>
      </w:r>
      <w:r w:rsidR="003045F5">
        <w:rPr>
          <w:snapToGrid w:val="0"/>
          <w:szCs w:val="20"/>
          <w:lang w:eastAsia="en-US"/>
        </w:rPr>
        <w:t xml:space="preserve"> from the </w:t>
      </w:r>
      <w:proofErr w:type="spellStart"/>
      <w:r w:rsidR="003045F5">
        <w:rPr>
          <w:snapToGrid w:val="0"/>
          <w:szCs w:val="20"/>
          <w:lang w:eastAsia="en-US"/>
        </w:rPr>
        <w:t>Covid</w:t>
      </w:r>
      <w:proofErr w:type="spellEnd"/>
      <w:r w:rsidR="003045F5">
        <w:rPr>
          <w:snapToGrid w:val="0"/>
          <w:szCs w:val="20"/>
          <w:lang w:eastAsia="en-US"/>
        </w:rPr>
        <w:t xml:space="preserve"> 19 pandemic,</w:t>
      </w:r>
      <w:r w:rsidRPr="00AD5120">
        <w:rPr>
          <w:snapToGrid w:val="0"/>
          <w:szCs w:val="20"/>
          <w:lang w:eastAsia="en-US"/>
        </w:rPr>
        <w:t xml:space="preserve"> has indicated that there is no material risk of credit loss.</w:t>
      </w:r>
    </w:p>
    <w:p w14:paraId="007173B4" w14:textId="77777777" w:rsidR="00AD5120" w:rsidRPr="00AD5120" w:rsidRDefault="00AD5120" w:rsidP="00AD5120">
      <w:pPr>
        <w:rPr>
          <w:snapToGrid w:val="0"/>
          <w:szCs w:val="20"/>
          <w:lang w:eastAsia="en-US"/>
        </w:rPr>
      </w:pPr>
    </w:p>
    <w:p w14:paraId="1B7060C3" w14:textId="551DEEBC" w:rsidR="00AD5120" w:rsidRPr="00AD5120" w:rsidRDefault="00AD5120" w:rsidP="00AD5120">
      <w:pPr>
        <w:rPr>
          <w:snapToGrid w:val="0"/>
          <w:szCs w:val="20"/>
          <w:lang w:eastAsia="en-US"/>
        </w:rPr>
      </w:pPr>
      <w:r w:rsidRPr="00AD5120">
        <w:rPr>
          <w:snapToGrid w:val="0"/>
          <w:szCs w:val="20"/>
          <w:lang w:eastAsia="en-US"/>
        </w:rPr>
        <w:t>Assessment of the expected credit loss on the outstanding balance of trade receivables is made using a provision matrix based on the age of the outstanding debt and previous experience of recovery rates. At 31 March 20</w:t>
      </w:r>
      <w:r w:rsidR="00441041">
        <w:rPr>
          <w:snapToGrid w:val="0"/>
          <w:szCs w:val="20"/>
          <w:lang w:eastAsia="en-US"/>
        </w:rPr>
        <w:t>2</w:t>
      </w:r>
      <w:r w:rsidR="00EE5C7B">
        <w:rPr>
          <w:snapToGrid w:val="0"/>
          <w:szCs w:val="20"/>
          <w:lang w:eastAsia="en-US"/>
        </w:rPr>
        <w:t>1</w:t>
      </w:r>
      <w:r w:rsidRPr="00AD5120">
        <w:rPr>
          <w:snapToGrid w:val="0"/>
          <w:szCs w:val="20"/>
          <w:lang w:eastAsia="en-US"/>
        </w:rPr>
        <w:t xml:space="preserve">, the outstanding gross </w:t>
      </w:r>
      <w:r w:rsidRPr="00CE6DB6">
        <w:rPr>
          <w:snapToGrid w:val="0"/>
          <w:szCs w:val="20"/>
          <w:lang w:eastAsia="en-US"/>
        </w:rPr>
        <w:t xml:space="preserve">amount was </w:t>
      </w:r>
      <w:r w:rsidRPr="00B305AD">
        <w:rPr>
          <w:snapToGrid w:val="0"/>
          <w:szCs w:val="20"/>
          <w:lang w:eastAsia="en-US"/>
        </w:rPr>
        <w:t>£</w:t>
      </w:r>
      <w:r w:rsidR="00A82F80">
        <w:rPr>
          <w:snapToGrid w:val="0"/>
          <w:szCs w:val="20"/>
          <w:lang w:eastAsia="en-US"/>
        </w:rPr>
        <w:t>3</w:t>
      </w:r>
      <w:r w:rsidR="00C05AFF" w:rsidRPr="00B305AD">
        <w:rPr>
          <w:snapToGrid w:val="0"/>
          <w:szCs w:val="20"/>
          <w:lang w:eastAsia="en-US"/>
        </w:rPr>
        <w:t>.</w:t>
      </w:r>
      <w:r w:rsidR="00A82F80">
        <w:rPr>
          <w:snapToGrid w:val="0"/>
          <w:szCs w:val="20"/>
          <w:lang w:eastAsia="en-US"/>
        </w:rPr>
        <w:t>40</w:t>
      </w:r>
      <w:r w:rsidR="00B305AD" w:rsidRPr="00B305AD">
        <w:rPr>
          <w:snapToGrid w:val="0"/>
          <w:szCs w:val="20"/>
          <w:lang w:eastAsia="en-US"/>
        </w:rPr>
        <w:t>3</w:t>
      </w:r>
      <w:r w:rsidRPr="00B305AD">
        <w:rPr>
          <w:snapToGrid w:val="0"/>
          <w:szCs w:val="20"/>
          <w:lang w:eastAsia="en-US"/>
        </w:rPr>
        <w:t>m (£</w:t>
      </w:r>
      <w:r w:rsidR="00EE5C7B" w:rsidRPr="00B305AD">
        <w:rPr>
          <w:snapToGrid w:val="0"/>
          <w:szCs w:val="20"/>
          <w:lang w:eastAsia="en-US"/>
        </w:rPr>
        <w:t xml:space="preserve">1.773m </w:t>
      </w:r>
      <w:r w:rsidRPr="00B305AD">
        <w:rPr>
          <w:snapToGrid w:val="0"/>
          <w:szCs w:val="20"/>
          <w:lang w:eastAsia="en-US"/>
        </w:rPr>
        <w:t>at 31 March 20</w:t>
      </w:r>
      <w:r w:rsidR="00EE5C7B">
        <w:rPr>
          <w:snapToGrid w:val="0"/>
          <w:szCs w:val="20"/>
          <w:lang w:eastAsia="en-US"/>
        </w:rPr>
        <w:t>20</w:t>
      </w:r>
      <w:r w:rsidRPr="00B305AD">
        <w:rPr>
          <w:snapToGrid w:val="0"/>
          <w:szCs w:val="20"/>
          <w:lang w:eastAsia="en-US"/>
        </w:rPr>
        <w:t>) and the maximum exposure to credit loss was assessed as £</w:t>
      </w:r>
      <w:r w:rsidR="00A82F80">
        <w:rPr>
          <w:snapToGrid w:val="0"/>
          <w:szCs w:val="20"/>
          <w:lang w:eastAsia="en-US"/>
        </w:rPr>
        <w:t>2</w:t>
      </w:r>
      <w:r w:rsidR="007F532A" w:rsidRPr="00B305AD">
        <w:rPr>
          <w:snapToGrid w:val="0"/>
          <w:szCs w:val="20"/>
          <w:lang w:eastAsia="en-US"/>
        </w:rPr>
        <w:t>.</w:t>
      </w:r>
      <w:r w:rsidR="00A82F80">
        <w:rPr>
          <w:snapToGrid w:val="0"/>
          <w:szCs w:val="20"/>
          <w:lang w:eastAsia="en-US"/>
        </w:rPr>
        <w:t>0</w:t>
      </w:r>
      <w:r w:rsidR="00B305AD" w:rsidRPr="00B305AD">
        <w:rPr>
          <w:snapToGrid w:val="0"/>
          <w:szCs w:val="20"/>
          <w:lang w:eastAsia="en-US"/>
        </w:rPr>
        <w:t>8</w:t>
      </w:r>
      <w:r w:rsidR="00A82F80">
        <w:rPr>
          <w:snapToGrid w:val="0"/>
          <w:szCs w:val="20"/>
          <w:lang w:eastAsia="en-US"/>
        </w:rPr>
        <w:t>3</w:t>
      </w:r>
      <w:r w:rsidRPr="00B305AD">
        <w:rPr>
          <w:snapToGrid w:val="0"/>
          <w:szCs w:val="20"/>
          <w:lang w:eastAsia="en-US"/>
        </w:rPr>
        <w:t>m</w:t>
      </w:r>
      <w:r w:rsidRPr="00CE6DB6">
        <w:rPr>
          <w:snapToGrid w:val="0"/>
          <w:szCs w:val="20"/>
          <w:lang w:eastAsia="en-US"/>
        </w:rPr>
        <w:t xml:space="preserve"> (£</w:t>
      </w:r>
      <w:r w:rsidR="00EE5C7B" w:rsidRPr="00B305AD">
        <w:rPr>
          <w:snapToGrid w:val="0"/>
          <w:szCs w:val="20"/>
          <w:lang w:eastAsia="en-US"/>
        </w:rPr>
        <w:t>0.486m</w:t>
      </w:r>
      <w:r w:rsidR="00EE5C7B" w:rsidRPr="00CE6DB6">
        <w:rPr>
          <w:snapToGrid w:val="0"/>
          <w:szCs w:val="20"/>
          <w:lang w:eastAsia="en-US"/>
        </w:rPr>
        <w:t xml:space="preserve"> </w:t>
      </w:r>
      <w:r w:rsidRPr="00CE6DB6">
        <w:rPr>
          <w:snapToGrid w:val="0"/>
          <w:szCs w:val="20"/>
          <w:lang w:eastAsia="en-US"/>
        </w:rPr>
        <w:t>at 31 March 20</w:t>
      </w:r>
      <w:r w:rsidR="00EE5C7B">
        <w:rPr>
          <w:snapToGrid w:val="0"/>
          <w:szCs w:val="20"/>
          <w:lang w:eastAsia="en-US"/>
        </w:rPr>
        <w:t>20</w:t>
      </w:r>
      <w:r w:rsidRPr="00CE6DB6">
        <w:rPr>
          <w:snapToGrid w:val="0"/>
          <w:szCs w:val="20"/>
          <w:lang w:eastAsia="en-US"/>
        </w:rPr>
        <w:t>). The risk of loss has been fully provided for. No collateral is held as security.</w:t>
      </w:r>
    </w:p>
    <w:p w14:paraId="413CDE4D" w14:textId="77777777" w:rsidR="00AD5120" w:rsidRPr="00AD5120" w:rsidRDefault="00AD5120" w:rsidP="00AD5120">
      <w:pPr>
        <w:rPr>
          <w:snapToGrid w:val="0"/>
          <w:szCs w:val="20"/>
          <w:lang w:eastAsia="en-US"/>
        </w:rPr>
      </w:pPr>
    </w:p>
    <w:p w14:paraId="5728FD8F" w14:textId="77777777" w:rsidR="00287C75" w:rsidRPr="00EC06E7" w:rsidRDefault="00287C75" w:rsidP="002E2503">
      <w:pPr>
        <w:rPr>
          <w:b/>
          <w:snapToGrid w:val="0"/>
          <w:szCs w:val="20"/>
          <w:lang w:eastAsia="en-US"/>
        </w:rPr>
      </w:pPr>
      <w:r w:rsidRPr="00480F28">
        <w:rPr>
          <w:b/>
          <w:snapToGrid w:val="0"/>
          <w:szCs w:val="20"/>
          <w:lang w:eastAsia="en-US"/>
        </w:rPr>
        <w:t>Liquidity risk</w:t>
      </w:r>
    </w:p>
    <w:p w14:paraId="5A944757" w14:textId="77777777" w:rsidR="00500C92" w:rsidRPr="00EC06E7" w:rsidRDefault="00500C92" w:rsidP="002E2503">
      <w:pPr>
        <w:rPr>
          <w:snapToGrid w:val="0"/>
          <w:szCs w:val="20"/>
          <w:lang w:eastAsia="en-US"/>
        </w:rPr>
      </w:pPr>
    </w:p>
    <w:p w14:paraId="0581C022" w14:textId="77777777" w:rsidR="00500C92" w:rsidRPr="00EC06E7" w:rsidRDefault="00287C75" w:rsidP="002E2503">
      <w:pPr>
        <w:rPr>
          <w:snapToGrid w:val="0"/>
          <w:szCs w:val="20"/>
          <w:lang w:eastAsia="en-US"/>
        </w:rPr>
      </w:pPr>
      <w:r w:rsidRPr="00EC06E7">
        <w:rPr>
          <w:snapToGrid w:val="0"/>
          <w:szCs w:val="20"/>
          <w:lang w:eastAsia="en-US"/>
        </w:rPr>
        <w:t>The authority has ready access to borrowing from the Public Works Loan Board and the money markets.  There is therefore no significant risk that it will be unable to raise finance to meet its commitments.</w:t>
      </w:r>
    </w:p>
    <w:p w14:paraId="5DB47E90" w14:textId="77777777" w:rsidR="00500C92" w:rsidRPr="00EC06E7" w:rsidRDefault="00500C92" w:rsidP="002E2503">
      <w:pPr>
        <w:rPr>
          <w:snapToGrid w:val="0"/>
          <w:szCs w:val="20"/>
          <w:lang w:eastAsia="en-US"/>
        </w:rPr>
      </w:pPr>
    </w:p>
    <w:p w14:paraId="70684C93" w14:textId="77777777" w:rsidR="00287C75" w:rsidRPr="00EC06E7" w:rsidRDefault="00287C75" w:rsidP="002E2503">
      <w:pPr>
        <w:rPr>
          <w:snapToGrid w:val="0"/>
          <w:szCs w:val="20"/>
          <w:lang w:eastAsia="en-US"/>
        </w:rPr>
      </w:pPr>
      <w:r w:rsidRPr="00EC06E7">
        <w:rPr>
          <w:snapToGrid w:val="0"/>
          <w:szCs w:val="20"/>
          <w:lang w:eastAsia="en-US"/>
        </w:rPr>
        <w:t xml:space="preserve">The </w:t>
      </w:r>
      <w:r w:rsidR="00BC0AA6">
        <w:rPr>
          <w:snapToGrid w:val="0"/>
          <w:szCs w:val="20"/>
          <w:lang w:eastAsia="en-US"/>
        </w:rPr>
        <w:t>c</w:t>
      </w:r>
      <w:r w:rsidRPr="00EC06E7">
        <w:rPr>
          <w:snapToGrid w:val="0"/>
          <w:szCs w:val="20"/>
          <w:lang w:eastAsia="en-US"/>
        </w:rPr>
        <w:t xml:space="preserve">ouncil manages its liquidity position through the risk management procedures outlined above as well as through cash flow management procedures required by the </w:t>
      </w:r>
      <w:r w:rsidR="00BC0AA6">
        <w:rPr>
          <w:snapToGrid w:val="0"/>
          <w:szCs w:val="20"/>
          <w:lang w:eastAsia="en-US"/>
        </w:rPr>
        <w:t>c</w:t>
      </w:r>
      <w:r w:rsidRPr="00EC06E7">
        <w:rPr>
          <w:snapToGrid w:val="0"/>
          <w:szCs w:val="20"/>
          <w:lang w:eastAsia="en-US"/>
        </w:rPr>
        <w:t>ouncil.</w:t>
      </w:r>
    </w:p>
    <w:p w14:paraId="6C4EA3AD" w14:textId="77777777" w:rsidR="00287C75" w:rsidRPr="00EC06E7" w:rsidRDefault="00287C75" w:rsidP="002E2503">
      <w:pPr>
        <w:tabs>
          <w:tab w:val="left" w:pos="4536"/>
          <w:tab w:val="left" w:pos="5103"/>
          <w:tab w:val="left" w:pos="5954"/>
          <w:tab w:val="left" w:pos="6096"/>
          <w:tab w:val="left" w:pos="7797"/>
          <w:tab w:val="left" w:pos="8080"/>
          <w:tab w:val="left" w:pos="8222"/>
          <w:tab w:val="left" w:pos="8364"/>
          <w:tab w:val="left" w:pos="8505"/>
          <w:tab w:val="left" w:pos="8647"/>
          <w:tab w:val="left" w:pos="9072"/>
          <w:tab w:val="left" w:pos="9214"/>
        </w:tabs>
        <w:rPr>
          <w:rFonts w:cs="Arial"/>
          <w:b/>
          <w:szCs w:val="22"/>
          <w:lang w:eastAsia="en-US"/>
        </w:rPr>
      </w:pPr>
    </w:p>
    <w:p w14:paraId="1FEA22DA" w14:textId="77777777" w:rsidR="00287C75" w:rsidRPr="00EC06E7" w:rsidRDefault="00287C75" w:rsidP="002E2503">
      <w:pPr>
        <w:tabs>
          <w:tab w:val="left" w:pos="4536"/>
          <w:tab w:val="left" w:pos="5103"/>
          <w:tab w:val="left" w:pos="5954"/>
          <w:tab w:val="left" w:pos="6096"/>
          <w:tab w:val="left" w:pos="7797"/>
          <w:tab w:val="left" w:pos="8080"/>
          <w:tab w:val="left" w:pos="8222"/>
          <w:tab w:val="left" w:pos="8364"/>
          <w:tab w:val="left" w:pos="8505"/>
          <w:tab w:val="left" w:pos="8647"/>
          <w:tab w:val="left" w:pos="9072"/>
          <w:tab w:val="left" w:pos="9214"/>
        </w:tabs>
        <w:rPr>
          <w:rFonts w:cs="Arial"/>
          <w:b/>
          <w:szCs w:val="22"/>
          <w:lang w:eastAsia="en-US"/>
        </w:rPr>
      </w:pPr>
      <w:r w:rsidRPr="00480F28">
        <w:rPr>
          <w:rFonts w:cs="Arial"/>
          <w:b/>
          <w:szCs w:val="22"/>
          <w:lang w:eastAsia="en-US"/>
        </w:rPr>
        <w:t>Market risk</w:t>
      </w:r>
    </w:p>
    <w:p w14:paraId="7447DA89" w14:textId="77777777" w:rsidR="00500C92" w:rsidRPr="00EC06E7" w:rsidRDefault="00500C92" w:rsidP="002E2503">
      <w:pPr>
        <w:tabs>
          <w:tab w:val="left" w:pos="4536"/>
          <w:tab w:val="left" w:pos="5103"/>
          <w:tab w:val="left" w:pos="5954"/>
          <w:tab w:val="left" w:pos="6096"/>
          <w:tab w:val="left" w:pos="7797"/>
          <w:tab w:val="left" w:pos="8080"/>
          <w:tab w:val="left" w:pos="8222"/>
          <w:tab w:val="left" w:pos="8364"/>
          <w:tab w:val="left" w:pos="8505"/>
          <w:tab w:val="left" w:pos="8647"/>
          <w:tab w:val="left" w:pos="9072"/>
          <w:tab w:val="left" w:pos="9214"/>
        </w:tabs>
        <w:rPr>
          <w:rFonts w:cs="Arial"/>
          <w:b/>
          <w:szCs w:val="22"/>
          <w:lang w:eastAsia="en-US"/>
        </w:rPr>
      </w:pPr>
    </w:p>
    <w:p w14:paraId="0397B5B4" w14:textId="77777777" w:rsidR="00287C75" w:rsidRPr="00EC06E7" w:rsidRDefault="00287C75" w:rsidP="002E2503">
      <w:pPr>
        <w:rPr>
          <w:snapToGrid w:val="0"/>
          <w:szCs w:val="20"/>
          <w:lang w:eastAsia="en-US"/>
        </w:rPr>
      </w:pPr>
      <w:r w:rsidRPr="00EC06E7">
        <w:rPr>
          <w:snapToGrid w:val="0"/>
          <w:szCs w:val="20"/>
          <w:u w:val="single"/>
          <w:lang w:eastAsia="en-US"/>
        </w:rPr>
        <w:t>Interest rate risk</w:t>
      </w:r>
      <w:r w:rsidRPr="00EC06E7">
        <w:rPr>
          <w:snapToGrid w:val="0"/>
          <w:szCs w:val="20"/>
          <w:lang w:eastAsia="en-US"/>
        </w:rPr>
        <w:t xml:space="preserve"> – The </w:t>
      </w:r>
      <w:r w:rsidR="00BC0AA6">
        <w:rPr>
          <w:snapToGrid w:val="0"/>
          <w:szCs w:val="20"/>
          <w:lang w:eastAsia="en-US"/>
        </w:rPr>
        <w:t>c</w:t>
      </w:r>
      <w:r w:rsidRPr="00EC06E7">
        <w:rPr>
          <w:snapToGrid w:val="0"/>
          <w:szCs w:val="20"/>
          <w:lang w:eastAsia="en-US"/>
        </w:rPr>
        <w:t xml:space="preserve">ouncil has limited exposure to interest rate movements on its investments. Short term investments are not carried at fair value on the </w:t>
      </w:r>
      <w:r w:rsidR="002938E7">
        <w:rPr>
          <w:snapToGrid w:val="0"/>
          <w:szCs w:val="20"/>
          <w:lang w:eastAsia="en-US"/>
        </w:rPr>
        <w:t>B</w:t>
      </w:r>
      <w:r w:rsidRPr="00EC06E7">
        <w:rPr>
          <w:snapToGrid w:val="0"/>
          <w:szCs w:val="20"/>
          <w:lang w:eastAsia="en-US"/>
        </w:rPr>
        <w:t xml:space="preserve">alance </w:t>
      </w:r>
      <w:r w:rsidR="002938E7">
        <w:rPr>
          <w:snapToGrid w:val="0"/>
          <w:szCs w:val="20"/>
          <w:lang w:eastAsia="en-US"/>
        </w:rPr>
        <w:t>S</w:t>
      </w:r>
      <w:r w:rsidRPr="00EC06E7">
        <w:rPr>
          <w:snapToGrid w:val="0"/>
          <w:szCs w:val="20"/>
          <w:lang w:eastAsia="en-US"/>
        </w:rPr>
        <w:t xml:space="preserve">heet, so nominal gains and losses on fixed rate investments do not impact on the </w:t>
      </w:r>
      <w:r w:rsidR="00E70E71" w:rsidRPr="00EC06E7">
        <w:rPr>
          <w:snapToGrid w:val="0"/>
          <w:szCs w:val="20"/>
          <w:lang w:eastAsia="en-US"/>
        </w:rPr>
        <w:t>Surplus or Deficit on the Provision of Service or Other Comprehensive Income and Expenditure</w:t>
      </w:r>
      <w:r w:rsidRPr="00EC06E7">
        <w:rPr>
          <w:snapToGrid w:val="0"/>
          <w:szCs w:val="20"/>
          <w:lang w:eastAsia="en-US"/>
        </w:rPr>
        <w:t>.</w:t>
      </w:r>
    </w:p>
    <w:p w14:paraId="6E227EA6" w14:textId="77777777" w:rsidR="00E70E71" w:rsidRPr="00EC06E7" w:rsidRDefault="00E70E71" w:rsidP="002E2503">
      <w:pPr>
        <w:rPr>
          <w:snapToGrid w:val="0"/>
          <w:szCs w:val="20"/>
          <w:lang w:eastAsia="en-US"/>
        </w:rPr>
      </w:pPr>
    </w:p>
    <w:p w14:paraId="3C61925A" w14:textId="77777777" w:rsidR="00287C75" w:rsidRPr="00EC06E7" w:rsidRDefault="00287C75" w:rsidP="002E2503">
      <w:pPr>
        <w:rPr>
          <w:snapToGrid w:val="0"/>
          <w:szCs w:val="20"/>
          <w:lang w:eastAsia="en-US"/>
        </w:rPr>
      </w:pPr>
      <w:r w:rsidRPr="00EC06E7">
        <w:rPr>
          <w:snapToGrid w:val="0"/>
          <w:szCs w:val="20"/>
          <w:lang w:eastAsia="en-US"/>
        </w:rPr>
        <w:t>To mitigate risk the Treasury Strategy reviews interest rate forecasts and fixes prudential indicators for fixed and variable interest rate exposure.</w:t>
      </w:r>
    </w:p>
    <w:p w14:paraId="06385DD7" w14:textId="77777777" w:rsidR="00FD7828" w:rsidRPr="00EC06E7" w:rsidRDefault="00FD7828" w:rsidP="002E2503">
      <w:pPr>
        <w:rPr>
          <w:snapToGrid w:val="0"/>
          <w:szCs w:val="20"/>
          <w:lang w:eastAsia="en-US"/>
        </w:rPr>
      </w:pPr>
    </w:p>
    <w:p w14:paraId="3B74BE19" w14:textId="77777777" w:rsidR="004F76AC" w:rsidRPr="0046009A" w:rsidRDefault="00287C75" w:rsidP="007F7857">
      <w:pPr>
        <w:rPr>
          <w:rFonts w:cs="Arial"/>
          <w:szCs w:val="22"/>
          <w:lang w:eastAsia="en-US"/>
        </w:rPr>
      </w:pPr>
      <w:r w:rsidRPr="00EC06E7">
        <w:rPr>
          <w:snapToGrid w:val="0"/>
          <w:szCs w:val="20"/>
          <w:lang w:eastAsia="en-US"/>
        </w:rPr>
        <w:t xml:space="preserve">If all </w:t>
      </w:r>
      <w:r w:rsidR="0012217A" w:rsidRPr="00EC06E7">
        <w:rPr>
          <w:snapToGrid w:val="0"/>
          <w:szCs w:val="20"/>
          <w:lang w:eastAsia="en-US"/>
        </w:rPr>
        <w:t xml:space="preserve">variable </w:t>
      </w:r>
      <w:r w:rsidRPr="00EC06E7">
        <w:rPr>
          <w:snapToGrid w:val="0"/>
          <w:szCs w:val="20"/>
          <w:lang w:eastAsia="en-US"/>
        </w:rPr>
        <w:t xml:space="preserve">interest rates had been 1% higher (with all other variables held constant) </w:t>
      </w:r>
      <w:r w:rsidRPr="0046009A">
        <w:rPr>
          <w:snapToGrid w:val="0"/>
          <w:szCs w:val="20"/>
          <w:lang w:eastAsia="en-US"/>
        </w:rPr>
        <w:t>the financial effect would have been</w:t>
      </w:r>
      <w:r w:rsidR="00FD7828" w:rsidRPr="0046009A">
        <w:rPr>
          <w:snapToGrid w:val="0"/>
          <w:szCs w:val="20"/>
          <w:lang w:eastAsia="en-US"/>
        </w:rPr>
        <w:t xml:space="preserve"> as shown in the following table:</w:t>
      </w:r>
    </w:p>
    <w:p w14:paraId="08AD9961" w14:textId="77777777" w:rsidR="00D20C2D" w:rsidRPr="0046009A" w:rsidRDefault="00D20C2D">
      <w:pPr>
        <w:jc w:val="left"/>
        <w:rPr>
          <w:rFonts w:cs="Arial"/>
          <w:szCs w:val="22"/>
          <w:lang w:eastAsia="en-US"/>
        </w:rPr>
      </w:pPr>
    </w:p>
    <w:tbl>
      <w:tblPr>
        <w:tblW w:w="9639"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8386"/>
        <w:gridCol w:w="1253"/>
      </w:tblGrid>
      <w:tr w:rsidR="00287C75" w:rsidRPr="0046009A" w14:paraId="3E2E8735" w14:textId="77777777" w:rsidTr="00D20C2D">
        <w:trPr>
          <w:trHeight w:val="416"/>
        </w:trPr>
        <w:tc>
          <w:tcPr>
            <w:tcW w:w="838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6E1DEFB" w14:textId="77777777" w:rsidR="00287C75" w:rsidRPr="0046009A" w:rsidRDefault="00287C75" w:rsidP="00D02225">
            <w:pPr>
              <w:tabs>
                <w:tab w:val="left" w:pos="4536"/>
                <w:tab w:val="left" w:pos="5103"/>
                <w:tab w:val="left" w:pos="5954"/>
                <w:tab w:val="left" w:pos="6096"/>
                <w:tab w:val="left" w:pos="7797"/>
                <w:tab w:val="left" w:pos="8080"/>
                <w:tab w:val="left" w:pos="8222"/>
                <w:tab w:val="left" w:pos="8364"/>
                <w:tab w:val="left" w:pos="8505"/>
                <w:tab w:val="left" w:pos="8647"/>
                <w:tab w:val="left" w:pos="9072"/>
                <w:tab w:val="left" w:pos="9214"/>
              </w:tabs>
              <w:rPr>
                <w:rFonts w:cs="Arial"/>
                <w:szCs w:val="22"/>
                <w:lang w:eastAsia="en-US"/>
              </w:rPr>
            </w:pPr>
          </w:p>
        </w:tc>
        <w:tc>
          <w:tcPr>
            <w:tcW w:w="1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233F444" w14:textId="77777777" w:rsidR="00287C75" w:rsidRPr="0046009A" w:rsidRDefault="00287C75" w:rsidP="00D02225">
            <w:pPr>
              <w:tabs>
                <w:tab w:val="left" w:pos="4536"/>
                <w:tab w:val="left" w:pos="5103"/>
                <w:tab w:val="left" w:pos="5954"/>
                <w:tab w:val="left" w:pos="6096"/>
                <w:tab w:val="left" w:pos="7797"/>
                <w:tab w:val="left" w:pos="8080"/>
                <w:tab w:val="left" w:pos="8222"/>
                <w:tab w:val="left" w:pos="8364"/>
                <w:tab w:val="left" w:pos="8505"/>
                <w:tab w:val="left" w:pos="8647"/>
                <w:tab w:val="left" w:pos="9072"/>
                <w:tab w:val="left" w:pos="9214"/>
              </w:tabs>
              <w:jc w:val="center"/>
              <w:rPr>
                <w:rFonts w:cs="Arial"/>
                <w:b/>
                <w:szCs w:val="22"/>
                <w:lang w:eastAsia="en-US"/>
              </w:rPr>
            </w:pPr>
            <w:r w:rsidRPr="0046009A">
              <w:rPr>
                <w:rFonts w:cs="Arial"/>
                <w:b/>
                <w:szCs w:val="22"/>
                <w:lang w:eastAsia="en-US"/>
              </w:rPr>
              <w:t>£’000</w:t>
            </w:r>
          </w:p>
        </w:tc>
      </w:tr>
      <w:tr w:rsidR="00287C75" w:rsidRPr="0046009A" w14:paraId="2283C1DD" w14:textId="77777777" w:rsidTr="00CE6DB6">
        <w:trPr>
          <w:trHeight w:val="454"/>
        </w:trPr>
        <w:tc>
          <w:tcPr>
            <w:tcW w:w="8386" w:type="dxa"/>
            <w:tcBorders>
              <w:top w:val="single" w:sz="4" w:space="0" w:color="auto"/>
              <w:bottom w:val="single" w:sz="4" w:space="0" w:color="BFBFBF" w:themeColor="background1" w:themeShade="BF"/>
              <w:right w:val="single" w:sz="4" w:space="0" w:color="BFBFBF" w:themeColor="background1" w:themeShade="BF"/>
            </w:tcBorders>
            <w:vAlign w:val="center"/>
          </w:tcPr>
          <w:p w14:paraId="1A05C011" w14:textId="77777777" w:rsidR="00287C75" w:rsidRPr="0046009A" w:rsidRDefault="00287C75" w:rsidP="00D02225">
            <w:pPr>
              <w:tabs>
                <w:tab w:val="left" w:pos="4536"/>
                <w:tab w:val="left" w:pos="5103"/>
                <w:tab w:val="left" w:pos="5954"/>
                <w:tab w:val="left" w:pos="6096"/>
                <w:tab w:val="left" w:pos="7797"/>
                <w:tab w:val="left" w:pos="8080"/>
                <w:tab w:val="left" w:pos="8222"/>
                <w:tab w:val="left" w:pos="8364"/>
                <w:tab w:val="left" w:pos="8505"/>
                <w:tab w:val="left" w:pos="8647"/>
                <w:tab w:val="left" w:pos="9072"/>
                <w:tab w:val="left" w:pos="9214"/>
              </w:tabs>
              <w:rPr>
                <w:rFonts w:cs="Arial"/>
                <w:szCs w:val="22"/>
                <w:lang w:eastAsia="en-US"/>
              </w:rPr>
            </w:pPr>
            <w:r w:rsidRPr="0046009A">
              <w:rPr>
                <w:rFonts w:cs="Arial"/>
                <w:szCs w:val="22"/>
                <w:lang w:eastAsia="en-US"/>
              </w:rPr>
              <w:t>Gain - Increase in interest receivable on variable rate investments</w:t>
            </w:r>
          </w:p>
        </w:tc>
        <w:tc>
          <w:tcPr>
            <w:tcW w:w="1253" w:type="dxa"/>
            <w:tcBorders>
              <w:top w:val="single" w:sz="4" w:space="0" w:color="auto"/>
              <w:left w:val="single" w:sz="4" w:space="0" w:color="BFBFBF" w:themeColor="background1" w:themeShade="BF"/>
              <w:bottom w:val="single" w:sz="4" w:space="0" w:color="BFBFBF" w:themeColor="background1" w:themeShade="BF"/>
            </w:tcBorders>
            <w:shd w:val="clear" w:color="auto" w:fill="auto"/>
            <w:vAlign w:val="center"/>
          </w:tcPr>
          <w:p w14:paraId="69A60E69" w14:textId="5E59BD48" w:rsidR="00287C75" w:rsidRPr="0046009A" w:rsidRDefault="000D6075" w:rsidP="00D02225">
            <w:pPr>
              <w:tabs>
                <w:tab w:val="left" w:pos="4536"/>
                <w:tab w:val="left" w:pos="5103"/>
                <w:tab w:val="left" w:pos="5954"/>
                <w:tab w:val="left" w:pos="6096"/>
                <w:tab w:val="left" w:pos="7797"/>
                <w:tab w:val="left" w:pos="8080"/>
                <w:tab w:val="left" w:pos="8222"/>
                <w:tab w:val="left" w:pos="8364"/>
                <w:tab w:val="left" w:pos="8505"/>
                <w:tab w:val="left" w:pos="8647"/>
                <w:tab w:val="left" w:pos="9072"/>
                <w:tab w:val="left" w:pos="9214"/>
              </w:tabs>
              <w:ind w:right="240"/>
              <w:jc w:val="right"/>
              <w:rPr>
                <w:rFonts w:cs="Arial"/>
                <w:szCs w:val="22"/>
                <w:lang w:eastAsia="en-US"/>
              </w:rPr>
            </w:pPr>
            <w:r>
              <w:rPr>
                <w:rFonts w:cs="Arial"/>
                <w:szCs w:val="22"/>
                <w:lang w:eastAsia="en-US"/>
              </w:rPr>
              <w:t>491</w:t>
            </w:r>
          </w:p>
        </w:tc>
      </w:tr>
      <w:tr w:rsidR="00287C75" w:rsidRPr="0046009A" w14:paraId="34DBF2BB" w14:textId="77777777" w:rsidTr="00CE6DB6">
        <w:trPr>
          <w:trHeight w:val="404"/>
        </w:trPr>
        <w:tc>
          <w:tcPr>
            <w:tcW w:w="8386" w:type="dxa"/>
            <w:tcBorders>
              <w:top w:val="single" w:sz="4" w:space="0" w:color="BFBFBF" w:themeColor="background1" w:themeShade="BF"/>
              <w:bottom w:val="single" w:sz="4" w:space="0" w:color="auto"/>
              <w:right w:val="single" w:sz="4" w:space="0" w:color="BFBFBF" w:themeColor="background1" w:themeShade="BF"/>
            </w:tcBorders>
            <w:vAlign w:val="center"/>
          </w:tcPr>
          <w:p w14:paraId="33B10E75" w14:textId="77777777" w:rsidR="00287C75" w:rsidRPr="0046009A" w:rsidRDefault="00287C75" w:rsidP="0012217A">
            <w:pPr>
              <w:tabs>
                <w:tab w:val="left" w:pos="4536"/>
                <w:tab w:val="left" w:pos="5103"/>
                <w:tab w:val="left" w:pos="5954"/>
                <w:tab w:val="left" w:pos="6096"/>
                <w:tab w:val="left" w:pos="7797"/>
                <w:tab w:val="left" w:pos="8080"/>
                <w:tab w:val="left" w:pos="8222"/>
                <w:tab w:val="left" w:pos="8364"/>
                <w:tab w:val="left" w:pos="8505"/>
                <w:tab w:val="left" w:pos="8647"/>
                <w:tab w:val="left" w:pos="9072"/>
                <w:tab w:val="left" w:pos="9214"/>
              </w:tabs>
              <w:rPr>
                <w:rFonts w:cs="Arial"/>
                <w:szCs w:val="22"/>
                <w:lang w:eastAsia="en-US"/>
              </w:rPr>
            </w:pPr>
            <w:r w:rsidRPr="0046009A">
              <w:rPr>
                <w:rFonts w:cs="Arial"/>
                <w:szCs w:val="22"/>
                <w:lang w:eastAsia="en-US"/>
              </w:rPr>
              <w:t xml:space="preserve">Gain - Impact on </w:t>
            </w:r>
            <w:r w:rsidR="005530B4" w:rsidRPr="0046009A">
              <w:rPr>
                <w:rFonts w:cs="Arial"/>
                <w:szCs w:val="22"/>
                <w:lang w:eastAsia="en-US"/>
              </w:rPr>
              <w:t xml:space="preserve">the </w:t>
            </w:r>
            <w:r w:rsidR="0012217A" w:rsidRPr="0046009A">
              <w:rPr>
                <w:rFonts w:cs="Arial"/>
                <w:szCs w:val="22"/>
                <w:lang w:eastAsia="en-US"/>
              </w:rPr>
              <w:t>Surplus or Deficit on the Provision of Service</w:t>
            </w:r>
          </w:p>
        </w:tc>
        <w:tc>
          <w:tcPr>
            <w:tcW w:w="1253" w:type="dxa"/>
            <w:tcBorders>
              <w:top w:val="single" w:sz="4" w:space="0" w:color="BFBFBF" w:themeColor="background1" w:themeShade="BF"/>
              <w:left w:val="single" w:sz="4" w:space="0" w:color="BFBFBF" w:themeColor="background1" w:themeShade="BF"/>
              <w:bottom w:val="single" w:sz="4" w:space="0" w:color="auto"/>
            </w:tcBorders>
            <w:shd w:val="clear" w:color="auto" w:fill="auto"/>
            <w:vAlign w:val="center"/>
          </w:tcPr>
          <w:p w14:paraId="2A8469CF" w14:textId="39574D59" w:rsidR="00287C75" w:rsidRPr="0046009A" w:rsidRDefault="000D6075" w:rsidP="00D02225">
            <w:pPr>
              <w:tabs>
                <w:tab w:val="left" w:pos="4536"/>
                <w:tab w:val="left" w:pos="5103"/>
                <w:tab w:val="left" w:pos="5954"/>
                <w:tab w:val="left" w:pos="6096"/>
                <w:tab w:val="left" w:pos="7797"/>
                <w:tab w:val="left" w:pos="8080"/>
                <w:tab w:val="left" w:pos="8222"/>
                <w:tab w:val="left" w:pos="8364"/>
                <w:tab w:val="left" w:pos="8505"/>
                <w:tab w:val="left" w:pos="8647"/>
                <w:tab w:val="left" w:pos="9072"/>
                <w:tab w:val="left" w:pos="9214"/>
              </w:tabs>
              <w:ind w:right="240"/>
              <w:jc w:val="right"/>
              <w:rPr>
                <w:rFonts w:cs="Arial"/>
                <w:szCs w:val="22"/>
                <w:lang w:eastAsia="en-US"/>
              </w:rPr>
            </w:pPr>
            <w:r>
              <w:rPr>
                <w:rFonts w:cs="Arial"/>
                <w:szCs w:val="22"/>
                <w:lang w:eastAsia="en-US"/>
              </w:rPr>
              <w:t>491</w:t>
            </w:r>
          </w:p>
        </w:tc>
      </w:tr>
    </w:tbl>
    <w:p w14:paraId="74FBC32D" w14:textId="77777777" w:rsidR="00287C75" w:rsidRPr="0046009A" w:rsidRDefault="00287C75" w:rsidP="007F7857">
      <w:pPr>
        <w:rPr>
          <w:rFonts w:cs="Arial"/>
          <w:szCs w:val="22"/>
          <w:u w:val="single"/>
        </w:rPr>
      </w:pPr>
    </w:p>
    <w:p w14:paraId="797B8DFB" w14:textId="737ABB79" w:rsidR="00E70E71" w:rsidRPr="00EC06E7" w:rsidRDefault="00E70E71" w:rsidP="007F7857">
      <w:pPr>
        <w:rPr>
          <w:snapToGrid w:val="0"/>
          <w:szCs w:val="20"/>
          <w:lang w:eastAsia="en-US"/>
        </w:rPr>
      </w:pPr>
      <w:r w:rsidRPr="0046009A">
        <w:rPr>
          <w:snapToGrid w:val="0"/>
          <w:szCs w:val="20"/>
          <w:lang w:eastAsia="en-US"/>
        </w:rPr>
        <w:t>The impact of a 1% fall in interest rates would be as above but with the movements</w:t>
      </w:r>
      <w:r w:rsidRPr="00EC06E7">
        <w:rPr>
          <w:snapToGrid w:val="0"/>
          <w:szCs w:val="20"/>
          <w:lang w:eastAsia="en-US"/>
        </w:rPr>
        <w:t xml:space="preserve"> being reversed</w:t>
      </w:r>
      <w:r w:rsidR="000D6075">
        <w:rPr>
          <w:snapToGrid w:val="0"/>
          <w:szCs w:val="20"/>
          <w:lang w:eastAsia="en-US"/>
        </w:rPr>
        <w:t xml:space="preserve"> (although, in practice, given that the average rate of interest earned in 2020/21 was limited to 0.36% and earnings to £177k, the </w:t>
      </w:r>
      <w:r w:rsidR="002A2AE3">
        <w:rPr>
          <w:snapToGrid w:val="0"/>
          <w:szCs w:val="20"/>
          <w:lang w:eastAsia="en-US"/>
        </w:rPr>
        <w:t xml:space="preserve">maximum </w:t>
      </w:r>
      <w:r w:rsidR="000D6075">
        <w:rPr>
          <w:snapToGrid w:val="0"/>
          <w:szCs w:val="20"/>
          <w:lang w:eastAsia="en-US"/>
        </w:rPr>
        <w:t>level of possible loss was limited to this amount).</w:t>
      </w:r>
    </w:p>
    <w:p w14:paraId="48B70A71" w14:textId="4676FD61" w:rsidR="00664D02" w:rsidRPr="002A2AE3" w:rsidRDefault="00664D02">
      <w:pPr>
        <w:jc w:val="left"/>
        <w:rPr>
          <w:rFonts w:cs="Arial"/>
          <w:bCs/>
          <w:szCs w:val="22"/>
        </w:rPr>
      </w:pPr>
    </w:p>
    <w:p w14:paraId="31185E87" w14:textId="77777777" w:rsidR="00287C75" w:rsidRPr="00EC06E7" w:rsidRDefault="00287C75" w:rsidP="007F7857">
      <w:pPr>
        <w:rPr>
          <w:rFonts w:cs="Arial"/>
          <w:b/>
          <w:szCs w:val="22"/>
        </w:rPr>
      </w:pPr>
      <w:r w:rsidRPr="00480F28">
        <w:rPr>
          <w:rFonts w:cs="Arial"/>
          <w:b/>
          <w:szCs w:val="22"/>
        </w:rPr>
        <w:t>Price ris</w:t>
      </w:r>
      <w:r w:rsidR="00BC0AA6">
        <w:rPr>
          <w:rFonts w:cs="Arial"/>
          <w:b/>
          <w:szCs w:val="22"/>
        </w:rPr>
        <w:t>k</w:t>
      </w:r>
    </w:p>
    <w:p w14:paraId="0EEF33D8" w14:textId="77777777" w:rsidR="00287C75" w:rsidRPr="00EC06E7" w:rsidRDefault="00287C75" w:rsidP="007F7857">
      <w:pPr>
        <w:rPr>
          <w:rFonts w:cs="Arial"/>
          <w:szCs w:val="22"/>
        </w:rPr>
      </w:pPr>
    </w:p>
    <w:p w14:paraId="09A48DEF" w14:textId="77777777" w:rsidR="00287C75" w:rsidRPr="00EC06E7" w:rsidRDefault="00287C75" w:rsidP="007F7857">
      <w:pPr>
        <w:rPr>
          <w:snapToGrid w:val="0"/>
          <w:szCs w:val="20"/>
          <w:lang w:eastAsia="en-US"/>
        </w:rPr>
      </w:pPr>
      <w:r w:rsidRPr="00EC06E7">
        <w:rPr>
          <w:snapToGrid w:val="0"/>
          <w:szCs w:val="20"/>
          <w:lang w:eastAsia="en-US"/>
        </w:rPr>
        <w:t xml:space="preserve">The </w:t>
      </w:r>
      <w:r w:rsidR="00BC0AA6">
        <w:rPr>
          <w:snapToGrid w:val="0"/>
          <w:szCs w:val="20"/>
          <w:lang w:eastAsia="en-US"/>
        </w:rPr>
        <w:t>c</w:t>
      </w:r>
      <w:r w:rsidRPr="00EC06E7">
        <w:rPr>
          <w:snapToGrid w:val="0"/>
          <w:szCs w:val="20"/>
          <w:lang w:eastAsia="en-US"/>
        </w:rPr>
        <w:t xml:space="preserve">ouncil has no </w:t>
      </w:r>
      <w:r w:rsidR="00876A6E" w:rsidRPr="00EC06E7">
        <w:rPr>
          <w:snapToGrid w:val="0"/>
          <w:szCs w:val="20"/>
          <w:lang w:eastAsia="en-US"/>
        </w:rPr>
        <w:t xml:space="preserve">material </w:t>
      </w:r>
      <w:r w:rsidRPr="00EC06E7">
        <w:rPr>
          <w:snapToGrid w:val="0"/>
          <w:szCs w:val="20"/>
          <w:lang w:eastAsia="en-US"/>
        </w:rPr>
        <w:t>exposure to this risk.</w:t>
      </w:r>
    </w:p>
    <w:p w14:paraId="08E5C09A" w14:textId="77777777" w:rsidR="00287C75" w:rsidRPr="00EC06E7" w:rsidRDefault="00287C75" w:rsidP="007F7857"/>
    <w:p w14:paraId="711A7EF4" w14:textId="77777777" w:rsidR="00287C75" w:rsidRPr="00EC06E7" w:rsidRDefault="00287C75" w:rsidP="007F7857">
      <w:pPr>
        <w:rPr>
          <w:rFonts w:cs="Arial"/>
          <w:szCs w:val="22"/>
        </w:rPr>
      </w:pPr>
      <w:r w:rsidRPr="00480F28">
        <w:rPr>
          <w:rFonts w:cs="Arial"/>
          <w:b/>
          <w:szCs w:val="22"/>
        </w:rPr>
        <w:t>Foreign Exchange Risk</w:t>
      </w:r>
      <w:r w:rsidRPr="00EC06E7">
        <w:rPr>
          <w:rFonts w:cs="Arial"/>
          <w:b/>
          <w:szCs w:val="22"/>
        </w:rPr>
        <w:t xml:space="preserve"> </w:t>
      </w:r>
    </w:p>
    <w:p w14:paraId="20853A86" w14:textId="77777777" w:rsidR="00287C75" w:rsidRPr="00EC06E7" w:rsidRDefault="00287C75" w:rsidP="007F7857"/>
    <w:p w14:paraId="3222DF1A" w14:textId="77777777" w:rsidR="00287C75" w:rsidRPr="00EC06E7" w:rsidRDefault="00287C75" w:rsidP="007F7857">
      <w:pPr>
        <w:rPr>
          <w:snapToGrid w:val="0"/>
          <w:szCs w:val="20"/>
          <w:lang w:eastAsia="en-US"/>
        </w:rPr>
      </w:pPr>
      <w:r w:rsidRPr="00EC06E7">
        <w:rPr>
          <w:snapToGrid w:val="0"/>
          <w:szCs w:val="20"/>
          <w:lang w:eastAsia="en-US"/>
        </w:rPr>
        <w:t xml:space="preserve">The </w:t>
      </w:r>
      <w:r w:rsidR="00BC0AA6">
        <w:rPr>
          <w:snapToGrid w:val="0"/>
          <w:szCs w:val="20"/>
          <w:lang w:eastAsia="en-US"/>
        </w:rPr>
        <w:t>c</w:t>
      </w:r>
      <w:r w:rsidRPr="00EC06E7">
        <w:rPr>
          <w:snapToGrid w:val="0"/>
          <w:szCs w:val="20"/>
          <w:lang w:eastAsia="en-US"/>
        </w:rPr>
        <w:t>ouncil has no material exposure to this risk.</w:t>
      </w:r>
    </w:p>
    <w:p w14:paraId="7ED5B9AA" w14:textId="77777777" w:rsidR="00287C75" w:rsidRPr="00EC06E7" w:rsidRDefault="00287C75" w:rsidP="007F7857"/>
    <w:p w14:paraId="6840AB10" w14:textId="77777777" w:rsidR="00287C75" w:rsidRPr="00EC06E7" w:rsidRDefault="00287C75" w:rsidP="007F7857">
      <w:pPr>
        <w:rPr>
          <w:rFonts w:cs="Arial"/>
          <w:szCs w:val="22"/>
        </w:rPr>
      </w:pPr>
    </w:p>
    <w:p w14:paraId="13EF6BD8" w14:textId="2C16E7B6" w:rsidR="00C8113E" w:rsidRDefault="006E1448" w:rsidP="004E5A07">
      <w:pPr>
        <w:pStyle w:val="Heading2"/>
      </w:pPr>
      <w:bookmarkStart w:id="109" w:name="_Toc483390984"/>
      <w:bookmarkStart w:id="110" w:name="_Ref483392701"/>
      <w:bookmarkStart w:id="111" w:name="_Toc77603794"/>
      <w:r w:rsidRPr="001422EA">
        <w:t>Inventories</w:t>
      </w:r>
      <w:bookmarkEnd w:id="109"/>
      <w:bookmarkEnd w:id="110"/>
      <w:bookmarkEnd w:id="111"/>
    </w:p>
    <w:p w14:paraId="05C3FC0D" w14:textId="77777777" w:rsidR="00787436" w:rsidRPr="00787436" w:rsidRDefault="00787436" w:rsidP="00787436"/>
    <w:p w14:paraId="0E3D7DA8" w14:textId="43208840" w:rsidR="00877736" w:rsidRDefault="002C078F" w:rsidP="00877736">
      <w:r>
        <w:fldChar w:fldCharType="begin"/>
      </w:r>
      <w:r>
        <w:instrText xml:space="preserve"> LINK Excel.Sheet.12 "\\\\alpha\\accounts$\\CLOSURE\\Closure 20-21\\04 SoA Working Papers\\19 Inventories\\Note 19 Inventories 2020-21.xlsx!Embedded Table!R2C1:R10C7" "" \a \p </w:instrText>
      </w:r>
      <w:r>
        <w:fldChar w:fldCharType="separate"/>
      </w:r>
      <w:r w:rsidR="001C71EF">
        <w:object w:dxaOrig="11396" w:dyaOrig="4031" w14:anchorId="4DAA7FB3">
          <v:shape id="_x0000_i1050" type="#_x0000_t75" style="width:482.25pt;height:187.45pt" o:ole="">
            <v:imagedata r:id="rId77" o:title=""/>
            <o:lock v:ext="edit" aspectratio="f"/>
          </v:shape>
        </w:object>
      </w:r>
      <w:r>
        <w:fldChar w:fldCharType="end"/>
      </w:r>
    </w:p>
    <w:p w14:paraId="6BCD07C1" w14:textId="33AF566C" w:rsidR="00877736" w:rsidRDefault="00877736" w:rsidP="00877736"/>
    <w:p w14:paraId="57E8B08C" w14:textId="77777777" w:rsidR="009722D4" w:rsidRPr="00EC06E7" w:rsidRDefault="009722D4" w:rsidP="00C8113E">
      <w:pPr>
        <w:ind w:left="360" w:hanging="360"/>
        <w:rPr>
          <w:rFonts w:cs="Courier New"/>
          <w:szCs w:val="22"/>
        </w:rPr>
      </w:pPr>
    </w:p>
    <w:p w14:paraId="14C9D6FC" w14:textId="77777777" w:rsidR="00C8113E" w:rsidRPr="001422EA" w:rsidRDefault="006E1448" w:rsidP="004E5A07">
      <w:pPr>
        <w:pStyle w:val="Heading2"/>
      </w:pPr>
      <w:bookmarkStart w:id="112" w:name="_Toc483390985"/>
      <w:bookmarkStart w:id="113" w:name="_Ref483392711"/>
      <w:bookmarkStart w:id="114" w:name="_Ref483408412"/>
      <w:bookmarkStart w:id="115" w:name="_Toc77603795"/>
      <w:r w:rsidRPr="001422EA">
        <w:t>Short term debtors</w:t>
      </w:r>
      <w:bookmarkEnd w:id="112"/>
      <w:bookmarkEnd w:id="113"/>
      <w:bookmarkEnd w:id="114"/>
      <w:bookmarkEnd w:id="115"/>
    </w:p>
    <w:p w14:paraId="1E493925" w14:textId="4AA92469" w:rsidR="00C8113E" w:rsidRDefault="00C8113E" w:rsidP="00C8113E">
      <w:pPr>
        <w:ind w:left="360" w:hanging="360"/>
        <w:rPr>
          <w:rFonts w:cs="Courier New"/>
          <w:szCs w:val="22"/>
        </w:rPr>
      </w:pPr>
    </w:p>
    <w:p w14:paraId="55E6B7FE" w14:textId="649B65CE" w:rsidR="00787436" w:rsidRDefault="006F7BB8" w:rsidP="00C8113E">
      <w:pPr>
        <w:ind w:left="360" w:hanging="360"/>
        <w:rPr>
          <w:rFonts w:cs="Courier New"/>
          <w:szCs w:val="22"/>
        </w:rPr>
      </w:pPr>
      <w:r>
        <w:rPr>
          <w:rFonts w:cs="Courier New"/>
          <w:szCs w:val="22"/>
        </w:rPr>
        <w:fldChar w:fldCharType="begin"/>
      </w:r>
      <w:r>
        <w:rPr>
          <w:rFonts w:cs="Courier New"/>
          <w:szCs w:val="22"/>
        </w:rPr>
        <w:instrText xml:space="preserve"> LINK Excel.Sheet.12 "\\\\alpha\\accounts$\\CLOSURE\\Closure 20-21\\04 SoA Working Papers\\20 Short Term Debtors\\Note 20 Short Term Debtors 2020-21.xlsx!Embedded Table!R2C1:R10C3" "" \a \p </w:instrText>
      </w:r>
      <w:r>
        <w:rPr>
          <w:rFonts w:cs="Courier New"/>
          <w:szCs w:val="22"/>
        </w:rPr>
        <w:fldChar w:fldCharType="separate"/>
      </w:r>
      <w:r w:rsidR="001C71EF">
        <w:rPr>
          <w:rFonts w:cs="Courier New"/>
          <w:szCs w:val="22"/>
        </w:rPr>
        <w:object w:dxaOrig="10870" w:dyaOrig="2751" w14:anchorId="22FB2C0C">
          <v:shape id="_x0000_i1051" type="#_x0000_t75" style="width:474.8pt;height:129.75pt" o:ole="">
            <v:imagedata r:id="rId78" o:title=""/>
            <o:lock v:ext="edit" aspectratio="f"/>
          </v:shape>
        </w:object>
      </w:r>
      <w:r>
        <w:rPr>
          <w:rFonts w:cs="Courier New"/>
          <w:szCs w:val="22"/>
        </w:rPr>
        <w:fldChar w:fldCharType="end"/>
      </w:r>
    </w:p>
    <w:p w14:paraId="4506CB6F" w14:textId="77777777" w:rsidR="00787436" w:rsidRDefault="00787436" w:rsidP="00C8113E">
      <w:pPr>
        <w:ind w:left="360" w:hanging="360"/>
        <w:rPr>
          <w:rFonts w:cs="Courier New"/>
          <w:szCs w:val="22"/>
        </w:rPr>
      </w:pPr>
    </w:p>
    <w:p w14:paraId="7A2211BC" w14:textId="05AFFB2A" w:rsidR="00FF2166" w:rsidRDefault="00FF2166" w:rsidP="00C8113E">
      <w:pPr>
        <w:ind w:left="360" w:hanging="360"/>
        <w:rPr>
          <w:rFonts w:cs="Courier New"/>
          <w:szCs w:val="22"/>
        </w:rPr>
      </w:pPr>
    </w:p>
    <w:p w14:paraId="6EBC47E3" w14:textId="77777777" w:rsidR="00C8113E" w:rsidRPr="001422EA" w:rsidRDefault="006E1448" w:rsidP="004E5A07">
      <w:pPr>
        <w:pStyle w:val="Heading2"/>
      </w:pPr>
      <w:bookmarkStart w:id="116" w:name="_Toc483390986"/>
      <w:bookmarkStart w:id="117" w:name="_Ref483392718"/>
      <w:bookmarkStart w:id="118" w:name="_Ref483392722"/>
      <w:bookmarkStart w:id="119" w:name="_Ref483392962"/>
      <w:bookmarkStart w:id="120" w:name="_Ref483394632"/>
      <w:bookmarkStart w:id="121" w:name="_Toc77603796"/>
      <w:r w:rsidRPr="001422EA">
        <w:t>Cash and cash equivalents</w:t>
      </w:r>
      <w:bookmarkEnd w:id="116"/>
      <w:bookmarkEnd w:id="117"/>
      <w:bookmarkEnd w:id="118"/>
      <w:bookmarkEnd w:id="119"/>
      <w:bookmarkEnd w:id="120"/>
      <w:bookmarkEnd w:id="121"/>
    </w:p>
    <w:p w14:paraId="481ED36A" w14:textId="77777777" w:rsidR="00C8113E" w:rsidRPr="00EC06E7" w:rsidRDefault="00C8113E" w:rsidP="007F7857">
      <w:pPr>
        <w:rPr>
          <w:rFonts w:cs="Courier New"/>
          <w:szCs w:val="22"/>
        </w:rPr>
      </w:pPr>
    </w:p>
    <w:p w14:paraId="61A15E66" w14:textId="77777777" w:rsidR="000D7004" w:rsidRPr="00EC06E7" w:rsidRDefault="000D7004" w:rsidP="007F7857">
      <w:pPr>
        <w:rPr>
          <w:rFonts w:cs="Courier New"/>
          <w:szCs w:val="22"/>
        </w:rPr>
      </w:pPr>
      <w:r w:rsidRPr="00EC06E7">
        <w:rPr>
          <w:rFonts w:cs="Courier New"/>
          <w:szCs w:val="22"/>
        </w:rPr>
        <w:t>The balance of Cash and Cash Equivalents is made up of the following elements:</w:t>
      </w:r>
    </w:p>
    <w:p w14:paraId="06AF678B" w14:textId="0B627979" w:rsidR="004C3CFE" w:rsidRDefault="004C3CFE" w:rsidP="007F7857">
      <w:pPr>
        <w:rPr>
          <w:rFonts w:cs="Courier New"/>
          <w:szCs w:val="22"/>
        </w:rPr>
      </w:pPr>
    </w:p>
    <w:p w14:paraId="5BDACEED" w14:textId="1B42D2D2" w:rsidR="003C22F0" w:rsidRDefault="008C6C24" w:rsidP="007F7857">
      <w:pPr>
        <w:rPr>
          <w:rFonts w:cs="Courier New"/>
          <w:szCs w:val="22"/>
        </w:rPr>
      </w:pPr>
      <w:r>
        <w:rPr>
          <w:rFonts w:cs="Courier New"/>
          <w:szCs w:val="22"/>
        </w:rPr>
        <w:fldChar w:fldCharType="begin"/>
      </w:r>
      <w:r>
        <w:rPr>
          <w:rFonts w:cs="Courier New"/>
          <w:szCs w:val="22"/>
        </w:rPr>
        <w:instrText xml:space="preserve"> LINK Excel.Sheet.12 "\\\\alpha\\accounts$\\CLOSURE\\Closure 20-21\\04 SoA Working Papers\\21 Cash &amp; Cash Equivalents\\Note 21 CCE 2020-21.xlsx!Embedded Table!R2C1:R7C3" "" \a \p </w:instrText>
      </w:r>
      <w:r>
        <w:rPr>
          <w:rFonts w:cs="Courier New"/>
          <w:szCs w:val="22"/>
        </w:rPr>
        <w:fldChar w:fldCharType="separate"/>
      </w:r>
      <w:r w:rsidR="001C71EF">
        <w:rPr>
          <w:rFonts w:cs="Courier New"/>
          <w:szCs w:val="22"/>
        </w:rPr>
        <w:object w:dxaOrig="10110" w:dyaOrig="1755" w14:anchorId="6B6C5945">
          <v:shape id="_x0000_i1052" type="#_x0000_t75" style="width:475.45pt;height:79.45pt;mso-position-vertical:absolute" o:ole="">
            <v:imagedata r:id="rId79" o:title=""/>
            <o:lock v:ext="edit" aspectratio="f"/>
          </v:shape>
        </w:object>
      </w:r>
      <w:r>
        <w:rPr>
          <w:rFonts w:cs="Courier New"/>
          <w:szCs w:val="22"/>
        </w:rPr>
        <w:fldChar w:fldCharType="end"/>
      </w:r>
    </w:p>
    <w:p w14:paraId="207B9655" w14:textId="77777777" w:rsidR="003C22F0" w:rsidRDefault="003C22F0" w:rsidP="007F7857">
      <w:pPr>
        <w:rPr>
          <w:rFonts w:cs="Courier New"/>
          <w:szCs w:val="22"/>
        </w:rPr>
      </w:pPr>
    </w:p>
    <w:p w14:paraId="7E37B300" w14:textId="111CB1BE" w:rsidR="00D32FC8" w:rsidRDefault="00D32FC8" w:rsidP="007F7857">
      <w:pPr>
        <w:rPr>
          <w:rFonts w:cs="Courier New"/>
          <w:szCs w:val="22"/>
        </w:rPr>
      </w:pPr>
    </w:p>
    <w:p w14:paraId="14DB7382" w14:textId="77777777" w:rsidR="00C618A8" w:rsidRDefault="00C618A8" w:rsidP="007F7857">
      <w:pPr>
        <w:rPr>
          <w:rFonts w:cs="Courier New"/>
          <w:szCs w:val="22"/>
        </w:rPr>
      </w:pPr>
    </w:p>
    <w:p w14:paraId="095B18BE" w14:textId="77777777" w:rsidR="00C8113E" w:rsidRPr="001422EA" w:rsidRDefault="006E1448" w:rsidP="004E5A07">
      <w:pPr>
        <w:pStyle w:val="Heading2"/>
      </w:pPr>
      <w:bookmarkStart w:id="122" w:name="_Toc483390987"/>
      <w:bookmarkStart w:id="123" w:name="_Ref483392728"/>
      <w:bookmarkStart w:id="124" w:name="_Toc77603797"/>
      <w:r w:rsidRPr="001422EA">
        <w:t>Short term creditors</w:t>
      </w:r>
      <w:bookmarkEnd w:id="122"/>
      <w:bookmarkEnd w:id="123"/>
      <w:bookmarkEnd w:id="124"/>
    </w:p>
    <w:p w14:paraId="06D0F7C2" w14:textId="48888CD4" w:rsidR="00C8113E" w:rsidRDefault="00C8113E" w:rsidP="009901BE">
      <w:pPr>
        <w:rPr>
          <w:rFonts w:cs="Courier New"/>
          <w:szCs w:val="22"/>
        </w:rPr>
      </w:pPr>
    </w:p>
    <w:p w14:paraId="398F7E3A" w14:textId="591E24C7" w:rsidR="003858AE" w:rsidRDefault="003858AE" w:rsidP="009901BE">
      <w:pPr>
        <w:rPr>
          <w:rFonts w:cs="Courier New"/>
          <w:szCs w:val="22"/>
        </w:rPr>
      </w:pPr>
      <w:r>
        <w:rPr>
          <w:rFonts w:cs="Courier New"/>
          <w:szCs w:val="22"/>
        </w:rPr>
        <w:fldChar w:fldCharType="begin"/>
      </w:r>
      <w:r>
        <w:rPr>
          <w:rFonts w:cs="Courier New"/>
          <w:szCs w:val="22"/>
        </w:rPr>
        <w:instrText xml:space="preserve"> LINK Excel.Sheet.12 "\\\\alpha\\accounts$\\CLOSURE\\Closure 20-21\\04 SoA Working Papers\\22 Short Term Creditors\\Note 22 Short Term Creditors 2020-21.xlsx!Embedded Table!R2C1:R7C3" "" \a \p </w:instrText>
      </w:r>
      <w:r>
        <w:rPr>
          <w:rFonts w:cs="Courier New"/>
          <w:szCs w:val="22"/>
        </w:rPr>
        <w:fldChar w:fldCharType="separate"/>
      </w:r>
      <w:r w:rsidR="001C71EF">
        <w:rPr>
          <w:rFonts w:cs="Courier New"/>
          <w:szCs w:val="22"/>
        </w:rPr>
        <w:object w:dxaOrig="10870" w:dyaOrig="1709" w14:anchorId="4703A56C">
          <v:shape id="_x0000_i1053" type="#_x0000_t75" style="width:474.8pt;height:79.45pt" o:ole="">
            <v:imagedata r:id="rId80" o:title=""/>
            <o:lock v:ext="edit" aspectratio="f"/>
          </v:shape>
        </w:object>
      </w:r>
      <w:r>
        <w:rPr>
          <w:rFonts w:cs="Courier New"/>
          <w:szCs w:val="22"/>
        </w:rPr>
        <w:fldChar w:fldCharType="end"/>
      </w:r>
    </w:p>
    <w:p w14:paraId="47F54EE7" w14:textId="77777777" w:rsidR="003858AE" w:rsidRDefault="003858AE" w:rsidP="009901BE">
      <w:pPr>
        <w:rPr>
          <w:rFonts w:cs="Courier New"/>
          <w:szCs w:val="22"/>
        </w:rPr>
      </w:pPr>
    </w:p>
    <w:p w14:paraId="4FE23636" w14:textId="77777777" w:rsidR="00DC3AF2" w:rsidRPr="00EC06E7" w:rsidRDefault="00DC3AF2" w:rsidP="00C8113E">
      <w:pPr>
        <w:ind w:left="360" w:hanging="360"/>
        <w:rPr>
          <w:rFonts w:cs="Courier New"/>
          <w:szCs w:val="22"/>
        </w:rPr>
      </w:pPr>
    </w:p>
    <w:p w14:paraId="34469108" w14:textId="77777777" w:rsidR="00C8113E" w:rsidRPr="001422EA" w:rsidRDefault="006E1448" w:rsidP="004E5A07">
      <w:pPr>
        <w:pStyle w:val="Heading2"/>
      </w:pPr>
      <w:bookmarkStart w:id="125" w:name="_Toc483390988"/>
      <w:bookmarkStart w:id="126" w:name="_Ref483392733"/>
      <w:bookmarkStart w:id="127" w:name="_Ref483393315"/>
      <w:bookmarkStart w:id="128" w:name="_Toc77603798"/>
      <w:r w:rsidRPr="001422EA">
        <w:t>Provisions</w:t>
      </w:r>
      <w:bookmarkEnd w:id="125"/>
      <w:bookmarkEnd w:id="126"/>
      <w:bookmarkEnd w:id="127"/>
      <w:bookmarkEnd w:id="128"/>
    </w:p>
    <w:p w14:paraId="1236AA77" w14:textId="77777777" w:rsidR="00C8113E" w:rsidRPr="00EC06E7" w:rsidRDefault="00C8113E" w:rsidP="009901BE">
      <w:pPr>
        <w:rPr>
          <w:rFonts w:cs="Courier New"/>
          <w:szCs w:val="22"/>
        </w:rPr>
      </w:pPr>
    </w:p>
    <w:p w14:paraId="56364071" w14:textId="77777777" w:rsidR="00E13B4D" w:rsidRPr="00EC06E7" w:rsidRDefault="00E13B4D" w:rsidP="009901BE">
      <w:pPr>
        <w:rPr>
          <w:rFonts w:cs="Courier New"/>
          <w:szCs w:val="22"/>
        </w:rPr>
      </w:pPr>
      <w:r w:rsidRPr="00EC06E7">
        <w:rPr>
          <w:rFonts w:cs="Courier New"/>
          <w:szCs w:val="22"/>
        </w:rPr>
        <w:t>The movements in provisions during the year were as follows:</w:t>
      </w:r>
    </w:p>
    <w:p w14:paraId="7A530524" w14:textId="0BB6E4D2" w:rsidR="00E13B4D" w:rsidRDefault="00E13B4D" w:rsidP="009901BE">
      <w:pPr>
        <w:rPr>
          <w:rFonts w:cs="Courier New"/>
          <w:szCs w:val="22"/>
        </w:rPr>
      </w:pPr>
    </w:p>
    <w:p w14:paraId="0274F9C6" w14:textId="0D03AB20" w:rsidR="00B24DB0" w:rsidRDefault="00E83870" w:rsidP="009901BE">
      <w:pPr>
        <w:rPr>
          <w:rFonts w:cs="Courier New"/>
          <w:szCs w:val="22"/>
        </w:rPr>
      </w:pPr>
      <w:r>
        <w:rPr>
          <w:rFonts w:cs="Courier New"/>
          <w:szCs w:val="22"/>
        </w:rPr>
        <w:fldChar w:fldCharType="begin"/>
      </w:r>
      <w:r>
        <w:rPr>
          <w:rFonts w:cs="Courier New"/>
          <w:szCs w:val="22"/>
        </w:rPr>
        <w:instrText xml:space="preserve"> LINK Excel.Sheet.12 "\\\\alpha\\accounts$\\CLOSURE\\Closure 20-21\\04 SoA Working Papers\\23 Provisions\\Note 23 Provisions 2020-21.xlsx!Embedded Table!R2C1:R13C2" "" \a \p </w:instrText>
      </w:r>
      <w:r>
        <w:rPr>
          <w:rFonts w:cs="Courier New"/>
          <w:szCs w:val="22"/>
        </w:rPr>
        <w:fldChar w:fldCharType="separate"/>
      </w:r>
      <w:r w:rsidR="001C71EF">
        <w:rPr>
          <w:rFonts w:cs="Courier New"/>
          <w:szCs w:val="22"/>
        </w:rPr>
        <w:object w:dxaOrig="8451" w:dyaOrig="4520" w14:anchorId="6BCCF14C">
          <v:shape id="_x0000_i1054" type="#_x0000_t75" style="width:381.75pt;height:223.45pt" o:ole="">
            <v:imagedata r:id="rId81" o:title=""/>
            <o:lock v:ext="edit" aspectratio="f"/>
          </v:shape>
        </w:object>
      </w:r>
      <w:r>
        <w:rPr>
          <w:rFonts w:cs="Courier New"/>
          <w:szCs w:val="22"/>
        </w:rPr>
        <w:fldChar w:fldCharType="end"/>
      </w:r>
    </w:p>
    <w:p w14:paraId="55BFFA83" w14:textId="77777777" w:rsidR="00B24DB0" w:rsidRDefault="00B24DB0" w:rsidP="009901BE">
      <w:pPr>
        <w:rPr>
          <w:rFonts w:cs="Courier New"/>
          <w:szCs w:val="22"/>
        </w:rPr>
      </w:pPr>
    </w:p>
    <w:p w14:paraId="77C2DDE9" w14:textId="32D5682B" w:rsidR="00BC0AA6" w:rsidRDefault="00D20C2D" w:rsidP="00A171A8">
      <w:pPr>
        <w:rPr>
          <w:snapToGrid w:val="0"/>
          <w:szCs w:val="20"/>
          <w:lang w:eastAsia="en-US"/>
        </w:rPr>
      </w:pPr>
      <w:r w:rsidRPr="00EC06E7">
        <w:rPr>
          <w:snapToGrid w:val="0"/>
          <w:szCs w:val="20"/>
          <w:lang w:eastAsia="en-US"/>
        </w:rPr>
        <w:t xml:space="preserve">The </w:t>
      </w:r>
      <w:r w:rsidR="00BC0AA6">
        <w:rPr>
          <w:snapToGrid w:val="0"/>
          <w:szCs w:val="20"/>
          <w:lang w:eastAsia="en-US"/>
        </w:rPr>
        <w:t>c</w:t>
      </w:r>
      <w:r w:rsidRPr="00EC06E7">
        <w:rPr>
          <w:snapToGrid w:val="0"/>
          <w:szCs w:val="20"/>
          <w:lang w:eastAsia="en-US"/>
        </w:rPr>
        <w:t xml:space="preserve">ouncil has only one class of provision, this relates entirely to Business Rates Appeals. </w:t>
      </w:r>
      <w:r w:rsidR="00E112CD" w:rsidRPr="00EC06E7">
        <w:rPr>
          <w:snapToGrid w:val="0"/>
          <w:szCs w:val="20"/>
          <w:lang w:eastAsia="en-US"/>
        </w:rPr>
        <w:t xml:space="preserve">Due to the localisation of Business Rates, which became effective from the 1st April 2013, </w:t>
      </w:r>
      <w:r w:rsidR="00A171A8" w:rsidRPr="00EC06E7">
        <w:rPr>
          <w:snapToGrid w:val="0"/>
          <w:szCs w:val="20"/>
          <w:lang w:eastAsia="en-US"/>
        </w:rPr>
        <w:t xml:space="preserve">the </w:t>
      </w:r>
      <w:r w:rsidR="00BC0AA6">
        <w:rPr>
          <w:snapToGrid w:val="0"/>
          <w:szCs w:val="20"/>
          <w:lang w:eastAsia="en-US"/>
        </w:rPr>
        <w:t>c</w:t>
      </w:r>
      <w:r w:rsidR="00A171A8" w:rsidRPr="00EC06E7">
        <w:rPr>
          <w:snapToGrid w:val="0"/>
          <w:szCs w:val="20"/>
          <w:lang w:eastAsia="en-US"/>
        </w:rPr>
        <w:t>ouncil now bears part of the risk for future appeals against rateable valuations</w:t>
      </w:r>
      <w:r w:rsidR="00471920" w:rsidRPr="00EC06E7">
        <w:rPr>
          <w:snapToGrid w:val="0"/>
          <w:szCs w:val="20"/>
          <w:lang w:eastAsia="en-US"/>
        </w:rPr>
        <w:t xml:space="preserve"> of business premises</w:t>
      </w:r>
      <w:r w:rsidR="00A171A8" w:rsidRPr="00EC06E7">
        <w:rPr>
          <w:snapToGrid w:val="0"/>
          <w:szCs w:val="20"/>
          <w:lang w:eastAsia="en-US"/>
        </w:rPr>
        <w:t xml:space="preserve">. Therefore, </w:t>
      </w:r>
      <w:r w:rsidR="00E112CD" w:rsidRPr="00EC06E7">
        <w:rPr>
          <w:snapToGrid w:val="0"/>
          <w:szCs w:val="20"/>
          <w:lang w:eastAsia="en-US"/>
        </w:rPr>
        <w:t xml:space="preserve">the </w:t>
      </w:r>
      <w:r w:rsidR="00BC0AA6">
        <w:rPr>
          <w:snapToGrid w:val="0"/>
          <w:szCs w:val="20"/>
          <w:lang w:eastAsia="en-US"/>
        </w:rPr>
        <w:t>c</w:t>
      </w:r>
      <w:r w:rsidR="00E112CD" w:rsidRPr="00EC06E7">
        <w:rPr>
          <w:snapToGrid w:val="0"/>
          <w:szCs w:val="20"/>
          <w:lang w:eastAsia="en-US"/>
        </w:rPr>
        <w:t>ouncil has set aside a provision for any potential liabilities as a</w:t>
      </w:r>
      <w:r w:rsidR="00A171A8" w:rsidRPr="00EC06E7">
        <w:rPr>
          <w:snapToGrid w:val="0"/>
          <w:szCs w:val="20"/>
          <w:lang w:eastAsia="en-US"/>
        </w:rPr>
        <w:t xml:space="preserve"> result </w:t>
      </w:r>
      <w:r w:rsidR="00583B7F" w:rsidRPr="00EC06E7">
        <w:rPr>
          <w:snapToGrid w:val="0"/>
          <w:szCs w:val="20"/>
          <w:lang w:eastAsia="en-US"/>
        </w:rPr>
        <w:t xml:space="preserve">of </w:t>
      </w:r>
      <w:r w:rsidR="00E112CD" w:rsidRPr="00EC06E7">
        <w:rPr>
          <w:snapToGrid w:val="0"/>
          <w:szCs w:val="20"/>
          <w:lang w:eastAsia="en-US"/>
        </w:rPr>
        <w:t xml:space="preserve">appeals. </w:t>
      </w:r>
      <w:r w:rsidR="00A706CB">
        <w:rPr>
          <w:snapToGrid w:val="0"/>
          <w:szCs w:val="20"/>
          <w:lang w:eastAsia="en-US"/>
        </w:rPr>
        <w:t>At the end of 20</w:t>
      </w:r>
      <w:r w:rsidR="004B1CDE">
        <w:rPr>
          <w:snapToGrid w:val="0"/>
          <w:szCs w:val="20"/>
          <w:lang w:eastAsia="en-US"/>
        </w:rPr>
        <w:t>20</w:t>
      </w:r>
      <w:r w:rsidR="00A706CB">
        <w:rPr>
          <w:snapToGrid w:val="0"/>
          <w:szCs w:val="20"/>
          <w:lang w:eastAsia="en-US"/>
        </w:rPr>
        <w:t>-</w:t>
      </w:r>
      <w:r w:rsidR="004B1CDE">
        <w:rPr>
          <w:snapToGrid w:val="0"/>
          <w:szCs w:val="20"/>
          <w:lang w:eastAsia="en-US"/>
        </w:rPr>
        <w:t>21</w:t>
      </w:r>
      <w:r w:rsidR="00A706CB">
        <w:rPr>
          <w:snapToGrid w:val="0"/>
          <w:szCs w:val="20"/>
          <w:lang w:eastAsia="en-US"/>
        </w:rPr>
        <w:t>, th</w:t>
      </w:r>
      <w:r w:rsidR="00E112CD" w:rsidRPr="00EC06E7">
        <w:rPr>
          <w:snapToGrid w:val="0"/>
          <w:szCs w:val="20"/>
          <w:lang w:eastAsia="en-US"/>
        </w:rPr>
        <w:t xml:space="preserve">e </w:t>
      </w:r>
      <w:r w:rsidR="00BC0AA6">
        <w:rPr>
          <w:snapToGrid w:val="0"/>
          <w:szCs w:val="20"/>
          <w:lang w:eastAsia="en-US"/>
        </w:rPr>
        <w:t>c</w:t>
      </w:r>
      <w:r w:rsidR="00E112CD" w:rsidRPr="00EC06E7">
        <w:rPr>
          <w:snapToGrid w:val="0"/>
          <w:szCs w:val="20"/>
          <w:lang w:eastAsia="en-US"/>
        </w:rPr>
        <w:t xml:space="preserve">ouncil is responsible for a </w:t>
      </w:r>
      <w:r w:rsidR="00810A03">
        <w:rPr>
          <w:snapToGrid w:val="0"/>
          <w:szCs w:val="20"/>
          <w:lang w:eastAsia="en-US"/>
        </w:rPr>
        <w:t>40</w:t>
      </w:r>
      <w:r w:rsidR="00E112CD" w:rsidRPr="00EC06E7">
        <w:rPr>
          <w:snapToGrid w:val="0"/>
          <w:szCs w:val="20"/>
          <w:lang w:eastAsia="en-US"/>
        </w:rPr>
        <w:t xml:space="preserve">% share of this liability along with </w:t>
      </w:r>
      <w:r w:rsidR="00A706CB">
        <w:rPr>
          <w:snapToGrid w:val="0"/>
          <w:szCs w:val="20"/>
          <w:lang w:eastAsia="en-US"/>
        </w:rPr>
        <w:t>t</w:t>
      </w:r>
      <w:r w:rsidR="00E112CD" w:rsidRPr="00EC06E7">
        <w:rPr>
          <w:snapToGrid w:val="0"/>
          <w:szCs w:val="20"/>
          <w:lang w:eastAsia="en-US"/>
        </w:rPr>
        <w:t xml:space="preserve">he </w:t>
      </w:r>
      <w:r w:rsidR="00A706CB">
        <w:rPr>
          <w:snapToGrid w:val="0"/>
          <w:szCs w:val="20"/>
          <w:lang w:eastAsia="en-US"/>
        </w:rPr>
        <w:t>Ministry</w:t>
      </w:r>
      <w:r w:rsidR="00E112CD" w:rsidRPr="00EC06E7">
        <w:rPr>
          <w:snapToGrid w:val="0"/>
          <w:szCs w:val="20"/>
          <w:lang w:eastAsia="en-US"/>
        </w:rPr>
        <w:t xml:space="preserve"> for </w:t>
      </w:r>
      <w:r w:rsidR="00A706CB">
        <w:rPr>
          <w:snapToGrid w:val="0"/>
          <w:szCs w:val="20"/>
          <w:lang w:eastAsia="en-US"/>
        </w:rPr>
        <w:t xml:space="preserve">Housing, </w:t>
      </w:r>
      <w:r w:rsidR="00E112CD" w:rsidRPr="00EC06E7">
        <w:rPr>
          <w:snapToGrid w:val="0"/>
          <w:szCs w:val="20"/>
          <w:lang w:eastAsia="en-US"/>
        </w:rPr>
        <w:t>Communities and Local Government (5</w:t>
      </w:r>
      <w:r w:rsidR="00810A03">
        <w:rPr>
          <w:snapToGrid w:val="0"/>
          <w:szCs w:val="20"/>
          <w:lang w:eastAsia="en-US"/>
        </w:rPr>
        <w:t>0</w:t>
      </w:r>
      <w:r w:rsidR="00E112CD" w:rsidRPr="00EC06E7">
        <w:rPr>
          <w:snapToGrid w:val="0"/>
          <w:szCs w:val="20"/>
          <w:lang w:eastAsia="en-US"/>
        </w:rPr>
        <w:t>%), Lancashire County Council (</w:t>
      </w:r>
      <w:r w:rsidR="00A706CB">
        <w:rPr>
          <w:snapToGrid w:val="0"/>
          <w:szCs w:val="20"/>
          <w:lang w:eastAsia="en-US"/>
        </w:rPr>
        <w:t>1</w:t>
      </w:r>
      <w:r w:rsidR="00810A03">
        <w:rPr>
          <w:snapToGrid w:val="0"/>
          <w:szCs w:val="20"/>
          <w:lang w:eastAsia="en-US"/>
        </w:rPr>
        <w:t>0</w:t>
      </w:r>
      <w:r w:rsidR="00E112CD" w:rsidRPr="00EC06E7">
        <w:rPr>
          <w:snapToGrid w:val="0"/>
          <w:szCs w:val="20"/>
          <w:lang w:eastAsia="en-US"/>
        </w:rPr>
        <w:t xml:space="preserve">%) and the Lancashire Fire Authority (1%). </w:t>
      </w:r>
      <w:r w:rsidR="00A171A8" w:rsidRPr="00EC06E7">
        <w:rPr>
          <w:snapToGrid w:val="0"/>
          <w:szCs w:val="20"/>
          <w:lang w:eastAsia="en-US"/>
        </w:rPr>
        <w:t xml:space="preserve">These were borne wholly by the Government under the old scheme. The </w:t>
      </w:r>
      <w:r w:rsidR="00BC0AA6">
        <w:rPr>
          <w:snapToGrid w:val="0"/>
          <w:szCs w:val="20"/>
          <w:lang w:eastAsia="en-US"/>
        </w:rPr>
        <w:t>c</w:t>
      </w:r>
      <w:r w:rsidR="00A171A8" w:rsidRPr="00EC06E7">
        <w:rPr>
          <w:snapToGrid w:val="0"/>
          <w:szCs w:val="20"/>
          <w:lang w:eastAsia="en-US"/>
        </w:rPr>
        <w:t>ouncil</w:t>
      </w:r>
      <w:r w:rsidR="00854248">
        <w:rPr>
          <w:snapToGrid w:val="0"/>
          <w:szCs w:val="20"/>
          <w:lang w:eastAsia="en-US"/>
        </w:rPr>
        <w:t>’s</w:t>
      </w:r>
      <w:r w:rsidR="00A171A8" w:rsidRPr="00EC06E7">
        <w:rPr>
          <w:snapToGrid w:val="0"/>
          <w:szCs w:val="20"/>
          <w:lang w:eastAsia="en-US"/>
        </w:rPr>
        <w:t xml:space="preserve"> estimate of the value of outstanding appeals up to </w:t>
      </w:r>
      <w:r w:rsidR="00255FA7">
        <w:rPr>
          <w:snapToGrid w:val="0"/>
          <w:szCs w:val="20"/>
          <w:lang w:eastAsia="en-US"/>
        </w:rPr>
        <w:t xml:space="preserve">31 </w:t>
      </w:r>
      <w:r w:rsidR="003D255A">
        <w:rPr>
          <w:snapToGrid w:val="0"/>
          <w:szCs w:val="20"/>
          <w:lang w:eastAsia="en-US"/>
        </w:rPr>
        <w:t>March 20</w:t>
      </w:r>
      <w:r w:rsidR="00A706CB">
        <w:rPr>
          <w:snapToGrid w:val="0"/>
          <w:szCs w:val="20"/>
          <w:lang w:eastAsia="en-US"/>
        </w:rPr>
        <w:t>2</w:t>
      </w:r>
      <w:r w:rsidR="00810A03">
        <w:rPr>
          <w:snapToGrid w:val="0"/>
          <w:szCs w:val="20"/>
          <w:lang w:eastAsia="en-US"/>
        </w:rPr>
        <w:t>1</w:t>
      </w:r>
      <w:r w:rsidR="00E27646">
        <w:rPr>
          <w:snapToGrid w:val="0"/>
          <w:szCs w:val="20"/>
          <w:lang w:eastAsia="en-US"/>
        </w:rPr>
        <w:t xml:space="preserve"> is </w:t>
      </w:r>
      <w:r w:rsidR="00E27646" w:rsidRPr="003E6036">
        <w:rPr>
          <w:snapToGrid w:val="0"/>
          <w:szCs w:val="20"/>
          <w:lang w:eastAsia="en-US"/>
        </w:rPr>
        <w:t>£</w:t>
      </w:r>
      <w:r w:rsidR="00810A03">
        <w:rPr>
          <w:snapToGrid w:val="0"/>
          <w:szCs w:val="20"/>
          <w:lang w:eastAsia="en-US"/>
        </w:rPr>
        <w:t>5</w:t>
      </w:r>
      <w:r w:rsidR="003E6036" w:rsidRPr="003E6036">
        <w:rPr>
          <w:snapToGrid w:val="0"/>
          <w:szCs w:val="20"/>
          <w:lang w:eastAsia="en-US"/>
        </w:rPr>
        <w:t>.</w:t>
      </w:r>
      <w:r w:rsidR="00810A03">
        <w:rPr>
          <w:snapToGrid w:val="0"/>
          <w:szCs w:val="20"/>
          <w:lang w:eastAsia="en-US"/>
        </w:rPr>
        <w:t>202</w:t>
      </w:r>
      <w:r w:rsidR="00A171A8" w:rsidRPr="003E6036">
        <w:rPr>
          <w:snapToGrid w:val="0"/>
          <w:szCs w:val="20"/>
          <w:lang w:eastAsia="en-US"/>
        </w:rPr>
        <w:t>m</w:t>
      </w:r>
      <w:r w:rsidR="00A171A8" w:rsidRPr="00EC06E7">
        <w:rPr>
          <w:snapToGrid w:val="0"/>
          <w:szCs w:val="20"/>
          <w:lang w:eastAsia="en-US"/>
        </w:rPr>
        <w:t xml:space="preserve"> (£</w:t>
      </w:r>
      <w:r w:rsidR="00810A03" w:rsidRPr="003E6036">
        <w:rPr>
          <w:snapToGrid w:val="0"/>
          <w:szCs w:val="20"/>
          <w:lang w:eastAsia="en-US"/>
        </w:rPr>
        <w:t>4.</w:t>
      </w:r>
      <w:r w:rsidR="00810A03">
        <w:rPr>
          <w:snapToGrid w:val="0"/>
          <w:szCs w:val="20"/>
          <w:lang w:eastAsia="en-US"/>
        </w:rPr>
        <w:t>796</w:t>
      </w:r>
      <w:r w:rsidR="00810A03" w:rsidRPr="003E6036">
        <w:rPr>
          <w:snapToGrid w:val="0"/>
          <w:szCs w:val="20"/>
          <w:lang w:eastAsia="en-US"/>
        </w:rPr>
        <w:t>m</w:t>
      </w:r>
      <w:r w:rsidR="00810A03" w:rsidRPr="00EC06E7">
        <w:rPr>
          <w:snapToGrid w:val="0"/>
          <w:szCs w:val="20"/>
          <w:lang w:eastAsia="en-US"/>
        </w:rPr>
        <w:t xml:space="preserve"> </w:t>
      </w:r>
      <w:r w:rsidR="00A171A8" w:rsidRPr="00EC06E7">
        <w:rPr>
          <w:snapToGrid w:val="0"/>
          <w:szCs w:val="20"/>
          <w:lang w:eastAsia="en-US"/>
        </w:rPr>
        <w:t xml:space="preserve">at </w:t>
      </w:r>
      <w:r w:rsidR="00231838">
        <w:rPr>
          <w:snapToGrid w:val="0"/>
          <w:szCs w:val="20"/>
          <w:lang w:eastAsia="en-US"/>
        </w:rPr>
        <w:t>31 March 20</w:t>
      </w:r>
      <w:r w:rsidR="00810A03">
        <w:rPr>
          <w:snapToGrid w:val="0"/>
          <w:szCs w:val="20"/>
          <w:lang w:eastAsia="en-US"/>
        </w:rPr>
        <w:t>20</w:t>
      </w:r>
      <w:r w:rsidR="00A171A8" w:rsidRPr="00EC06E7">
        <w:rPr>
          <w:snapToGrid w:val="0"/>
          <w:szCs w:val="20"/>
          <w:lang w:eastAsia="en-US"/>
        </w:rPr>
        <w:t xml:space="preserve">). The </w:t>
      </w:r>
      <w:r w:rsidR="00BC0AA6">
        <w:rPr>
          <w:snapToGrid w:val="0"/>
          <w:szCs w:val="20"/>
          <w:lang w:eastAsia="en-US"/>
        </w:rPr>
        <w:t>c</w:t>
      </w:r>
      <w:r w:rsidR="00A171A8" w:rsidRPr="00EC06E7">
        <w:rPr>
          <w:snapToGrid w:val="0"/>
          <w:szCs w:val="20"/>
          <w:lang w:eastAsia="en-US"/>
        </w:rPr>
        <w:t xml:space="preserve">ouncil has made a provision for </w:t>
      </w:r>
      <w:r w:rsidR="00810A03">
        <w:rPr>
          <w:snapToGrid w:val="0"/>
          <w:szCs w:val="20"/>
          <w:lang w:eastAsia="en-US"/>
        </w:rPr>
        <w:t>40</w:t>
      </w:r>
      <w:r w:rsidR="00A171A8" w:rsidRPr="00EC06E7">
        <w:rPr>
          <w:snapToGrid w:val="0"/>
          <w:szCs w:val="20"/>
          <w:lang w:eastAsia="en-US"/>
        </w:rPr>
        <w:t xml:space="preserve">% of this figure totalling </w:t>
      </w:r>
      <w:r w:rsidR="00A171A8" w:rsidRPr="00413DBC">
        <w:rPr>
          <w:snapToGrid w:val="0"/>
          <w:szCs w:val="20"/>
          <w:lang w:eastAsia="en-US"/>
        </w:rPr>
        <w:t>£</w:t>
      </w:r>
      <w:r w:rsidR="00A706CB">
        <w:rPr>
          <w:snapToGrid w:val="0"/>
          <w:szCs w:val="20"/>
          <w:lang w:eastAsia="en-US"/>
        </w:rPr>
        <w:t>2</w:t>
      </w:r>
      <w:r w:rsidR="00413DBC" w:rsidRPr="00413DBC">
        <w:rPr>
          <w:snapToGrid w:val="0"/>
          <w:szCs w:val="20"/>
          <w:lang w:eastAsia="en-US"/>
        </w:rPr>
        <w:t>.</w:t>
      </w:r>
      <w:r w:rsidR="00034C66">
        <w:rPr>
          <w:snapToGrid w:val="0"/>
          <w:szCs w:val="20"/>
          <w:lang w:eastAsia="en-US"/>
        </w:rPr>
        <w:t>0</w:t>
      </w:r>
      <w:r w:rsidR="00413DBC" w:rsidRPr="00413DBC">
        <w:rPr>
          <w:snapToGrid w:val="0"/>
          <w:szCs w:val="20"/>
          <w:lang w:eastAsia="en-US"/>
        </w:rPr>
        <w:t>8</w:t>
      </w:r>
      <w:r w:rsidR="00034C66">
        <w:rPr>
          <w:snapToGrid w:val="0"/>
          <w:szCs w:val="20"/>
          <w:lang w:eastAsia="en-US"/>
        </w:rPr>
        <w:t>1</w:t>
      </w:r>
      <w:r w:rsidR="00231838" w:rsidRPr="00413DBC">
        <w:rPr>
          <w:snapToGrid w:val="0"/>
          <w:szCs w:val="20"/>
          <w:lang w:eastAsia="en-US"/>
        </w:rPr>
        <w:t>m</w:t>
      </w:r>
      <w:r w:rsidR="00231838" w:rsidRPr="00EC06E7">
        <w:rPr>
          <w:snapToGrid w:val="0"/>
          <w:szCs w:val="20"/>
          <w:lang w:eastAsia="en-US"/>
        </w:rPr>
        <w:t xml:space="preserve"> </w:t>
      </w:r>
      <w:r w:rsidR="00A171A8" w:rsidRPr="00EC06E7">
        <w:rPr>
          <w:snapToGrid w:val="0"/>
          <w:szCs w:val="20"/>
          <w:lang w:eastAsia="en-US"/>
        </w:rPr>
        <w:t>(</w:t>
      </w:r>
      <w:r w:rsidR="00034C66">
        <w:rPr>
          <w:snapToGrid w:val="0"/>
          <w:szCs w:val="20"/>
          <w:lang w:eastAsia="en-US"/>
        </w:rPr>
        <w:t xml:space="preserve">56% (see below) and </w:t>
      </w:r>
      <w:r w:rsidR="00A171A8" w:rsidRPr="00EC06E7">
        <w:rPr>
          <w:snapToGrid w:val="0"/>
          <w:szCs w:val="20"/>
          <w:lang w:eastAsia="en-US"/>
        </w:rPr>
        <w:t>£</w:t>
      </w:r>
      <w:r w:rsidR="00034C66">
        <w:rPr>
          <w:snapToGrid w:val="0"/>
          <w:szCs w:val="20"/>
          <w:lang w:eastAsia="en-US"/>
        </w:rPr>
        <w:t>2.686m</w:t>
      </w:r>
      <w:r w:rsidR="00A171A8" w:rsidRPr="00EC06E7">
        <w:rPr>
          <w:snapToGrid w:val="0"/>
          <w:szCs w:val="20"/>
          <w:lang w:eastAsia="en-US"/>
        </w:rPr>
        <w:t xml:space="preserve"> at </w:t>
      </w:r>
      <w:r w:rsidR="00231838">
        <w:rPr>
          <w:snapToGrid w:val="0"/>
          <w:szCs w:val="20"/>
          <w:lang w:eastAsia="en-US"/>
        </w:rPr>
        <w:t>31 March 20</w:t>
      </w:r>
      <w:r w:rsidR="00034C66">
        <w:rPr>
          <w:snapToGrid w:val="0"/>
          <w:szCs w:val="20"/>
          <w:lang w:eastAsia="en-US"/>
        </w:rPr>
        <w:t>20</w:t>
      </w:r>
      <w:r w:rsidR="00A171A8" w:rsidRPr="00EC06E7">
        <w:rPr>
          <w:snapToGrid w:val="0"/>
          <w:szCs w:val="20"/>
          <w:lang w:eastAsia="en-US"/>
        </w:rPr>
        <w:t>).</w:t>
      </w:r>
      <w:r w:rsidR="00471920" w:rsidRPr="00EC06E7">
        <w:rPr>
          <w:snapToGrid w:val="0"/>
          <w:szCs w:val="20"/>
          <w:lang w:eastAsia="en-US"/>
        </w:rPr>
        <w:t xml:space="preserve"> Appeals are assessed and decided by the Valuation Office Agency, an executive agency of HM Revenue &amp; Customs, rather than </w:t>
      </w:r>
      <w:r w:rsidR="00413DBC">
        <w:rPr>
          <w:snapToGrid w:val="0"/>
          <w:szCs w:val="20"/>
          <w:lang w:eastAsia="en-US"/>
        </w:rPr>
        <w:t xml:space="preserve">by </w:t>
      </w:r>
      <w:r w:rsidR="00471920" w:rsidRPr="00EC06E7">
        <w:rPr>
          <w:snapToGrid w:val="0"/>
          <w:szCs w:val="20"/>
          <w:lang w:eastAsia="en-US"/>
        </w:rPr>
        <w:t xml:space="preserve">the </w:t>
      </w:r>
      <w:r w:rsidR="00BC0AA6">
        <w:rPr>
          <w:snapToGrid w:val="0"/>
          <w:szCs w:val="20"/>
          <w:lang w:eastAsia="en-US"/>
        </w:rPr>
        <w:t>c</w:t>
      </w:r>
      <w:r w:rsidR="00471920" w:rsidRPr="00EC06E7">
        <w:rPr>
          <w:snapToGrid w:val="0"/>
          <w:szCs w:val="20"/>
          <w:lang w:eastAsia="en-US"/>
        </w:rPr>
        <w:t>ouncil and as such the timing of the settlement of any successful appeals is uncertain.</w:t>
      </w:r>
    </w:p>
    <w:p w14:paraId="09C83C64" w14:textId="77777777" w:rsidR="00A706CB" w:rsidRDefault="00BC0AA6" w:rsidP="00A171A8">
      <w:pPr>
        <w:rPr>
          <w:snapToGrid w:val="0"/>
          <w:szCs w:val="20"/>
          <w:lang w:eastAsia="en-US"/>
        </w:rPr>
      </w:pPr>
      <w:r>
        <w:rPr>
          <w:snapToGrid w:val="0"/>
          <w:szCs w:val="20"/>
          <w:lang w:eastAsia="en-US"/>
        </w:rPr>
        <w:t xml:space="preserve"> </w:t>
      </w:r>
    </w:p>
    <w:p w14:paraId="61C18ED5" w14:textId="78CA1581" w:rsidR="00A706CB" w:rsidRDefault="00A706CB" w:rsidP="00A171A8">
      <w:pPr>
        <w:rPr>
          <w:snapToGrid w:val="0"/>
          <w:szCs w:val="20"/>
          <w:lang w:eastAsia="en-US"/>
        </w:rPr>
      </w:pPr>
      <w:r>
        <w:rPr>
          <w:snapToGrid w:val="0"/>
          <w:szCs w:val="20"/>
          <w:lang w:eastAsia="en-US"/>
        </w:rPr>
        <w:t xml:space="preserve">The respective shares shown above </w:t>
      </w:r>
      <w:r w:rsidR="00034C66">
        <w:rPr>
          <w:snapToGrid w:val="0"/>
          <w:szCs w:val="20"/>
          <w:lang w:eastAsia="en-US"/>
        </w:rPr>
        <w:t xml:space="preserve">are different to those for </w:t>
      </w:r>
      <w:r>
        <w:rPr>
          <w:snapToGrid w:val="0"/>
          <w:szCs w:val="20"/>
          <w:lang w:eastAsia="en-US"/>
        </w:rPr>
        <w:t>2019</w:t>
      </w:r>
      <w:r w:rsidR="002D5C2D">
        <w:rPr>
          <w:snapToGrid w:val="0"/>
          <w:szCs w:val="20"/>
          <w:lang w:eastAsia="en-US"/>
        </w:rPr>
        <w:t>/</w:t>
      </w:r>
      <w:r>
        <w:rPr>
          <w:snapToGrid w:val="0"/>
          <w:szCs w:val="20"/>
          <w:lang w:eastAsia="en-US"/>
        </w:rPr>
        <w:t>20</w:t>
      </w:r>
      <w:r w:rsidR="00034C66">
        <w:rPr>
          <w:snapToGrid w:val="0"/>
          <w:szCs w:val="20"/>
          <w:lang w:eastAsia="en-US"/>
        </w:rPr>
        <w:t>, when</w:t>
      </w:r>
      <w:r>
        <w:rPr>
          <w:snapToGrid w:val="0"/>
          <w:szCs w:val="20"/>
          <w:lang w:eastAsia="en-US"/>
        </w:rPr>
        <w:t xml:space="preserve"> the </w:t>
      </w:r>
      <w:r w:rsidR="00BC0AA6">
        <w:rPr>
          <w:snapToGrid w:val="0"/>
          <w:szCs w:val="20"/>
          <w:lang w:eastAsia="en-US"/>
        </w:rPr>
        <w:t>c</w:t>
      </w:r>
      <w:r>
        <w:rPr>
          <w:snapToGrid w:val="0"/>
          <w:szCs w:val="20"/>
          <w:lang w:eastAsia="en-US"/>
        </w:rPr>
        <w:t xml:space="preserve">ouncil was in a Pilot Area for 75% </w:t>
      </w:r>
      <w:r w:rsidR="002D5C2D">
        <w:rPr>
          <w:snapToGrid w:val="0"/>
          <w:szCs w:val="20"/>
          <w:lang w:eastAsia="en-US"/>
        </w:rPr>
        <w:t xml:space="preserve">local </w:t>
      </w:r>
      <w:r>
        <w:rPr>
          <w:snapToGrid w:val="0"/>
          <w:szCs w:val="20"/>
          <w:lang w:eastAsia="en-US"/>
        </w:rPr>
        <w:t>retention of Business Rates income</w:t>
      </w:r>
      <w:r w:rsidR="002D5C2D">
        <w:rPr>
          <w:snapToGrid w:val="0"/>
          <w:szCs w:val="20"/>
          <w:lang w:eastAsia="en-US"/>
        </w:rPr>
        <w:t xml:space="preserve">. </w:t>
      </w:r>
      <w:r w:rsidR="00034C66">
        <w:rPr>
          <w:snapToGrid w:val="0"/>
          <w:szCs w:val="20"/>
          <w:lang w:eastAsia="en-US"/>
        </w:rPr>
        <w:t xml:space="preserve">This arrangement ran for only the single year, after which it was discontinued by the government. </w:t>
      </w:r>
      <w:r w:rsidR="002D5C2D">
        <w:rPr>
          <w:snapToGrid w:val="0"/>
          <w:szCs w:val="20"/>
          <w:lang w:eastAsia="en-US"/>
        </w:rPr>
        <w:t>Th</w:t>
      </w:r>
      <w:r w:rsidR="00034C66">
        <w:rPr>
          <w:snapToGrid w:val="0"/>
          <w:szCs w:val="20"/>
          <w:lang w:eastAsia="en-US"/>
        </w:rPr>
        <w:t>e</w:t>
      </w:r>
      <w:r w:rsidR="002D5C2D">
        <w:rPr>
          <w:snapToGrid w:val="0"/>
          <w:szCs w:val="20"/>
          <w:lang w:eastAsia="en-US"/>
        </w:rPr>
        <w:t xml:space="preserve"> </w:t>
      </w:r>
      <w:r w:rsidR="00BC0AA6">
        <w:rPr>
          <w:snapToGrid w:val="0"/>
          <w:szCs w:val="20"/>
          <w:lang w:eastAsia="en-US"/>
        </w:rPr>
        <w:t>c</w:t>
      </w:r>
      <w:r w:rsidR="002D5C2D">
        <w:rPr>
          <w:snapToGrid w:val="0"/>
          <w:szCs w:val="20"/>
          <w:lang w:eastAsia="en-US"/>
        </w:rPr>
        <w:t xml:space="preserve">ouncil’s share </w:t>
      </w:r>
      <w:r w:rsidR="00034C66">
        <w:rPr>
          <w:snapToGrid w:val="0"/>
          <w:szCs w:val="20"/>
          <w:lang w:eastAsia="en-US"/>
        </w:rPr>
        <w:t xml:space="preserve">in 2019/20 </w:t>
      </w:r>
      <w:r w:rsidR="002D5C2D">
        <w:rPr>
          <w:snapToGrid w:val="0"/>
          <w:szCs w:val="20"/>
          <w:lang w:eastAsia="en-US"/>
        </w:rPr>
        <w:t xml:space="preserve">was </w:t>
      </w:r>
      <w:r w:rsidR="00034C66">
        <w:rPr>
          <w:snapToGrid w:val="0"/>
          <w:szCs w:val="20"/>
          <w:lang w:eastAsia="en-US"/>
        </w:rPr>
        <w:t>56</w:t>
      </w:r>
      <w:r w:rsidR="002D5C2D">
        <w:rPr>
          <w:snapToGrid w:val="0"/>
          <w:szCs w:val="20"/>
          <w:lang w:eastAsia="en-US"/>
        </w:rPr>
        <w:t>%</w:t>
      </w:r>
      <w:r w:rsidR="00034C66">
        <w:rPr>
          <w:snapToGrid w:val="0"/>
          <w:szCs w:val="20"/>
          <w:lang w:eastAsia="en-US"/>
        </w:rPr>
        <w:t>,</w:t>
      </w:r>
      <w:r w:rsidR="002D5C2D">
        <w:rPr>
          <w:snapToGrid w:val="0"/>
          <w:szCs w:val="20"/>
          <w:lang w:eastAsia="en-US"/>
        </w:rPr>
        <w:t xml:space="preserve"> </w:t>
      </w:r>
      <w:r w:rsidR="00034C66">
        <w:rPr>
          <w:snapToGrid w:val="0"/>
          <w:szCs w:val="20"/>
          <w:lang w:eastAsia="en-US"/>
        </w:rPr>
        <w:t>that for</w:t>
      </w:r>
      <w:r w:rsidR="002D5C2D">
        <w:rPr>
          <w:snapToGrid w:val="0"/>
          <w:szCs w:val="20"/>
          <w:lang w:eastAsia="en-US"/>
        </w:rPr>
        <w:t xml:space="preserve"> Ministry</w:t>
      </w:r>
      <w:r w:rsidR="002D5C2D" w:rsidRPr="00EC06E7">
        <w:rPr>
          <w:snapToGrid w:val="0"/>
          <w:szCs w:val="20"/>
          <w:lang w:eastAsia="en-US"/>
        </w:rPr>
        <w:t xml:space="preserve"> for </w:t>
      </w:r>
      <w:r w:rsidR="002D5C2D">
        <w:rPr>
          <w:snapToGrid w:val="0"/>
          <w:szCs w:val="20"/>
          <w:lang w:eastAsia="en-US"/>
        </w:rPr>
        <w:t xml:space="preserve">Housing, </w:t>
      </w:r>
      <w:r w:rsidR="002D5C2D" w:rsidRPr="00EC06E7">
        <w:rPr>
          <w:snapToGrid w:val="0"/>
          <w:szCs w:val="20"/>
          <w:lang w:eastAsia="en-US"/>
        </w:rPr>
        <w:t xml:space="preserve">Communities and Local Government </w:t>
      </w:r>
      <w:r w:rsidR="00034C66">
        <w:rPr>
          <w:snapToGrid w:val="0"/>
          <w:szCs w:val="20"/>
          <w:lang w:eastAsia="en-US"/>
        </w:rPr>
        <w:t>was 2</w:t>
      </w:r>
      <w:r w:rsidR="002D5C2D" w:rsidRPr="00EC06E7">
        <w:rPr>
          <w:snapToGrid w:val="0"/>
          <w:szCs w:val="20"/>
          <w:lang w:eastAsia="en-US"/>
        </w:rPr>
        <w:t xml:space="preserve">5%, </w:t>
      </w:r>
      <w:r w:rsidR="00034C66">
        <w:rPr>
          <w:snapToGrid w:val="0"/>
          <w:szCs w:val="20"/>
          <w:lang w:eastAsia="en-US"/>
        </w:rPr>
        <w:t xml:space="preserve">with </w:t>
      </w:r>
      <w:r w:rsidR="002D5C2D" w:rsidRPr="00EC06E7">
        <w:rPr>
          <w:snapToGrid w:val="0"/>
          <w:szCs w:val="20"/>
          <w:lang w:eastAsia="en-US"/>
        </w:rPr>
        <w:t xml:space="preserve">Lancashire County Council </w:t>
      </w:r>
      <w:r w:rsidR="00034C66">
        <w:rPr>
          <w:snapToGrid w:val="0"/>
          <w:szCs w:val="20"/>
          <w:lang w:eastAsia="en-US"/>
        </w:rPr>
        <w:t>17.5</w:t>
      </w:r>
      <w:r w:rsidR="002D5C2D" w:rsidRPr="00EC06E7">
        <w:rPr>
          <w:snapToGrid w:val="0"/>
          <w:szCs w:val="20"/>
          <w:lang w:eastAsia="en-US"/>
        </w:rPr>
        <w:t>% and the Lancashire Fire Authority 1</w:t>
      </w:r>
      <w:r w:rsidR="00034C66">
        <w:rPr>
          <w:snapToGrid w:val="0"/>
          <w:szCs w:val="20"/>
          <w:lang w:eastAsia="en-US"/>
        </w:rPr>
        <w:t>.5</w:t>
      </w:r>
      <w:r w:rsidR="002D5C2D">
        <w:rPr>
          <w:snapToGrid w:val="0"/>
          <w:szCs w:val="20"/>
          <w:lang w:eastAsia="en-US"/>
        </w:rPr>
        <w:t xml:space="preserve">%. Had these percentages remained </w:t>
      </w:r>
      <w:r w:rsidR="00CB79D4">
        <w:rPr>
          <w:snapToGrid w:val="0"/>
          <w:szCs w:val="20"/>
          <w:lang w:eastAsia="en-US"/>
        </w:rPr>
        <w:t>in place</w:t>
      </w:r>
      <w:r w:rsidR="002D5C2D">
        <w:rPr>
          <w:snapToGrid w:val="0"/>
          <w:szCs w:val="20"/>
          <w:lang w:eastAsia="en-US"/>
        </w:rPr>
        <w:t xml:space="preserve"> at the end of 20</w:t>
      </w:r>
      <w:r w:rsidR="00034C66">
        <w:rPr>
          <w:snapToGrid w:val="0"/>
          <w:szCs w:val="20"/>
          <w:lang w:eastAsia="en-US"/>
        </w:rPr>
        <w:t>20</w:t>
      </w:r>
      <w:r w:rsidR="002D5C2D">
        <w:rPr>
          <w:snapToGrid w:val="0"/>
          <w:szCs w:val="20"/>
          <w:lang w:eastAsia="en-US"/>
        </w:rPr>
        <w:t>/2</w:t>
      </w:r>
      <w:r w:rsidR="00034C66">
        <w:rPr>
          <w:snapToGrid w:val="0"/>
          <w:szCs w:val="20"/>
          <w:lang w:eastAsia="en-US"/>
        </w:rPr>
        <w:t>1</w:t>
      </w:r>
      <w:r w:rsidR="002D5C2D">
        <w:rPr>
          <w:snapToGrid w:val="0"/>
          <w:szCs w:val="20"/>
          <w:lang w:eastAsia="en-US"/>
        </w:rPr>
        <w:t xml:space="preserve">, then the </w:t>
      </w:r>
      <w:r w:rsidR="00BC0AA6">
        <w:rPr>
          <w:snapToGrid w:val="0"/>
          <w:szCs w:val="20"/>
          <w:lang w:eastAsia="en-US"/>
        </w:rPr>
        <w:t>c</w:t>
      </w:r>
      <w:r w:rsidR="002D5C2D">
        <w:rPr>
          <w:snapToGrid w:val="0"/>
          <w:szCs w:val="20"/>
          <w:lang w:eastAsia="en-US"/>
        </w:rPr>
        <w:t>ouncil’s share of the provision would have been £</w:t>
      </w:r>
      <w:r w:rsidR="00034C66">
        <w:rPr>
          <w:snapToGrid w:val="0"/>
          <w:szCs w:val="20"/>
          <w:lang w:eastAsia="en-US"/>
        </w:rPr>
        <w:t>2</w:t>
      </w:r>
      <w:r w:rsidR="002D5C2D">
        <w:rPr>
          <w:snapToGrid w:val="0"/>
          <w:szCs w:val="20"/>
          <w:lang w:eastAsia="en-US"/>
        </w:rPr>
        <w:t>.91</w:t>
      </w:r>
      <w:r w:rsidR="00034C66">
        <w:rPr>
          <w:snapToGrid w:val="0"/>
          <w:szCs w:val="20"/>
          <w:lang w:eastAsia="en-US"/>
        </w:rPr>
        <w:t>3</w:t>
      </w:r>
      <w:r w:rsidR="002D5C2D">
        <w:rPr>
          <w:snapToGrid w:val="0"/>
          <w:szCs w:val="20"/>
          <w:lang w:eastAsia="en-US"/>
        </w:rPr>
        <w:t>m.</w:t>
      </w:r>
    </w:p>
    <w:p w14:paraId="5A963F85" w14:textId="77777777" w:rsidR="00034C66" w:rsidRPr="00EC06E7" w:rsidRDefault="00034C66" w:rsidP="00A171A8">
      <w:pPr>
        <w:rPr>
          <w:snapToGrid w:val="0"/>
          <w:szCs w:val="20"/>
          <w:lang w:eastAsia="en-US"/>
        </w:rPr>
      </w:pPr>
    </w:p>
    <w:p w14:paraId="59917EA8" w14:textId="77777777" w:rsidR="00471920" w:rsidRPr="00EC06E7" w:rsidRDefault="00471920" w:rsidP="00E112CD">
      <w:pPr>
        <w:ind w:left="360" w:hanging="360"/>
        <w:rPr>
          <w:rFonts w:cs="Courier New"/>
          <w:szCs w:val="22"/>
        </w:rPr>
      </w:pPr>
    </w:p>
    <w:p w14:paraId="3DB4E7D8" w14:textId="77777777" w:rsidR="008B0D9B" w:rsidRDefault="008B0D9B">
      <w:pPr>
        <w:jc w:val="left"/>
        <w:rPr>
          <w:rFonts w:cs="Arial"/>
          <w:b/>
          <w:color w:val="0070C0"/>
          <w:szCs w:val="22"/>
        </w:rPr>
      </w:pPr>
      <w:bookmarkStart w:id="129" w:name="_Ref482027099"/>
      <w:bookmarkStart w:id="130" w:name="_Ref482027106"/>
      <w:bookmarkStart w:id="131" w:name="_Ref482027116"/>
      <w:bookmarkStart w:id="132" w:name="_Toc483390989"/>
      <w:r>
        <w:br w:type="page"/>
      </w:r>
    </w:p>
    <w:p w14:paraId="602F2A20" w14:textId="77777777" w:rsidR="00C8113E" w:rsidRPr="001422EA" w:rsidRDefault="006E1448" w:rsidP="004E5A07">
      <w:pPr>
        <w:pStyle w:val="Heading2"/>
      </w:pPr>
      <w:bookmarkStart w:id="133" w:name="_Toc77603799"/>
      <w:r w:rsidRPr="001422EA">
        <w:t>Usable reserve</w:t>
      </w:r>
      <w:bookmarkEnd w:id="129"/>
      <w:bookmarkEnd w:id="130"/>
      <w:bookmarkEnd w:id="131"/>
      <w:bookmarkEnd w:id="132"/>
      <w:r w:rsidR="001422EA">
        <w:t>s</w:t>
      </w:r>
      <w:bookmarkEnd w:id="133"/>
    </w:p>
    <w:p w14:paraId="0C6FF39B" w14:textId="77777777" w:rsidR="00C8113E" w:rsidRPr="00EC06E7" w:rsidRDefault="00C8113E" w:rsidP="00C8113E">
      <w:pPr>
        <w:ind w:left="360" w:hanging="360"/>
        <w:rPr>
          <w:rFonts w:cs="Courier New"/>
          <w:szCs w:val="22"/>
        </w:rPr>
      </w:pPr>
    </w:p>
    <w:p w14:paraId="3DE13CF4" w14:textId="3DD8BAAF" w:rsidR="00E878BD" w:rsidRPr="00EC06E7" w:rsidRDefault="00E878BD" w:rsidP="00E13B4D">
      <w:pPr>
        <w:rPr>
          <w:rFonts w:cs="Courier New"/>
          <w:szCs w:val="22"/>
        </w:rPr>
      </w:pPr>
      <w:r w:rsidRPr="00EC06E7">
        <w:rPr>
          <w:rFonts w:cs="Courier New"/>
          <w:szCs w:val="22"/>
        </w:rPr>
        <w:t>Movements in the Authority’s usable reserves are detailed in the</w:t>
      </w:r>
      <w:r w:rsidR="00C10986" w:rsidRPr="00EC06E7">
        <w:rPr>
          <w:rFonts w:cs="Courier New"/>
          <w:szCs w:val="22"/>
        </w:rPr>
        <w:t xml:space="preserve"> Movement in Reserves Statemen</w:t>
      </w:r>
      <w:r w:rsidR="000C1D03" w:rsidRPr="00EC06E7">
        <w:rPr>
          <w:rFonts w:cs="Courier New"/>
          <w:szCs w:val="22"/>
        </w:rPr>
        <w:t>t (page</w:t>
      </w:r>
      <w:r w:rsidR="00AE05D6" w:rsidRPr="00EC06E7">
        <w:rPr>
          <w:rFonts w:cs="Courier New"/>
          <w:szCs w:val="22"/>
        </w:rPr>
        <w:t xml:space="preserve"> </w:t>
      </w:r>
      <w:r w:rsidR="00F52125">
        <w:rPr>
          <w:rFonts w:cs="Courier New"/>
          <w:szCs w:val="22"/>
        </w:rPr>
        <w:t>43</w:t>
      </w:r>
      <w:r w:rsidR="00B41AD8" w:rsidRPr="00EC06E7">
        <w:rPr>
          <w:rFonts w:cs="Courier New"/>
          <w:szCs w:val="22"/>
        </w:rPr>
        <w:t>)</w:t>
      </w:r>
      <w:r w:rsidRPr="00EC06E7">
        <w:rPr>
          <w:rFonts w:cs="Courier New"/>
          <w:szCs w:val="22"/>
        </w:rPr>
        <w:t>.</w:t>
      </w:r>
    </w:p>
    <w:p w14:paraId="04EC2699" w14:textId="77777777" w:rsidR="00E13B4D" w:rsidRDefault="00E13B4D">
      <w:pPr>
        <w:rPr>
          <w:rFonts w:cs="Arial"/>
          <w:b/>
          <w:szCs w:val="22"/>
        </w:rPr>
      </w:pPr>
      <w:bookmarkStart w:id="134" w:name="_Ref454397629"/>
    </w:p>
    <w:p w14:paraId="729179C5" w14:textId="77777777" w:rsidR="008B0D9B" w:rsidRPr="00EC06E7" w:rsidRDefault="008B0D9B">
      <w:pPr>
        <w:rPr>
          <w:rFonts w:cs="Arial"/>
          <w:b/>
          <w:szCs w:val="22"/>
        </w:rPr>
      </w:pPr>
    </w:p>
    <w:p w14:paraId="51F971A0" w14:textId="77777777" w:rsidR="00C8113E" w:rsidRPr="001422EA" w:rsidRDefault="006E1448" w:rsidP="004E5A07">
      <w:pPr>
        <w:pStyle w:val="Heading2"/>
      </w:pPr>
      <w:bookmarkStart w:id="135" w:name="_Toc483390990"/>
      <w:bookmarkStart w:id="136" w:name="_Ref483392805"/>
      <w:bookmarkStart w:id="137" w:name="_Ref483393510"/>
      <w:bookmarkStart w:id="138" w:name="_Ref483393539"/>
      <w:bookmarkStart w:id="139" w:name="_Ref483393555"/>
      <w:bookmarkStart w:id="140" w:name="_Ref483393568"/>
      <w:bookmarkStart w:id="141" w:name="_Ref483393600"/>
      <w:bookmarkStart w:id="142" w:name="_Ref483393737"/>
      <w:bookmarkStart w:id="143" w:name="_Ref483393765"/>
      <w:bookmarkStart w:id="144" w:name="_Ref483394094"/>
      <w:bookmarkStart w:id="145" w:name="_Ref483394100"/>
      <w:bookmarkStart w:id="146" w:name="_Ref483394133"/>
      <w:bookmarkStart w:id="147" w:name="_Ref483394151"/>
      <w:bookmarkStart w:id="148" w:name="_Ref483394170"/>
      <w:bookmarkStart w:id="149" w:name="_Ref483394187"/>
      <w:bookmarkStart w:id="150" w:name="_Ref483394241"/>
      <w:bookmarkStart w:id="151" w:name="_Ref483394730"/>
      <w:bookmarkStart w:id="152" w:name="_Ref483394731"/>
      <w:bookmarkStart w:id="153" w:name="_Ref483394737"/>
      <w:bookmarkStart w:id="154" w:name="_Ref483394740"/>
      <w:bookmarkStart w:id="155" w:name="_Ref483394743"/>
      <w:bookmarkStart w:id="156" w:name="_Ref483394746"/>
      <w:bookmarkStart w:id="157" w:name="_Ref483394751"/>
      <w:bookmarkStart w:id="158" w:name="_Ref483394754"/>
      <w:bookmarkStart w:id="159" w:name="_Ref483395382"/>
      <w:bookmarkStart w:id="160" w:name="_Ref483396168"/>
      <w:bookmarkStart w:id="161" w:name="_Toc77603800"/>
      <w:r w:rsidRPr="001422EA">
        <w:t>Unusable reserves</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6988F917" w14:textId="3FD05636" w:rsidR="00C8113E" w:rsidRDefault="00C8113E" w:rsidP="00C8113E">
      <w:pPr>
        <w:ind w:left="360" w:hanging="360"/>
        <w:rPr>
          <w:rFonts w:cs="Courier New"/>
          <w:szCs w:val="22"/>
        </w:rPr>
      </w:pPr>
    </w:p>
    <w:p w14:paraId="368825DE" w14:textId="25DED45C" w:rsidR="00D971D5" w:rsidRDefault="0052791E" w:rsidP="00C8113E">
      <w:pPr>
        <w:ind w:left="360" w:hanging="360"/>
        <w:rPr>
          <w:rFonts w:cs="Courier New"/>
          <w:szCs w:val="22"/>
        </w:rPr>
      </w:pPr>
      <w:r>
        <w:rPr>
          <w:rFonts w:cs="Courier New"/>
          <w:szCs w:val="22"/>
        </w:rPr>
        <w:fldChar w:fldCharType="begin"/>
      </w:r>
      <w:r>
        <w:rPr>
          <w:rFonts w:cs="Courier New"/>
          <w:szCs w:val="22"/>
        </w:rPr>
        <w:instrText xml:space="preserve"> LINK Excel.Sheet.12 "\\\\alpha\\accounts$\\CLOSURE\\Closure 20-21\\04 SoA Working Papers\\25 Unusable Reserves\\Note 25 Unusable Reserves 2020-21.xlsx!Embedded Table!R2C1:R12C4" "" \a \p </w:instrText>
      </w:r>
      <w:r>
        <w:rPr>
          <w:rFonts w:cs="Courier New"/>
          <w:szCs w:val="22"/>
        </w:rPr>
        <w:fldChar w:fldCharType="separate"/>
      </w:r>
      <w:r w:rsidR="001C71EF">
        <w:rPr>
          <w:rFonts w:cs="Courier New"/>
          <w:szCs w:val="22"/>
        </w:rPr>
        <w:object w:dxaOrig="11077" w:dyaOrig="3708" w14:anchorId="22D05F19">
          <v:shape id="_x0000_i1055" type="#_x0000_t75" style="width:482.25pt;height:180pt" o:ole="">
            <v:imagedata r:id="rId82" o:title=""/>
            <o:lock v:ext="edit" aspectratio="f"/>
          </v:shape>
        </w:object>
      </w:r>
      <w:r>
        <w:rPr>
          <w:rFonts w:cs="Courier New"/>
          <w:szCs w:val="22"/>
        </w:rPr>
        <w:fldChar w:fldCharType="end"/>
      </w:r>
    </w:p>
    <w:p w14:paraId="3FE13EBC" w14:textId="77777777" w:rsidR="00D971D5" w:rsidRDefault="00D971D5" w:rsidP="00C8113E">
      <w:pPr>
        <w:ind w:left="360" w:hanging="360"/>
        <w:rPr>
          <w:rFonts w:cs="Courier New"/>
          <w:szCs w:val="22"/>
        </w:rPr>
      </w:pPr>
    </w:p>
    <w:p w14:paraId="7B2C79B6" w14:textId="77777777" w:rsidR="00DD70B3" w:rsidRPr="00EC06E7" w:rsidRDefault="00F1061D" w:rsidP="007F7857">
      <w:pPr>
        <w:rPr>
          <w:rFonts w:cs="Courier New"/>
          <w:b/>
          <w:szCs w:val="22"/>
        </w:rPr>
      </w:pPr>
      <w:r>
        <w:rPr>
          <w:rFonts w:cs="Courier New"/>
          <w:b/>
          <w:szCs w:val="22"/>
        </w:rPr>
        <w:t>25</w:t>
      </w:r>
      <w:r w:rsidR="00DD70B3" w:rsidRPr="001422EA">
        <w:rPr>
          <w:rFonts w:cs="Courier New"/>
          <w:b/>
          <w:szCs w:val="22"/>
        </w:rPr>
        <w:t>a</w:t>
      </w:r>
      <w:r w:rsidR="00DD70B3" w:rsidRPr="001422EA">
        <w:rPr>
          <w:rFonts w:cs="Courier New"/>
          <w:b/>
          <w:szCs w:val="22"/>
        </w:rPr>
        <w:tab/>
        <w:t>Revaluation Reserve</w:t>
      </w:r>
      <w:r w:rsidR="006B1172" w:rsidRPr="00EC06E7">
        <w:rPr>
          <w:rFonts w:cs="Courier New"/>
          <w:b/>
          <w:szCs w:val="22"/>
        </w:rPr>
        <w:t xml:space="preserve"> </w:t>
      </w:r>
    </w:p>
    <w:p w14:paraId="74463E2A" w14:textId="77777777" w:rsidR="004C3CFE" w:rsidRPr="00EC06E7" w:rsidRDefault="004C3CFE" w:rsidP="007F7857">
      <w:pPr>
        <w:rPr>
          <w:rFonts w:cs="Courier New"/>
          <w:szCs w:val="22"/>
        </w:rPr>
      </w:pPr>
    </w:p>
    <w:p w14:paraId="45CBC59F" w14:textId="77777777" w:rsidR="001920F3" w:rsidRPr="00EC06E7" w:rsidRDefault="00DD70B3" w:rsidP="007F7857">
      <w:pPr>
        <w:rPr>
          <w:rFonts w:cs="Courier New"/>
          <w:szCs w:val="22"/>
        </w:rPr>
      </w:pPr>
      <w:r w:rsidRPr="00EC06E7">
        <w:rPr>
          <w:rFonts w:cs="Courier New"/>
          <w:szCs w:val="22"/>
        </w:rPr>
        <w:t xml:space="preserve">The Revaluation Reserve </w:t>
      </w:r>
      <w:r w:rsidR="001920F3" w:rsidRPr="00EC06E7">
        <w:rPr>
          <w:rFonts w:cs="Courier New"/>
          <w:szCs w:val="22"/>
        </w:rPr>
        <w:t>contains</w:t>
      </w:r>
      <w:r w:rsidRPr="00EC06E7">
        <w:rPr>
          <w:rFonts w:cs="Courier New"/>
          <w:szCs w:val="22"/>
        </w:rPr>
        <w:t xml:space="preserve"> the gains arising from increases in the valuation of Property, Plan</w:t>
      </w:r>
      <w:r w:rsidR="00975ACE" w:rsidRPr="00EC06E7">
        <w:rPr>
          <w:rFonts w:cs="Courier New"/>
          <w:szCs w:val="22"/>
        </w:rPr>
        <w:t>t</w:t>
      </w:r>
      <w:r w:rsidR="001920F3" w:rsidRPr="00EC06E7">
        <w:rPr>
          <w:rFonts w:cs="Courier New"/>
          <w:szCs w:val="22"/>
        </w:rPr>
        <w:t xml:space="preserve"> &amp;</w:t>
      </w:r>
      <w:r w:rsidRPr="00EC06E7">
        <w:rPr>
          <w:rFonts w:cs="Courier New"/>
          <w:szCs w:val="22"/>
        </w:rPr>
        <w:t xml:space="preserve"> Equipment</w:t>
      </w:r>
      <w:r w:rsidR="001920F3" w:rsidRPr="00EC06E7">
        <w:rPr>
          <w:rFonts w:cs="Courier New"/>
          <w:szCs w:val="22"/>
        </w:rPr>
        <w:t xml:space="preserve"> and Intangible Assets</w:t>
      </w:r>
      <w:r w:rsidR="0061447C" w:rsidRPr="00EC06E7">
        <w:rPr>
          <w:rFonts w:cs="Courier New"/>
          <w:szCs w:val="22"/>
        </w:rPr>
        <w:t>. The balance is reduced</w:t>
      </w:r>
      <w:r w:rsidR="001920F3" w:rsidRPr="00EC06E7">
        <w:rPr>
          <w:rFonts w:cs="Courier New"/>
          <w:szCs w:val="22"/>
        </w:rPr>
        <w:t xml:space="preserve"> when assets with accumulated gains are:</w:t>
      </w:r>
    </w:p>
    <w:p w14:paraId="3569420C" w14:textId="77777777" w:rsidR="001920F3" w:rsidRPr="00EC06E7" w:rsidRDefault="001920F3" w:rsidP="00496186">
      <w:pPr>
        <w:pStyle w:val="ListParagraph"/>
        <w:numPr>
          <w:ilvl w:val="0"/>
          <w:numId w:val="13"/>
        </w:numPr>
        <w:rPr>
          <w:rFonts w:cs="Courier New"/>
          <w:szCs w:val="22"/>
        </w:rPr>
      </w:pPr>
      <w:r w:rsidRPr="00EC06E7">
        <w:rPr>
          <w:rFonts w:cs="Courier New"/>
          <w:szCs w:val="22"/>
        </w:rPr>
        <w:t>Revalued downwards or impaired and the gains are lost</w:t>
      </w:r>
    </w:p>
    <w:p w14:paraId="2217A5AC" w14:textId="77777777" w:rsidR="001920F3" w:rsidRPr="00EC06E7" w:rsidRDefault="001920F3" w:rsidP="00496186">
      <w:pPr>
        <w:pStyle w:val="ListParagraph"/>
        <w:numPr>
          <w:ilvl w:val="0"/>
          <w:numId w:val="13"/>
        </w:numPr>
        <w:rPr>
          <w:rFonts w:cs="Courier New"/>
          <w:szCs w:val="22"/>
        </w:rPr>
      </w:pPr>
      <w:r w:rsidRPr="00EC06E7">
        <w:rPr>
          <w:rFonts w:cs="Courier New"/>
          <w:szCs w:val="22"/>
        </w:rPr>
        <w:t>Used in the provision of services and the gains are consumed through depreciation, or</w:t>
      </w:r>
    </w:p>
    <w:p w14:paraId="003B6CC3" w14:textId="77777777" w:rsidR="001920F3" w:rsidRPr="00EC06E7" w:rsidRDefault="001920F3" w:rsidP="00496186">
      <w:pPr>
        <w:pStyle w:val="ListParagraph"/>
        <w:numPr>
          <w:ilvl w:val="0"/>
          <w:numId w:val="13"/>
        </w:numPr>
        <w:rPr>
          <w:rFonts w:cs="Courier New"/>
          <w:szCs w:val="22"/>
        </w:rPr>
      </w:pPr>
      <w:r w:rsidRPr="00EC06E7">
        <w:rPr>
          <w:rFonts w:cs="Courier New"/>
          <w:szCs w:val="22"/>
        </w:rPr>
        <w:t>Disposed of and the gains are realised</w:t>
      </w:r>
    </w:p>
    <w:p w14:paraId="02C82DF0" w14:textId="77777777" w:rsidR="001920F3" w:rsidRPr="00EC06E7" w:rsidRDefault="001920F3" w:rsidP="007F7857">
      <w:pPr>
        <w:rPr>
          <w:rFonts w:cs="Courier New"/>
          <w:szCs w:val="22"/>
        </w:rPr>
      </w:pPr>
    </w:p>
    <w:p w14:paraId="54971366" w14:textId="77777777" w:rsidR="0061447C" w:rsidRPr="00EC06E7" w:rsidRDefault="0061447C" w:rsidP="007F7857">
      <w:pPr>
        <w:rPr>
          <w:rFonts w:cs="Courier New"/>
          <w:szCs w:val="22"/>
        </w:rPr>
      </w:pPr>
      <w:r w:rsidRPr="00EC06E7">
        <w:rPr>
          <w:rFonts w:cs="Courier New"/>
          <w:szCs w:val="22"/>
        </w:rPr>
        <w:t xml:space="preserve">The </w:t>
      </w:r>
      <w:r w:rsidR="005E33E2" w:rsidRPr="00EC06E7">
        <w:rPr>
          <w:rFonts w:cs="Courier New"/>
          <w:szCs w:val="22"/>
        </w:rPr>
        <w:t>r</w:t>
      </w:r>
      <w:r w:rsidRPr="00EC06E7">
        <w:rPr>
          <w:rFonts w:cs="Courier New"/>
          <w:szCs w:val="22"/>
        </w:rPr>
        <w:t>eserve holds only gains accumulated since 1 April 2007</w:t>
      </w:r>
      <w:r w:rsidR="001920F3" w:rsidRPr="00EC06E7">
        <w:rPr>
          <w:rFonts w:cs="Courier New"/>
          <w:szCs w:val="22"/>
        </w:rPr>
        <w:t>, the date it was created</w:t>
      </w:r>
      <w:r w:rsidRPr="00EC06E7">
        <w:rPr>
          <w:rFonts w:cs="Courier New"/>
          <w:szCs w:val="22"/>
        </w:rPr>
        <w:t>.</w:t>
      </w:r>
      <w:r w:rsidR="001920F3" w:rsidRPr="00EC06E7">
        <w:rPr>
          <w:rFonts w:cs="Courier New"/>
          <w:szCs w:val="22"/>
        </w:rPr>
        <w:t xml:space="preserve"> </w:t>
      </w:r>
      <w:r w:rsidRPr="00EC06E7">
        <w:rPr>
          <w:rFonts w:cs="Courier New"/>
          <w:szCs w:val="22"/>
        </w:rPr>
        <w:t xml:space="preserve"> Gains prior to that date </w:t>
      </w:r>
      <w:r w:rsidR="001920F3" w:rsidRPr="00EC06E7">
        <w:rPr>
          <w:rFonts w:cs="Courier New"/>
          <w:szCs w:val="22"/>
        </w:rPr>
        <w:t>a</w:t>
      </w:r>
      <w:r w:rsidRPr="00EC06E7">
        <w:rPr>
          <w:rFonts w:cs="Courier New"/>
          <w:szCs w:val="22"/>
        </w:rPr>
        <w:t>re consolidated in the Capital Adjustment Account.</w:t>
      </w:r>
    </w:p>
    <w:p w14:paraId="42D015A5" w14:textId="28FDF52C" w:rsidR="0061447C" w:rsidRDefault="0061447C" w:rsidP="007F7857">
      <w:pPr>
        <w:rPr>
          <w:rFonts w:cs="Courier New"/>
          <w:szCs w:val="22"/>
        </w:rPr>
      </w:pPr>
    </w:p>
    <w:p w14:paraId="31B3729A" w14:textId="4DB1F69E" w:rsidR="0061206A" w:rsidRDefault="0061206A" w:rsidP="007F7857">
      <w:pPr>
        <w:rPr>
          <w:rFonts w:cs="Courier New"/>
          <w:szCs w:val="22"/>
        </w:rPr>
      </w:pPr>
      <w:r>
        <w:rPr>
          <w:rFonts w:cs="Courier New"/>
          <w:szCs w:val="22"/>
        </w:rPr>
        <w:fldChar w:fldCharType="begin"/>
      </w:r>
      <w:r>
        <w:rPr>
          <w:rFonts w:cs="Courier New"/>
          <w:szCs w:val="22"/>
        </w:rPr>
        <w:instrText xml:space="preserve"> LINK Excel.Sheet.12 "\\\\alpha\\accounts$\\CLOSURE\\Closure 20-21\\04 SoA Working Papers\\25 Unusable Reserves\\Note 25a Revaluation Reserve 2020-21.xlsx!Embedded Table!R2C1:R9C3" "" \a \p </w:instrText>
      </w:r>
      <w:r>
        <w:rPr>
          <w:rFonts w:cs="Courier New"/>
          <w:szCs w:val="22"/>
        </w:rPr>
        <w:fldChar w:fldCharType="separate"/>
      </w:r>
      <w:r w:rsidR="001C71EF">
        <w:rPr>
          <w:rFonts w:cs="Courier New"/>
          <w:szCs w:val="22"/>
        </w:rPr>
        <w:object w:dxaOrig="10578" w:dyaOrig="2428" w14:anchorId="23481BC5">
          <v:shape id="_x0000_i1056" type="#_x0000_t75" style="width:460.55pt;height:115.45pt" o:ole="">
            <v:imagedata r:id="rId83" o:title=""/>
            <o:lock v:ext="edit" aspectratio="f"/>
          </v:shape>
        </w:object>
      </w:r>
      <w:r>
        <w:rPr>
          <w:rFonts w:cs="Courier New"/>
          <w:szCs w:val="22"/>
        </w:rPr>
        <w:fldChar w:fldCharType="end"/>
      </w:r>
    </w:p>
    <w:p w14:paraId="57193DDE" w14:textId="77777777" w:rsidR="0061206A" w:rsidRDefault="0061206A" w:rsidP="007F7857">
      <w:pPr>
        <w:rPr>
          <w:rFonts w:cs="Courier New"/>
          <w:szCs w:val="22"/>
        </w:rPr>
      </w:pPr>
    </w:p>
    <w:p w14:paraId="5D4F96BD" w14:textId="77777777" w:rsidR="006414B9" w:rsidRDefault="006414B9" w:rsidP="007F7857">
      <w:pPr>
        <w:rPr>
          <w:rFonts w:cs="Courier New"/>
          <w:szCs w:val="22"/>
        </w:rPr>
      </w:pPr>
    </w:p>
    <w:p w14:paraId="5156B357" w14:textId="77777777" w:rsidR="00F1061D" w:rsidRDefault="00F1061D">
      <w:pPr>
        <w:jc w:val="left"/>
        <w:rPr>
          <w:rFonts w:cs="Courier New"/>
          <w:b/>
          <w:szCs w:val="22"/>
        </w:rPr>
      </w:pPr>
      <w:r>
        <w:rPr>
          <w:rFonts w:cs="Courier New"/>
          <w:b/>
          <w:szCs w:val="22"/>
        </w:rPr>
        <w:br w:type="page"/>
      </w:r>
    </w:p>
    <w:p w14:paraId="062AF2EA" w14:textId="77777777" w:rsidR="0061447C" w:rsidRPr="00EC06E7" w:rsidRDefault="00F1061D" w:rsidP="007F7857">
      <w:pPr>
        <w:rPr>
          <w:rFonts w:cs="Courier New"/>
          <w:b/>
          <w:szCs w:val="22"/>
        </w:rPr>
      </w:pPr>
      <w:r>
        <w:rPr>
          <w:rFonts w:cs="Courier New"/>
          <w:b/>
          <w:szCs w:val="22"/>
        </w:rPr>
        <w:t>25</w:t>
      </w:r>
      <w:r w:rsidR="0061447C" w:rsidRPr="001422EA">
        <w:rPr>
          <w:rFonts w:cs="Courier New"/>
          <w:b/>
          <w:szCs w:val="22"/>
        </w:rPr>
        <w:t>b</w:t>
      </w:r>
      <w:r w:rsidR="0061447C" w:rsidRPr="001422EA">
        <w:rPr>
          <w:rFonts w:cs="Courier New"/>
          <w:b/>
          <w:szCs w:val="22"/>
        </w:rPr>
        <w:tab/>
        <w:t>Capital Adjustment Account</w:t>
      </w:r>
      <w:r w:rsidR="006B1172" w:rsidRPr="00EC06E7">
        <w:rPr>
          <w:rFonts w:cs="Courier New"/>
          <w:b/>
          <w:szCs w:val="22"/>
        </w:rPr>
        <w:t xml:space="preserve"> </w:t>
      </w:r>
    </w:p>
    <w:p w14:paraId="38B5BA79" w14:textId="77777777" w:rsidR="004C3CFE" w:rsidRPr="00EC06E7" w:rsidRDefault="004C3CFE" w:rsidP="007F7857">
      <w:pPr>
        <w:rPr>
          <w:rFonts w:cs="Courier New"/>
          <w:b/>
          <w:szCs w:val="22"/>
        </w:rPr>
      </w:pPr>
    </w:p>
    <w:p w14:paraId="2EBF8807" w14:textId="77777777" w:rsidR="0061447C" w:rsidRPr="00EC06E7" w:rsidRDefault="007344C0" w:rsidP="007F7857">
      <w:pPr>
        <w:rPr>
          <w:rFonts w:cs="Courier New"/>
          <w:szCs w:val="22"/>
        </w:rPr>
      </w:pPr>
      <w:r w:rsidRPr="00EC06E7">
        <w:rPr>
          <w:rFonts w:cs="Courier New"/>
          <w:szCs w:val="22"/>
        </w:rPr>
        <w:t xml:space="preserve">This account absorbs the timing differences arising from the different arrangements for accounting for the consumption of non-current assets and for financing the acquisition, construction or additions to those assets.  </w:t>
      </w:r>
      <w:r w:rsidR="0034777D" w:rsidRPr="00EC06E7">
        <w:rPr>
          <w:rFonts w:cs="Courier New"/>
          <w:szCs w:val="22"/>
        </w:rPr>
        <w:t>Th</w:t>
      </w:r>
      <w:r w:rsidRPr="00EC06E7">
        <w:rPr>
          <w:rFonts w:cs="Courier New"/>
          <w:szCs w:val="22"/>
        </w:rPr>
        <w:t>e</w:t>
      </w:r>
      <w:r w:rsidR="0034777D" w:rsidRPr="00EC06E7">
        <w:rPr>
          <w:rFonts w:cs="Courier New"/>
          <w:szCs w:val="22"/>
        </w:rPr>
        <w:t xml:space="preserve"> account contains the following</w:t>
      </w:r>
      <w:r w:rsidR="00B71E0E" w:rsidRPr="00EC06E7">
        <w:rPr>
          <w:rFonts w:cs="Courier New"/>
          <w:szCs w:val="22"/>
        </w:rPr>
        <w:t>:</w:t>
      </w:r>
    </w:p>
    <w:p w14:paraId="04D246BE" w14:textId="77777777" w:rsidR="0061447C" w:rsidRPr="00EC06E7" w:rsidRDefault="0034777D" w:rsidP="00CC5901">
      <w:pPr>
        <w:numPr>
          <w:ilvl w:val="0"/>
          <w:numId w:val="2"/>
        </w:numPr>
        <w:tabs>
          <w:tab w:val="clear" w:pos="1800"/>
          <w:tab w:val="num" w:pos="993"/>
        </w:tabs>
        <w:ind w:left="900" w:hanging="333"/>
        <w:rPr>
          <w:rFonts w:cs="Courier New"/>
          <w:szCs w:val="22"/>
        </w:rPr>
      </w:pPr>
      <w:r w:rsidRPr="00EC06E7">
        <w:rPr>
          <w:rFonts w:cs="Courier New"/>
          <w:szCs w:val="22"/>
        </w:rPr>
        <w:t>Sums set aside to finance capital expenditure</w:t>
      </w:r>
      <w:r w:rsidR="00DC3AF2" w:rsidRPr="00EC06E7">
        <w:rPr>
          <w:rFonts w:cs="Courier New"/>
          <w:szCs w:val="22"/>
        </w:rPr>
        <w:t>.</w:t>
      </w:r>
    </w:p>
    <w:p w14:paraId="11F0A478" w14:textId="77777777" w:rsidR="0034777D" w:rsidRPr="00EC06E7" w:rsidRDefault="0034777D" w:rsidP="00CC5901">
      <w:pPr>
        <w:numPr>
          <w:ilvl w:val="0"/>
          <w:numId w:val="2"/>
        </w:numPr>
        <w:tabs>
          <w:tab w:val="clear" w:pos="1800"/>
          <w:tab w:val="num" w:pos="993"/>
        </w:tabs>
        <w:ind w:left="900" w:hanging="333"/>
        <w:rPr>
          <w:rFonts w:cs="Courier New"/>
          <w:szCs w:val="22"/>
        </w:rPr>
      </w:pPr>
      <w:r w:rsidRPr="00EC06E7">
        <w:rPr>
          <w:rFonts w:cs="Courier New"/>
          <w:szCs w:val="22"/>
        </w:rPr>
        <w:t>Accumulated gains and losses on Investment Properties</w:t>
      </w:r>
      <w:r w:rsidR="00DC3AF2" w:rsidRPr="00EC06E7">
        <w:rPr>
          <w:rFonts w:cs="Courier New"/>
          <w:szCs w:val="22"/>
        </w:rPr>
        <w:t>.</w:t>
      </w:r>
    </w:p>
    <w:p w14:paraId="57E240F8" w14:textId="77777777" w:rsidR="00A60717" w:rsidRPr="00EC06E7" w:rsidRDefault="0034777D" w:rsidP="00CC5901">
      <w:pPr>
        <w:numPr>
          <w:ilvl w:val="0"/>
          <w:numId w:val="2"/>
        </w:numPr>
        <w:tabs>
          <w:tab w:val="clear" w:pos="1800"/>
          <w:tab w:val="num" w:pos="993"/>
        </w:tabs>
        <w:ind w:left="900" w:hanging="333"/>
        <w:rPr>
          <w:rFonts w:cs="Courier New"/>
          <w:szCs w:val="22"/>
        </w:rPr>
      </w:pPr>
      <w:r w:rsidRPr="00EC06E7">
        <w:rPr>
          <w:rFonts w:cs="Courier New"/>
          <w:szCs w:val="22"/>
        </w:rPr>
        <w:t>Revaluation gains on Property, Plant and Equipment accumulating prior to 1 April 2007</w:t>
      </w:r>
      <w:r w:rsidR="00DC3AF2" w:rsidRPr="00EC06E7">
        <w:rPr>
          <w:rFonts w:cs="Courier New"/>
          <w:szCs w:val="22"/>
        </w:rPr>
        <w:t>.</w:t>
      </w:r>
    </w:p>
    <w:p w14:paraId="1DE35ED6" w14:textId="77777777" w:rsidR="0034777D" w:rsidRDefault="00FA68E5" w:rsidP="00CC5901">
      <w:pPr>
        <w:numPr>
          <w:ilvl w:val="0"/>
          <w:numId w:val="2"/>
        </w:numPr>
        <w:tabs>
          <w:tab w:val="clear" w:pos="1800"/>
          <w:tab w:val="num" w:pos="993"/>
        </w:tabs>
        <w:ind w:left="900" w:hanging="333"/>
        <w:rPr>
          <w:rFonts w:cs="Courier New"/>
          <w:szCs w:val="22"/>
        </w:rPr>
      </w:pPr>
      <w:r w:rsidRPr="00EC06E7">
        <w:rPr>
          <w:rFonts w:cs="Courier New"/>
          <w:szCs w:val="22"/>
        </w:rPr>
        <w:t>The difference</w:t>
      </w:r>
      <w:r w:rsidR="0034777D" w:rsidRPr="00EC06E7">
        <w:rPr>
          <w:rFonts w:cs="Courier New"/>
          <w:szCs w:val="22"/>
        </w:rPr>
        <w:t xml:space="preserve"> </w:t>
      </w:r>
      <w:r w:rsidRPr="00EC06E7">
        <w:rPr>
          <w:rFonts w:cs="Courier New"/>
          <w:szCs w:val="22"/>
        </w:rPr>
        <w:t>between the charges required by accounting practice for the amortisation of assets (depre</w:t>
      </w:r>
      <w:r w:rsidR="00D669E4" w:rsidRPr="00EC06E7">
        <w:rPr>
          <w:rFonts w:cs="Courier New"/>
          <w:szCs w:val="22"/>
        </w:rPr>
        <w:t xml:space="preserve">ciation and impairment) and the </w:t>
      </w:r>
      <w:r w:rsidRPr="00EC06E7">
        <w:rPr>
          <w:rFonts w:cs="Courier New"/>
          <w:szCs w:val="22"/>
        </w:rPr>
        <w:t>de-recognition of assets, and the capital charges required by statute.</w:t>
      </w:r>
    </w:p>
    <w:p w14:paraId="36B9EB12" w14:textId="273D4097" w:rsidR="001422EA" w:rsidRDefault="001422EA" w:rsidP="001422EA">
      <w:pPr>
        <w:rPr>
          <w:rFonts w:cs="Courier New"/>
          <w:szCs w:val="22"/>
        </w:rPr>
      </w:pPr>
    </w:p>
    <w:p w14:paraId="73E3B84B" w14:textId="464D11AA" w:rsidR="00067238" w:rsidRDefault="00067238" w:rsidP="001422EA">
      <w:pPr>
        <w:rPr>
          <w:rFonts w:cs="Courier New"/>
          <w:szCs w:val="22"/>
        </w:rPr>
      </w:pPr>
      <w:r>
        <w:rPr>
          <w:rFonts w:cs="Courier New"/>
          <w:szCs w:val="22"/>
        </w:rPr>
        <w:fldChar w:fldCharType="begin"/>
      </w:r>
      <w:r>
        <w:rPr>
          <w:rFonts w:cs="Courier New"/>
          <w:szCs w:val="22"/>
        </w:rPr>
        <w:instrText xml:space="preserve"> LINK Excel.Sheet.12 "\\\\alpha\\accounts$\\CLOSURE\\Closure 20-21\\04 SoA Working Papers\\25 Unusable Reserves\\Note 25b Capital Adjustment Account 2020-21.xlsx!Embedded Table!R2C1:R22C5" "" \a \p </w:instrText>
      </w:r>
      <w:r>
        <w:rPr>
          <w:rFonts w:cs="Courier New"/>
          <w:szCs w:val="22"/>
        </w:rPr>
        <w:fldChar w:fldCharType="separate"/>
      </w:r>
      <w:r w:rsidR="001C71EF">
        <w:rPr>
          <w:rFonts w:cs="Courier New"/>
          <w:szCs w:val="22"/>
        </w:rPr>
        <w:object w:dxaOrig="10131" w:dyaOrig="10079" w14:anchorId="1FEF5380">
          <v:shape id="_x0000_i1057" type="#_x0000_t75" style="width:446.25pt;height:482.25pt" o:ole="">
            <v:imagedata r:id="rId84" o:title=""/>
            <o:lock v:ext="edit" aspectratio="f"/>
          </v:shape>
        </w:object>
      </w:r>
      <w:r>
        <w:rPr>
          <w:rFonts w:cs="Courier New"/>
          <w:szCs w:val="22"/>
        </w:rPr>
        <w:fldChar w:fldCharType="end"/>
      </w:r>
    </w:p>
    <w:p w14:paraId="70785047" w14:textId="77777777" w:rsidR="00067238" w:rsidRDefault="00067238" w:rsidP="001422EA">
      <w:pPr>
        <w:rPr>
          <w:rFonts w:cs="Courier New"/>
          <w:szCs w:val="22"/>
        </w:rPr>
      </w:pPr>
    </w:p>
    <w:p w14:paraId="62A7FF3E" w14:textId="77777777" w:rsidR="005D3176" w:rsidRDefault="005D3176" w:rsidP="001422EA">
      <w:pPr>
        <w:rPr>
          <w:rFonts w:cs="Courier New"/>
          <w:szCs w:val="22"/>
        </w:rPr>
      </w:pPr>
    </w:p>
    <w:p w14:paraId="2169E0B0" w14:textId="77777777" w:rsidR="004C72C6" w:rsidRDefault="004C72C6">
      <w:pPr>
        <w:jc w:val="left"/>
        <w:rPr>
          <w:rFonts w:cs="Courier New"/>
          <w:b/>
          <w:szCs w:val="22"/>
        </w:rPr>
      </w:pPr>
      <w:r>
        <w:rPr>
          <w:rFonts w:cs="Courier New"/>
          <w:b/>
          <w:szCs w:val="22"/>
        </w:rPr>
        <w:br w:type="page"/>
      </w:r>
    </w:p>
    <w:p w14:paraId="42FA3D84" w14:textId="0B003124" w:rsidR="004C72C6" w:rsidRPr="00EC06E7" w:rsidRDefault="004C72C6" w:rsidP="004C72C6">
      <w:pPr>
        <w:rPr>
          <w:rFonts w:cs="Courier New"/>
          <w:b/>
          <w:szCs w:val="22"/>
        </w:rPr>
      </w:pPr>
      <w:r>
        <w:rPr>
          <w:rFonts w:cs="Courier New"/>
          <w:b/>
          <w:szCs w:val="22"/>
        </w:rPr>
        <w:t>25</w:t>
      </w:r>
      <w:r w:rsidRPr="001422EA">
        <w:rPr>
          <w:rFonts w:cs="Courier New"/>
          <w:b/>
          <w:szCs w:val="22"/>
        </w:rPr>
        <w:t>c</w:t>
      </w:r>
      <w:r w:rsidRPr="001422EA">
        <w:rPr>
          <w:rFonts w:cs="Courier New"/>
          <w:b/>
          <w:szCs w:val="22"/>
        </w:rPr>
        <w:tab/>
        <w:t xml:space="preserve"> Financial Instruments Adjustment Account</w:t>
      </w:r>
    </w:p>
    <w:p w14:paraId="1516BB6F" w14:textId="77777777" w:rsidR="004C72C6" w:rsidRPr="00EC06E7" w:rsidRDefault="004C72C6" w:rsidP="004C72C6">
      <w:pPr>
        <w:rPr>
          <w:rFonts w:cs="Courier New"/>
          <w:b/>
          <w:szCs w:val="22"/>
        </w:rPr>
      </w:pPr>
    </w:p>
    <w:p w14:paraId="242159EF" w14:textId="57115B47" w:rsidR="004C72C6" w:rsidRPr="00EC06E7" w:rsidRDefault="004C72C6" w:rsidP="004C72C6">
      <w:pPr>
        <w:rPr>
          <w:rFonts w:cs="Courier New"/>
          <w:szCs w:val="22"/>
        </w:rPr>
      </w:pPr>
      <w:r w:rsidRPr="00EC06E7">
        <w:rPr>
          <w:rFonts w:cs="Courier New"/>
          <w:szCs w:val="22"/>
        </w:rPr>
        <w:t>This account contains postings arising from the difference between the requirements of accounting practice and statute in respect of certain financial instruments.</w:t>
      </w:r>
      <w:r>
        <w:rPr>
          <w:rFonts w:cs="Courier New"/>
          <w:szCs w:val="22"/>
        </w:rPr>
        <w:t xml:space="preserve"> </w:t>
      </w:r>
      <w:proofErr w:type="gramStart"/>
      <w:r>
        <w:rPr>
          <w:rFonts w:cs="Courier New"/>
          <w:szCs w:val="22"/>
        </w:rPr>
        <w:t>All of</w:t>
      </w:r>
      <w:proofErr w:type="gramEnd"/>
      <w:r>
        <w:rPr>
          <w:rFonts w:cs="Courier New"/>
          <w:szCs w:val="22"/>
        </w:rPr>
        <w:t xml:space="preserve"> the remaining transactions were completed </w:t>
      </w:r>
      <w:r w:rsidR="005C62B0">
        <w:rPr>
          <w:rFonts w:cs="Courier New"/>
          <w:szCs w:val="22"/>
        </w:rPr>
        <w:t>in 2019/20 and there is now no remaining balance on this account.</w:t>
      </w:r>
    </w:p>
    <w:p w14:paraId="2E83D9AD" w14:textId="77777777" w:rsidR="004C72C6" w:rsidRDefault="004C72C6" w:rsidP="004C72C6">
      <w:pPr>
        <w:rPr>
          <w:rFonts w:cs="Courier New"/>
          <w:szCs w:val="22"/>
        </w:rPr>
      </w:pPr>
    </w:p>
    <w:p w14:paraId="13429000" w14:textId="03A700F4" w:rsidR="004C72C6" w:rsidRDefault="004C72C6" w:rsidP="004C72C6">
      <w:pPr>
        <w:rPr>
          <w:rFonts w:cs="Courier New"/>
          <w:szCs w:val="22"/>
        </w:rPr>
      </w:pPr>
      <w:r>
        <w:rPr>
          <w:rFonts w:cs="Courier New"/>
          <w:szCs w:val="22"/>
        </w:rPr>
        <w:fldChar w:fldCharType="begin"/>
      </w:r>
      <w:r>
        <w:rPr>
          <w:rFonts w:cs="Courier New"/>
          <w:szCs w:val="22"/>
        </w:rPr>
        <w:instrText xml:space="preserve"> LINK Excel.Sheet.12 "\\\\alpha\\accounts$\\CLOSURE\\Closure 20-21\\04 SoA Working Papers\\25 Unusable Reserves\\Note 25c Financial Instruments Adjustment Account 2020-21.xlsx!Embedded Table!R2C1:R8C3" "" \a \p </w:instrText>
      </w:r>
      <w:r>
        <w:rPr>
          <w:rFonts w:cs="Courier New"/>
          <w:szCs w:val="22"/>
        </w:rPr>
        <w:fldChar w:fldCharType="separate"/>
      </w:r>
      <w:r w:rsidR="001C71EF">
        <w:rPr>
          <w:rFonts w:cs="Courier New"/>
          <w:szCs w:val="22"/>
        </w:rPr>
        <w:object w:dxaOrig="10995" w:dyaOrig="2028" w14:anchorId="2DF3C541">
          <v:shape id="_x0000_i1058" type="#_x0000_t75" style="width:482.25pt;height:100.55pt" o:ole="">
            <v:imagedata r:id="rId85" o:title=""/>
            <o:lock v:ext="edit" aspectratio="f"/>
          </v:shape>
        </w:object>
      </w:r>
      <w:r>
        <w:rPr>
          <w:rFonts w:cs="Courier New"/>
          <w:szCs w:val="22"/>
        </w:rPr>
        <w:fldChar w:fldCharType="end"/>
      </w:r>
    </w:p>
    <w:p w14:paraId="177B520A" w14:textId="1F4090D0" w:rsidR="001422EA" w:rsidRDefault="001422EA">
      <w:pPr>
        <w:jc w:val="left"/>
      </w:pPr>
    </w:p>
    <w:p w14:paraId="678743E4" w14:textId="3692EC06" w:rsidR="00444DB3" w:rsidRPr="00EC06E7" w:rsidRDefault="00F1061D" w:rsidP="007F7857">
      <w:pPr>
        <w:rPr>
          <w:rFonts w:cs="Courier New"/>
          <w:b/>
          <w:szCs w:val="22"/>
        </w:rPr>
      </w:pPr>
      <w:r>
        <w:rPr>
          <w:rFonts w:cs="Courier New"/>
          <w:b/>
          <w:szCs w:val="22"/>
        </w:rPr>
        <w:t>25</w:t>
      </w:r>
      <w:r w:rsidR="004C72C6">
        <w:rPr>
          <w:rFonts w:cs="Courier New"/>
          <w:b/>
          <w:szCs w:val="22"/>
        </w:rPr>
        <w:t>d</w:t>
      </w:r>
      <w:r w:rsidR="00913741" w:rsidRPr="001422EA">
        <w:rPr>
          <w:rFonts w:cs="Courier New"/>
          <w:b/>
          <w:szCs w:val="22"/>
        </w:rPr>
        <w:tab/>
      </w:r>
      <w:r w:rsidR="00444DB3" w:rsidRPr="001422EA">
        <w:rPr>
          <w:rFonts w:cs="Courier New"/>
          <w:b/>
          <w:szCs w:val="22"/>
        </w:rPr>
        <w:t>Deferred Capital Receipts Reserve</w:t>
      </w:r>
      <w:r w:rsidR="006B1172" w:rsidRPr="00EC06E7">
        <w:rPr>
          <w:rFonts w:cs="Courier New"/>
          <w:b/>
          <w:szCs w:val="22"/>
        </w:rPr>
        <w:t xml:space="preserve"> </w:t>
      </w:r>
    </w:p>
    <w:p w14:paraId="4B445E4A" w14:textId="77777777" w:rsidR="00B26AAB" w:rsidRPr="00EC06E7" w:rsidRDefault="00B26AAB" w:rsidP="007F7857">
      <w:pPr>
        <w:rPr>
          <w:rFonts w:cs="Courier New"/>
          <w:szCs w:val="22"/>
        </w:rPr>
      </w:pPr>
    </w:p>
    <w:p w14:paraId="18E21C45" w14:textId="30D538EB" w:rsidR="00444DB3" w:rsidRPr="00EC06E7" w:rsidRDefault="00444DB3" w:rsidP="007F7857">
      <w:pPr>
        <w:rPr>
          <w:rFonts w:cs="Courier New"/>
          <w:szCs w:val="22"/>
        </w:rPr>
      </w:pPr>
      <w:r w:rsidRPr="00EC06E7">
        <w:rPr>
          <w:rFonts w:cs="Courier New"/>
          <w:szCs w:val="22"/>
        </w:rPr>
        <w:t>This account shows the sums recognised on the disposal of non-current assets but for which cash settlement has yet to take place</w:t>
      </w:r>
      <w:r w:rsidR="00DE5CCB">
        <w:rPr>
          <w:rFonts w:cs="Courier New"/>
          <w:szCs w:val="22"/>
        </w:rPr>
        <w:t>.</w:t>
      </w:r>
    </w:p>
    <w:p w14:paraId="35633F4F" w14:textId="46CBAEE5" w:rsidR="00471920" w:rsidRDefault="00471920" w:rsidP="007F7857">
      <w:pPr>
        <w:rPr>
          <w:rFonts w:cs="Courier New"/>
          <w:szCs w:val="22"/>
        </w:rPr>
      </w:pPr>
    </w:p>
    <w:p w14:paraId="0F0151F9" w14:textId="586E24A1" w:rsidR="00C943C9" w:rsidRDefault="00C943C9" w:rsidP="007F7857">
      <w:pPr>
        <w:rPr>
          <w:rFonts w:cs="Courier New"/>
          <w:szCs w:val="22"/>
        </w:rPr>
      </w:pPr>
      <w:r>
        <w:rPr>
          <w:rFonts w:cs="Courier New"/>
          <w:szCs w:val="22"/>
        </w:rPr>
        <w:fldChar w:fldCharType="begin"/>
      </w:r>
      <w:r>
        <w:rPr>
          <w:rFonts w:cs="Courier New"/>
          <w:szCs w:val="22"/>
        </w:rPr>
        <w:instrText xml:space="preserve"> LINK Excel.Sheet.12 "\\\\alpha\\accounts$\\CLOSURE\\Closure 20-21\\04 SoA Working Papers\\25 Unusable Reserves\\Note 25d Deferred Capital Receipts Reserve 2020-21.xlsx!Embedded Table!R2C1:R7C3" "" \a \p </w:instrText>
      </w:r>
      <w:r>
        <w:rPr>
          <w:rFonts w:cs="Courier New"/>
          <w:szCs w:val="22"/>
        </w:rPr>
        <w:fldChar w:fldCharType="separate"/>
      </w:r>
      <w:r w:rsidR="001C71EF">
        <w:rPr>
          <w:rFonts w:cs="Courier New"/>
          <w:szCs w:val="22"/>
        </w:rPr>
        <w:object w:dxaOrig="10995" w:dyaOrig="1680" w14:anchorId="49D1A79C">
          <v:shape id="_x0000_i1059" type="#_x0000_t75" style="width:482.25pt;height:79.45pt" o:ole="">
            <v:imagedata r:id="rId86" o:title=""/>
            <o:lock v:ext="edit" aspectratio="f"/>
          </v:shape>
        </w:object>
      </w:r>
      <w:r>
        <w:rPr>
          <w:rFonts w:cs="Courier New"/>
          <w:szCs w:val="22"/>
        </w:rPr>
        <w:fldChar w:fldCharType="end"/>
      </w:r>
    </w:p>
    <w:p w14:paraId="1A3B8022" w14:textId="77777777" w:rsidR="00C943C9" w:rsidRDefault="00C943C9" w:rsidP="007F7857">
      <w:pPr>
        <w:rPr>
          <w:rFonts w:cs="Courier New"/>
          <w:szCs w:val="22"/>
        </w:rPr>
      </w:pPr>
    </w:p>
    <w:p w14:paraId="5E2B8C0A" w14:textId="5C29DFC2" w:rsidR="00444DB3" w:rsidRPr="00EC06E7" w:rsidRDefault="00F1061D" w:rsidP="007F7857">
      <w:pPr>
        <w:rPr>
          <w:rFonts w:cs="Courier New"/>
          <w:b/>
          <w:szCs w:val="22"/>
        </w:rPr>
      </w:pPr>
      <w:r>
        <w:rPr>
          <w:rFonts w:cs="Courier New"/>
          <w:b/>
          <w:szCs w:val="22"/>
        </w:rPr>
        <w:t>25</w:t>
      </w:r>
      <w:r w:rsidR="004C72C6">
        <w:rPr>
          <w:rFonts w:cs="Courier New"/>
          <w:b/>
          <w:szCs w:val="22"/>
        </w:rPr>
        <w:t>e</w:t>
      </w:r>
      <w:r w:rsidR="00444DB3" w:rsidRPr="001422EA">
        <w:rPr>
          <w:rFonts w:cs="Courier New"/>
          <w:b/>
          <w:szCs w:val="22"/>
        </w:rPr>
        <w:tab/>
      </w:r>
      <w:r w:rsidR="00C314EF" w:rsidRPr="001422EA">
        <w:rPr>
          <w:rFonts w:cs="Courier New"/>
          <w:b/>
          <w:szCs w:val="22"/>
        </w:rPr>
        <w:t xml:space="preserve"> </w:t>
      </w:r>
      <w:r w:rsidR="00444DB3" w:rsidRPr="001422EA">
        <w:rPr>
          <w:rFonts w:cs="Courier New"/>
          <w:b/>
          <w:szCs w:val="22"/>
        </w:rPr>
        <w:t>Pensions Reserve</w:t>
      </w:r>
      <w:r w:rsidR="006B1172" w:rsidRPr="00EC06E7">
        <w:rPr>
          <w:rFonts w:cs="Courier New"/>
          <w:b/>
          <w:szCs w:val="22"/>
        </w:rPr>
        <w:t xml:space="preserve"> </w:t>
      </w:r>
    </w:p>
    <w:p w14:paraId="47A8315A" w14:textId="77777777" w:rsidR="00DF528C" w:rsidRPr="00EC06E7" w:rsidRDefault="00DF528C" w:rsidP="007F7857">
      <w:pPr>
        <w:rPr>
          <w:rFonts w:cs="Courier New"/>
          <w:b/>
          <w:szCs w:val="22"/>
        </w:rPr>
      </w:pPr>
    </w:p>
    <w:p w14:paraId="1A7A1BBF" w14:textId="77777777" w:rsidR="00605D0D" w:rsidRPr="00EC06E7" w:rsidRDefault="00444DB3" w:rsidP="007F7857">
      <w:pPr>
        <w:rPr>
          <w:rFonts w:cs="Courier New"/>
          <w:szCs w:val="22"/>
        </w:rPr>
      </w:pPr>
      <w:r w:rsidRPr="00EC06E7">
        <w:rPr>
          <w:rFonts w:cs="Courier New"/>
          <w:szCs w:val="22"/>
        </w:rPr>
        <w:t xml:space="preserve">This account contains postings arising from the difference between the requirements of accounting practice and statute in respect of </w:t>
      </w:r>
      <w:r w:rsidR="00605D0D" w:rsidRPr="00EC06E7">
        <w:rPr>
          <w:rFonts w:cs="Courier New"/>
          <w:szCs w:val="22"/>
        </w:rPr>
        <w:t xml:space="preserve">pensions. </w:t>
      </w:r>
      <w:r w:rsidR="005E33E2" w:rsidRPr="00EC06E7">
        <w:rPr>
          <w:rFonts w:cs="Courier New"/>
          <w:szCs w:val="22"/>
        </w:rPr>
        <w:t xml:space="preserve"> </w:t>
      </w:r>
      <w:r w:rsidR="00605D0D" w:rsidRPr="00EC06E7">
        <w:rPr>
          <w:rFonts w:cs="Courier New"/>
          <w:szCs w:val="22"/>
        </w:rPr>
        <w:t xml:space="preserve">The costs of benefits are charged to the </w:t>
      </w:r>
      <w:r w:rsidR="00600635" w:rsidRPr="00EC06E7">
        <w:rPr>
          <w:rFonts w:cs="Courier New"/>
          <w:szCs w:val="22"/>
        </w:rPr>
        <w:t xml:space="preserve">Comprehensive Income and Expenditure Statement </w:t>
      </w:r>
      <w:r w:rsidR="00605D0D" w:rsidRPr="00EC06E7">
        <w:rPr>
          <w:rFonts w:cs="Courier New"/>
          <w:szCs w:val="22"/>
        </w:rPr>
        <w:t>when they are earned rather than when they are paid. Statutory arrangements however require that benefits be financed only when the Authority makes contributions to the pension fund. The debit balance on the Pension Reserve therefore shows that benefits earned by employees exceeds the payments made by the authority to fund them.</w:t>
      </w:r>
      <w:r w:rsidR="005E33E2" w:rsidRPr="00EC06E7">
        <w:rPr>
          <w:rFonts w:cs="Courier New"/>
          <w:szCs w:val="22"/>
        </w:rPr>
        <w:t xml:space="preserve">  </w:t>
      </w:r>
      <w:r w:rsidR="00605D0D" w:rsidRPr="00EC06E7">
        <w:rPr>
          <w:rFonts w:cs="Courier New"/>
          <w:szCs w:val="22"/>
        </w:rPr>
        <w:t xml:space="preserve">Statutory arrangements require that </w:t>
      </w:r>
      <w:r w:rsidR="005D4ABB" w:rsidRPr="00EC06E7">
        <w:rPr>
          <w:rFonts w:cs="Courier New"/>
          <w:szCs w:val="22"/>
        </w:rPr>
        <w:t xml:space="preserve">adequate </w:t>
      </w:r>
      <w:r w:rsidR="00605D0D" w:rsidRPr="00EC06E7">
        <w:rPr>
          <w:rFonts w:cs="Courier New"/>
          <w:szCs w:val="22"/>
        </w:rPr>
        <w:t>funding will</w:t>
      </w:r>
      <w:r w:rsidR="005D4ABB" w:rsidRPr="00EC06E7">
        <w:rPr>
          <w:rFonts w:cs="Courier New"/>
          <w:szCs w:val="22"/>
        </w:rPr>
        <w:t xml:space="preserve"> ultimately be</w:t>
      </w:r>
      <w:r w:rsidR="00605D0D" w:rsidRPr="00EC06E7">
        <w:rPr>
          <w:rFonts w:cs="Courier New"/>
          <w:szCs w:val="22"/>
        </w:rPr>
        <w:t xml:space="preserve"> set aside</w:t>
      </w:r>
      <w:r w:rsidR="005D4ABB" w:rsidRPr="00EC06E7">
        <w:rPr>
          <w:rFonts w:cs="Courier New"/>
          <w:szCs w:val="22"/>
        </w:rPr>
        <w:t>.</w:t>
      </w:r>
    </w:p>
    <w:p w14:paraId="59871DE4" w14:textId="35C39D94" w:rsidR="005D4ABB" w:rsidRDefault="005D4ABB" w:rsidP="007F7857">
      <w:pPr>
        <w:rPr>
          <w:rFonts w:cs="Courier New"/>
          <w:szCs w:val="22"/>
        </w:rPr>
      </w:pPr>
    </w:p>
    <w:p w14:paraId="2C81061E" w14:textId="26D5D574" w:rsidR="007C0390" w:rsidRDefault="007C0390" w:rsidP="007F7857">
      <w:pPr>
        <w:rPr>
          <w:rFonts w:cs="Courier New"/>
          <w:szCs w:val="22"/>
        </w:rPr>
      </w:pPr>
      <w:r>
        <w:rPr>
          <w:rFonts w:cs="Courier New"/>
          <w:szCs w:val="22"/>
        </w:rPr>
        <w:fldChar w:fldCharType="begin"/>
      </w:r>
      <w:r>
        <w:rPr>
          <w:rFonts w:cs="Courier New"/>
          <w:szCs w:val="22"/>
        </w:rPr>
        <w:instrText xml:space="preserve"> LINK Excel.Sheet.12 "\\\\alpha\\accounts$\\CLOSURE\\Closure 20-21\\04 SoA Working Papers\\25 Unusable Reserves\\Note 25e Pensions Reserve 2020-21.xlsx!Embedded Table!R2C1:R9C3" "" \a \p </w:instrText>
      </w:r>
      <w:r>
        <w:rPr>
          <w:rFonts w:cs="Courier New"/>
          <w:szCs w:val="22"/>
        </w:rPr>
        <w:fldChar w:fldCharType="separate"/>
      </w:r>
      <w:r w:rsidR="001C71EF">
        <w:rPr>
          <w:rFonts w:cs="Courier New"/>
          <w:szCs w:val="22"/>
        </w:rPr>
        <w:object w:dxaOrig="10995" w:dyaOrig="2857" w14:anchorId="004C8EC4">
          <v:shape id="_x0000_i1060" type="#_x0000_t75" style="width:482.25pt;height:136.55pt" o:ole="">
            <v:imagedata r:id="rId87" o:title=""/>
            <o:lock v:ext="edit" aspectratio="f"/>
          </v:shape>
        </w:object>
      </w:r>
      <w:r>
        <w:rPr>
          <w:rFonts w:cs="Courier New"/>
          <w:szCs w:val="22"/>
        </w:rPr>
        <w:fldChar w:fldCharType="end"/>
      </w:r>
    </w:p>
    <w:p w14:paraId="2C901CE2" w14:textId="77777777" w:rsidR="007C0390" w:rsidRDefault="007C0390" w:rsidP="007F7857">
      <w:pPr>
        <w:rPr>
          <w:rFonts w:cs="Courier New"/>
          <w:szCs w:val="22"/>
        </w:rPr>
      </w:pPr>
    </w:p>
    <w:p w14:paraId="24CFC90A" w14:textId="77777777" w:rsidR="009E73E6" w:rsidRDefault="009E73E6" w:rsidP="007F7857">
      <w:pPr>
        <w:rPr>
          <w:rFonts w:cs="Courier New"/>
          <w:szCs w:val="22"/>
        </w:rPr>
      </w:pPr>
    </w:p>
    <w:p w14:paraId="191A4892" w14:textId="77777777" w:rsidR="001422EA" w:rsidRDefault="001422EA">
      <w:pPr>
        <w:jc w:val="left"/>
        <w:rPr>
          <w:rFonts w:cs="Courier New"/>
          <w:b/>
          <w:szCs w:val="22"/>
        </w:rPr>
      </w:pPr>
      <w:r>
        <w:rPr>
          <w:rFonts w:cs="Courier New"/>
          <w:b/>
          <w:szCs w:val="22"/>
        </w:rPr>
        <w:br w:type="page"/>
      </w:r>
    </w:p>
    <w:p w14:paraId="205EC090" w14:textId="5C7C89F7" w:rsidR="009D7AB6" w:rsidRPr="00EC06E7" w:rsidRDefault="00F1061D" w:rsidP="009D7AB6">
      <w:pPr>
        <w:rPr>
          <w:rFonts w:cs="Courier New"/>
          <w:b/>
          <w:szCs w:val="22"/>
        </w:rPr>
      </w:pPr>
      <w:bookmarkStart w:id="162" w:name="OLE_LINK1"/>
      <w:r>
        <w:rPr>
          <w:rFonts w:cs="Courier New"/>
          <w:b/>
          <w:szCs w:val="22"/>
        </w:rPr>
        <w:t>25</w:t>
      </w:r>
      <w:r w:rsidR="004C72C6">
        <w:rPr>
          <w:rFonts w:cs="Courier New"/>
          <w:b/>
          <w:szCs w:val="22"/>
        </w:rPr>
        <w:t>f</w:t>
      </w:r>
      <w:r w:rsidR="009D7AB6" w:rsidRPr="001422EA">
        <w:rPr>
          <w:rFonts w:cs="Courier New"/>
          <w:b/>
          <w:szCs w:val="22"/>
        </w:rPr>
        <w:tab/>
      </w:r>
      <w:bookmarkEnd w:id="162"/>
      <w:r w:rsidR="009D7AB6" w:rsidRPr="001422EA">
        <w:rPr>
          <w:rFonts w:cs="Courier New"/>
          <w:b/>
          <w:szCs w:val="22"/>
        </w:rPr>
        <w:t xml:space="preserve"> Collection Fund Adjustment Account</w:t>
      </w:r>
    </w:p>
    <w:p w14:paraId="6E0E1EA4" w14:textId="77777777" w:rsidR="009D7AB6" w:rsidRPr="00EC06E7" w:rsidRDefault="009D7AB6" w:rsidP="007F7857">
      <w:pPr>
        <w:rPr>
          <w:rFonts w:cs="Courier New"/>
          <w:b/>
          <w:szCs w:val="22"/>
        </w:rPr>
      </w:pPr>
    </w:p>
    <w:p w14:paraId="2EBA5A9D" w14:textId="77777777" w:rsidR="005D4ABB" w:rsidRPr="00EC06E7" w:rsidRDefault="00EF0EF6" w:rsidP="007F7857">
      <w:pPr>
        <w:rPr>
          <w:rFonts w:cs="Courier New"/>
          <w:szCs w:val="22"/>
        </w:rPr>
      </w:pPr>
      <w:r w:rsidRPr="00EC06E7">
        <w:rPr>
          <w:rFonts w:cs="Courier New"/>
          <w:szCs w:val="22"/>
        </w:rPr>
        <w:t>This account manages the differences arising from the recognition of Council Tax and Business Rates income in the Comprehensive Income and Expenditure Statement as it falls due from Council Tax payers and Business Rates payers compared with the statutory arrangements for paying across amounts to the General Fund from the Collection Fund</w:t>
      </w:r>
      <w:r w:rsidR="00975ACE" w:rsidRPr="00EC06E7">
        <w:rPr>
          <w:rFonts w:cs="Courier New"/>
          <w:szCs w:val="22"/>
        </w:rPr>
        <w:t>.</w:t>
      </w:r>
    </w:p>
    <w:p w14:paraId="3E32F534" w14:textId="191A2188" w:rsidR="00184F6D" w:rsidRDefault="00184F6D" w:rsidP="007F7857">
      <w:pPr>
        <w:rPr>
          <w:rFonts w:cs="Courier New"/>
          <w:szCs w:val="22"/>
        </w:rPr>
      </w:pPr>
    </w:p>
    <w:p w14:paraId="1A853028" w14:textId="792733D4" w:rsidR="00442254" w:rsidRDefault="00442254" w:rsidP="007F7857">
      <w:pPr>
        <w:rPr>
          <w:rFonts w:cs="Courier New"/>
          <w:szCs w:val="22"/>
        </w:rPr>
      </w:pPr>
      <w:r>
        <w:rPr>
          <w:rFonts w:cs="Courier New"/>
          <w:szCs w:val="22"/>
        </w:rPr>
        <w:fldChar w:fldCharType="begin"/>
      </w:r>
      <w:r>
        <w:rPr>
          <w:rFonts w:cs="Courier New"/>
          <w:szCs w:val="22"/>
        </w:rPr>
        <w:instrText xml:space="preserve"> LINK Excel.Sheet.12 "\\\\alpha\\accounts$\\CLOSURE\\Closure 20-21\\04 SoA Working Papers\\25 Unusable Reserves\\Note 25f Coll'n Fund Adjustment Account 2020-21.xlsx!Embedded Table!R2C1:R7C3" "" \a \p </w:instrText>
      </w:r>
      <w:r>
        <w:rPr>
          <w:rFonts w:cs="Courier New"/>
          <w:szCs w:val="22"/>
        </w:rPr>
        <w:fldChar w:fldCharType="separate"/>
      </w:r>
      <w:r w:rsidR="001C71EF">
        <w:rPr>
          <w:rFonts w:cs="Courier New"/>
          <w:szCs w:val="22"/>
        </w:rPr>
        <w:object w:dxaOrig="10995" w:dyaOrig="2246" w14:anchorId="5686BA2D">
          <v:shape id="_x0000_i1061" type="#_x0000_t75" style="width:482.25pt;height:108pt" o:ole="">
            <v:imagedata r:id="rId88" o:title=""/>
            <o:lock v:ext="edit" aspectratio="f"/>
          </v:shape>
        </w:object>
      </w:r>
      <w:r>
        <w:rPr>
          <w:rFonts w:cs="Courier New"/>
          <w:szCs w:val="22"/>
        </w:rPr>
        <w:fldChar w:fldCharType="end"/>
      </w:r>
    </w:p>
    <w:p w14:paraId="2F408D26" w14:textId="77777777" w:rsidR="00442254" w:rsidRDefault="00442254" w:rsidP="007F7857">
      <w:pPr>
        <w:rPr>
          <w:rFonts w:cs="Courier New"/>
          <w:szCs w:val="22"/>
        </w:rPr>
      </w:pPr>
    </w:p>
    <w:p w14:paraId="687F89AD" w14:textId="77777777" w:rsidR="000D70CC" w:rsidRDefault="000D70CC" w:rsidP="007F7857">
      <w:pPr>
        <w:rPr>
          <w:rFonts w:cs="Courier New"/>
          <w:szCs w:val="22"/>
        </w:rPr>
      </w:pPr>
      <w:r>
        <w:rPr>
          <w:rFonts w:cs="Courier New"/>
          <w:szCs w:val="22"/>
        </w:rPr>
        <w:t>The following table breaks down the above total into the amounts in respect of each source of Collection Fund income.</w:t>
      </w:r>
    </w:p>
    <w:p w14:paraId="7FD1B172" w14:textId="797F9DB2" w:rsidR="000D70CC" w:rsidRDefault="000D70CC" w:rsidP="007F7857">
      <w:pPr>
        <w:rPr>
          <w:rFonts w:cs="Courier New"/>
          <w:szCs w:val="22"/>
        </w:rPr>
      </w:pPr>
    </w:p>
    <w:p w14:paraId="2FD1A921" w14:textId="0A474402" w:rsidR="00442254" w:rsidRDefault="00442254" w:rsidP="007F7857">
      <w:pPr>
        <w:rPr>
          <w:rFonts w:cs="Courier New"/>
          <w:szCs w:val="22"/>
        </w:rPr>
      </w:pPr>
      <w:r>
        <w:rPr>
          <w:rFonts w:cs="Courier New"/>
          <w:szCs w:val="22"/>
        </w:rPr>
        <w:fldChar w:fldCharType="begin"/>
      </w:r>
      <w:r>
        <w:rPr>
          <w:rFonts w:cs="Courier New"/>
          <w:szCs w:val="22"/>
        </w:rPr>
        <w:instrText xml:space="preserve"> LINK Excel.Sheet.12 "\\\\alpha\\accounts$\\CLOSURE\\Closure 20-21\\04 SoA Working Papers\\25 Unusable Reserves\\Note 25f Coll'n Fund Adjustment Account 2020-21.xlsx!Embedded Table!R11C1:R17C3" "" \a \p </w:instrText>
      </w:r>
      <w:r>
        <w:rPr>
          <w:rFonts w:cs="Courier New"/>
          <w:szCs w:val="22"/>
        </w:rPr>
        <w:fldChar w:fldCharType="separate"/>
      </w:r>
      <w:r w:rsidR="001C71EF">
        <w:rPr>
          <w:rFonts w:cs="Courier New"/>
          <w:szCs w:val="22"/>
        </w:rPr>
        <w:object w:dxaOrig="10995" w:dyaOrig="2059" w14:anchorId="6F1028AD">
          <v:shape id="_x0000_i1062" type="#_x0000_t75" style="width:482.25pt;height:100.55pt" o:ole="">
            <v:imagedata r:id="rId89" o:title=""/>
            <o:lock v:ext="edit" aspectratio="f"/>
          </v:shape>
        </w:object>
      </w:r>
      <w:r>
        <w:rPr>
          <w:rFonts w:cs="Courier New"/>
          <w:szCs w:val="22"/>
        </w:rPr>
        <w:fldChar w:fldCharType="end"/>
      </w:r>
    </w:p>
    <w:p w14:paraId="00A3CCA4" w14:textId="26EE605C" w:rsidR="00442254" w:rsidRDefault="00442254" w:rsidP="007F7857">
      <w:pPr>
        <w:rPr>
          <w:rFonts w:cs="Courier New"/>
          <w:szCs w:val="22"/>
        </w:rPr>
      </w:pPr>
    </w:p>
    <w:p w14:paraId="6ABA1BF9" w14:textId="28BE2F6E" w:rsidR="00444DB3" w:rsidRPr="00EC06E7" w:rsidRDefault="00F1061D" w:rsidP="007F7857">
      <w:pPr>
        <w:rPr>
          <w:rFonts w:cs="Courier New"/>
          <w:b/>
          <w:szCs w:val="22"/>
        </w:rPr>
      </w:pPr>
      <w:r>
        <w:rPr>
          <w:rFonts w:cs="Courier New"/>
          <w:b/>
          <w:szCs w:val="22"/>
        </w:rPr>
        <w:t>25</w:t>
      </w:r>
      <w:r w:rsidR="004C72C6">
        <w:rPr>
          <w:rFonts w:cs="Courier New"/>
          <w:b/>
          <w:szCs w:val="22"/>
        </w:rPr>
        <w:t>g</w:t>
      </w:r>
      <w:r w:rsidR="000E54A5" w:rsidRPr="001422EA">
        <w:rPr>
          <w:rFonts w:cs="Courier New"/>
          <w:b/>
          <w:szCs w:val="22"/>
        </w:rPr>
        <w:tab/>
      </w:r>
      <w:r w:rsidR="005D4ABB" w:rsidRPr="001422EA">
        <w:rPr>
          <w:rFonts w:cs="Courier New"/>
          <w:b/>
          <w:szCs w:val="22"/>
        </w:rPr>
        <w:t>Accumulated Absences</w:t>
      </w:r>
      <w:r w:rsidR="00444DB3" w:rsidRPr="001422EA">
        <w:rPr>
          <w:rFonts w:cs="Courier New"/>
          <w:b/>
          <w:szCs w:val="22"/>
        </w:rPr>
        <w:t xml:space="preserve"> Account</w:t>
      </w:r>
      <w:r w:rsidR="006B1172" w:rsidRPr="00EC06E7">
        <w:rPr>
          <w:rFonts w:cs="Courier New"/>
          <w:b/>
          <w:szCs w:val="22"/>
        </w:rPr>
        <w:t xml:space="preserve"> </w:t>
      </w:r>
    </w:p>
    <w:p w14:paraId="00CFFF25" w14:textId="77777777" w:rsidR="00B26AAB" w:rsidRPr="00EC06E7" w:rsidRDefault="00B26AAB" w:rsidP="007F7857">
      <w:pPr>
        <w:rPr>
          <w:rFonts w:cs="Courier New"/>
          <w:szCs w:val="22"/>
        </w:rPr>
      </w:pPr>
    </w:p>
    <w:p w14:paraId="467BE032" w14:textId="77777777" w:rsidR="00444DB3" w:rsidRPr="00EC06E7" w:rsidRDefault="00975ACE" w:rsidP="007F7857">
      <w:pPr>
        <w:rPr>
          <w:rFonts w:cs="Courier New"/>
          <w:szCs w:val="22"/>
        </w:rPr>
      </w:pPr>
      <w:r w:rsidRPr="00EC06E7">
        <w:rPr>
          <w:rFonts w:cs="Courier New"/>
          <w:szCs w:val="22"/>
        </w:rPr>
        <w:t>The cost of compensated absences</w:t>
      </w:r>
      <w:r w:rsidR="003447A8" w:rsidRPr="00EC06E7">
        <w:rPr>
          <w:rFonts w:cs="Courier New"/>
          <w:szCs w:val="22"/>
        </w:rPr>
        <w:t xml:space="preserve"> (e.g. leave entitlement)</w:t>
      </w:r>
      <w:r w:rsidRPr="00EC06E7">
        <w:rPr>
          <w:rFonts w:cs="Courier New"/>
          <w:szCs w:val="22"/>
        </w:rPr>
        <w:t xml:space="preserve"> not taken by employees during the year of account, is charged to the </w:t>
      </w:r>
      <w:r w:rsidR="00600635" w:rsidRPr="00EC06E7">
        <w:rPr>
          <w:rFonts w:cs="Courier New"/>
          <w:szCs w:val="22"/>
        </w:rPr>
        <w:t>Comprehensive Income and Expenditure Statement</w:t>
      </w:r>
      <w:r w:rsidRPr="00EC06E7">
        <w:rPr>
          <w:rFonts w:cs="Courier New"/>
          <w:szCs w:val="22"/>
        </w:rPr>
        <w:t>. Statutory arrangements require however that the impact on the General Fund Balance is neutralised by transfers to or from this account.</w:t>
      </w:r>
    </w:p>
    <w:p w14:paraId="1954A905" w14:textId="12FA0709" w:rsidR="00975ACE" w:rsidRDefault="00975ACE" w:rsidP="007F7857">
      <w:pPr>
        <w:rPr>
          <w:rFonts w:cs="Courier New"/>
          <w:szCs w:val="22"/>
        </w:rPr>
      </w:pPr>
    </w:p>
    <w:p w14:paraId="1CEC8E3B" w14:textId="325F510B" w:rsidR="000B281D" w:rsidRDefault="00FC0A13" w:rsidP="007F7857">
      <w:pPr>
        <w:rPr>
          <w:rFonts w:cs="Courier New"/>
          <w:szCs w:val="22"/>
        </w:rPr>
      </w:pPr>
      <w:r>
        <w:rPr>
          <w:rFonts w:cs="Courier New"/>
          <w:szCs w:val="22"/>
        </w:rPr>
        <w:fldChar w:fldCharType="begin"/>
      </w:r>
      <w:r>
        <w:rPr>
          <w:rFonts w:cs="Courier New"/>
          <w:szCs w:val="22"/>
        </w:rPr>
        <w:instrText xml:space="preserve"> LINK Excel.Sheet.12 "\\\\alpha\\accounts$\\CLOSURE\\Closure 20-21\\04 SoA Working Papers\\25 Unusable Reserves\\Note 25f Accum Absences Adj Account 2020-21.xlsx!Embedded Table!R2C1:R7C3" "" \a \p </w:instrText>
      </w:r>
      <w:r>
        <w:rPr>
          <w:rFonts w:cs="Courier New"/>
          <w:szCs w:val="22"/>
        </w:rPr>
        <w:fldChar w:fldCharType="separate"/>
      </w:r>
      <w:r w:rsidR="001C71EF">
        <w:rPr>
          <w:rFonts w:cs="Courier New"/>
          <w:szCs w:val="22"/>
        </w:rPr>
        <w:object w:dxaOrig="10995" w:dyaOrig="2493" w14:anchorId="2F4BDA57">
          <v:shape id="_x0000_i1063" type="#_x0000_t75" style="width:482.25pt;height:122.25pt" o:ole="">
            <v:imagedata r:id="rId90" o:title=""/>
            <o:lock v:ext="edit" aspectratio="f"/>
          </v:shape>
        </w:object>
      </w:r>
      <w:r>
        <w:rPr>
          <w:rFonts w:cs="Courier New"/>
          <w:szCs w:val="22"/>
        </w:rPr>
        <w:fldChar w:fldCharType="end"/>
      </w:r>
    </w:p>
    <w:p w14:paraId="75322CB9" w14:textId="77777777" w:rsidR="000B281D" w:rsidRDefault="000B281D" w:rsidP="007F7857">
      <w:pPr>
        <w:rPr>
          <w:rFonts w:cs="Courier New"/>
          <w:szCs w:val="22"/>
        </w:rPr>
      </w:pPr>
    </w:p>
    <w:p w14:paraId="481A9BD0" w14:textId="77777777" w:rsidR="008B68DF" w:rsidRPr="00EC06E7" w:rsidRDefault="008B68DF" w:rsidP="00CA5C02"/>
    <w:p w14:paraId="3FD85BF8" w14:textId="77777777" w:rsidR="001422EA" w:rsidRDefault="001422EA">
      <w:pPr>
        <w:jc w:val="left"/>
        <w:rPr>
          <w:rFonts w:cs="Arial"/>
        </w:rPr>
      </w:pPr>
      <w:r>
        <w:rPr>
          <w:rFonts w:cs="Arial"/>
        </w:rPr>
        <w:br w:type="page"/>
      </w:r>
    </w:p>
    <w:p w14:paraId="6A4D1807" w14:textId="77777777" w:rsidR="00C8113E" w:rsidRPr="001422EA" w:rsidRDefault="006E1448" w:rsidP="004E5A07">
      <w:pPr>
        <w:pStyle w:val="Heading2"/>
      </w:pPr>
      <w:bookmarkStart w:id="163" w:name="CashFlow"/>
      <w:bookmarkStart w:id="164" w:name="_Toc483390991"/>
      <w:bookmarkStart w:id="165" w:name="_Ref483392843"/>
      <w:bookmarkStart w:id="166" w:name="_Ref483392848"/>
      <w:bookmarkStart w:id="167" w:name="_Ref483392903"/>
      <w:bookmarkStart w:id="168" w:name="_Ref483394251"/>
      <w:bookmarkStart w:id="169" w:name="_Toc77603801"/>
      <w:bookmarkEnd w:id="163"/>
      <w:r w:rsidRPr="001422EA">
        <w:t>Cash flow statement – operating activities</w:t>
      </w:r>
      <w:bookmarkEnd w:id="164"/>
      <w:bookmarkEnd w:id="165"/>
      <w:bookmarkEnd w:id="166"/>
      <w:bookmarkEnd w:id="167"/>
      <w:bookmarkEnd w:id="168"/>
      <w:bookmarkEnd w:id="169"/>
    </w:p>
    <w:p w14:paraId="2A9FA3B4" w14:textId="77777777" w:rsidR="00BC7520" w:rsidRPr="00EC06E7" w:rsidRDefault="00BC7520" w:rsidP="007F7857"/>
    <w:p w14:paraId="4957FE17" w14:textId="059871BA" w:rsidR="00184F6D" w:rsidRPr="00EC06E7" w:rsidRDefault="00934DFE" w:rsidP="007F7857">
      <w:pPr>
        <w:rPr>
          <w:rFonts w:cs="Courier New"/>
          <w:b/>
          <w:szCs w:val="22"/>
        </w:rPr>
      </w:pPr>
      <w:r w:rsidRPr="001422EA">
        <w:rPr>
          <w:rFonts w:cs="Courier New"/>
          <w:b/>
          <w:szCs w:val="22"/>
        </w:rPr>
        <w:fldChar w:fldCharType="begin"/>
      </w:r>
      <w:r w:rsidRPr="001422EA">
        <w:rPr>
          <w:rFonts w:cs="Courier New"/>
          <w:b/>
          <w:szCs w:val="22"/>
        </w:rPr>
        <w:instrText xml:space="preserve"> REF  CashFlow \h \r  \* MERGEFORMAT </w:instrText>
      </w:r>
      <w:r w:rsidRPr="001422EA">
        <w:rPr>
          <w:rFonts w:cs="Courier New"/>
          <w:b/>
          <w:szCs w:val="22"/>
        </w:rPr>
      </w:r>
      <w:r w:rsidRPr="001422EA">
        <w:rPr>
          <w:rFonts w:cs="Courier New"/>
          <w:b/>
          <w:szCs w:val="22"/>
        </w:rPr>
        <w:fldChar w:fldCharType="separate"/>
      </w:r>
      <w:r w:rsidR="000F49D2">
        <w:rPr>
          <w:rFonts w:cs="Courier New"/>
          <w:b/>
          <w:szCs w:val="22"/>
        </w:rPr>
        <w:t>26</w:t>
      </w:r>
      <w:r w:rsidRPr="001422EA">
        <w:rPr>
          <w:rFonts w:cs="Courier New"/>
          <w:b/>
          <w:szCs w:val="22"/>
        </w:rPr>
        <w:fldChar w:fldCharType="end"/>
      </w:r>
      <w:r w:rsidR="00310F8C" w:rsidRPr="001422EA">
        <w:rPr>
          <w:rFonts w:cs="Courier New"/>
          <w:b/>
          <w:szCs w:val="22"/>
        </w:rPr>
        <w:t>a</w:t>
      </w:r>
      <w:r w:rsidR="00BC7520" w:rsidRPr="001422EA">
        <w:rPr>
          <w:rFonts w:cs="Courier New"/>
          <w:b/>
          <w:szCs w:val="22"/>
        </w:rPr>
        <w:t xml:space="preserve"> </w:t>
      </w:r>
      <w:r w:rsidR="00370FA4" w:rsidRPr="001422EA">
        <w:rPr>
          <w:rFonts w:cs="Courier New"/>
          <w:b/>
          <w:szCs w:val="22"/>
        </w:rPr>
        <w:tab/>
      </w:r>
      <w:r w:rsidR="00BC7520" w:rsidRPr="001422EA">
        <w:rPr>
          <w:rFonts w:cs="Courier New"/>
          <w:b/>
          <w:szCs w:val="22"/>
        </w:rPr>
        <w:t xml:space="preserve">Adjust net surplus or deficit on the provision of services for </w:t>
      </w:r>
      <w:r w:rsidR="00CF2DB0" w:rsidRPr="001422EA">
        <w:rPr>
          <w:rFonts w:cs="Courier New"/>
          <w:b/>
          <w:szCs w:val="22"/>
        </w:rPr>
        <w:t>non-cash</w:t>
      </w:r>
      <w:r w:rsidR="00BC7520" w:rsidRPr="001422EA">
        <w:rPr>
          <w:rFonts w:cs="Courier New"/>
          <w:b/>
          <w:szCs w:val="22"/>
        </w:rPr>
        <w:t xml:space="preserve"> movements</w:t>
      </w:r>
    </w:p>
    <w:p w14:paraId="4FBBA00E" w14:textId="77777777" w:rsidR="00BC7520" w:rsidRPr="00EC06E7" w:rsidRDefault="00BC7520" w:rsidP="007F7857">
      <w:pPr>
        <w:rPr>
          <w:rFonts w:cs="Courier New"/>
          <w:szCs w:val="22"/>
        </w:rPr>
      </w:pPr>
    </w:p>
    <w:p w14:paraId="6BF821E9" w14:textId="77777777" w:rsidR="00BC7520" w:rsidRPr="00EC06E7" w:rsidRDefault="00BC7520" w:rsidP="007F7857">
      <w:pPr>
        <w:rPr>
          <w:rFonts w:cs="Courier New"/>
          <w:szCs w:val="22"/>
        </w:rPr>
      </w:pPr>
      <w:r w:rsidRPr="00EC06E7">
        <w:rPr>
          <w:rFonts w:cs="Courier New"/>
          <w:szCs w:val="22"/>
        </w:rPr>
        <w:t>The surplus or deficit on the provision of services has been adjusted for the following non-cash movements:</w:t>
      </w:r>
    </w:p>
    <w:p w14:paraId="2939C5E8" w14:textId="2640C1DD" w:rsidR="00BC7520" w:rsidRDefault="00BC7520" w:rsidP="007F7857">
      <w:pPr>
        <w:rPr>
          <w:rFonts w:cs="Courier New"/>
          <w:szCs w:val="22"/>
        </w:rPr>
      </w:pPr>
    </w:p>
    <w:p w14:paraId="1D5A082A" w14:textId="6DC6ACBE" w:rsidR="00B01CC3" w:rsidRDefault="00305C3A" w:rsidP="007F7857">
      <w:pPr>
        <w:rPr>
          <w:rFonts w:cs="Courier New"/>
          <w:szCs w:val="22"/>
        </w:rPr>
      </w:pPr>
      <w:r>
        <w:rPr>
          <w:rFonts w:cs="Courier New"/>
          <w:szCs w:val="22"/>
        </w:rPr>
        <w:fldChar w:fldCharType="begin"/>
      </w:r>
      <w:r>
        <w:rPr>
          <w:rFonts w:cs="Courier New"/>
          <w:szCs w:val="22"/>
        </w:rPr>
        <w:instrText xml:space="preserve"> LINK Excel.Sheet.12 "\\\\alpha\\accounts$\\CLOSURE\\Closure 20-21\\04 SoA Working Papers\\00B4 Cash Flow Statement, Notes 26-28\\Cash Flow Statement SRBC 2020-21.xlsx!Embedded Tables - Notes!R5C1:R20C3" "" \a \p </w:instrText>
      </w:r>
      <w:r>
        <w:rPr>
          <w:rFonts w:cs="Courier New"/>
          <w:szCs w:val="22"/>
        </w:rPr>
        <w:fldChar w:fldCharType="separate"/>
      </w:r>
      <w:r w:rsidR="001C71EF">
        <w:rPr>
          <w:rFonts w:cs="Courier New"/>
          <w:szCs w:val="22"/>
        </w:rPr>
        <w:object w:dxaOrig="10763" w:dyaOrig="5691" w14:anchorId="35D64F62">
          <v:shape id="_x0000_i1064" type="#_x0000_t75" style="width:475.45pt;height:280.55pt" o:ole="">
            <v:imagedata r:id="rId91" o:title=""/>
            <o:lock v:ext="edit" aspectratio="f"/>
          </v:shape>
        </w:object>
      </w:r>
      <w:r>
        <w:rPr>
          <w:rFonts w:cs="Courier New"/>
          <w:szCs w:val="22"/>
        </w:rPr>
        <w:fldChar w:fldCharType="end"/>
      </w:r>
    </w:p>
    <w:p w14:paraId="407233EA" w14:textId="77777777" w:rsidR="00B01CC3" w:rsidRDefault="00B01CC3" w:rsidP="007F7857">
      <w:pPr>
        <w:rPr>
          <w:rFonts w:cs="Courier New"/>
          <w:szCs w:val="22"/>
        </w:rPr>
      </w:pPr>
    </w:p>
    <w:p w14:paraId="5129806C" w14:textId="77777777" w:rsidR="00EB45EA" w:rsidRPr="00EC06E7" w:rsidRDefault="00EB45EA" w:rsidP="007F7857">
      <w:pPr>
        <w:rPr>
          <w:rFonts w:cs="Courier New"/>
          <w:szCs w:val="22"/>
        </w:rPr>
      </w:pPr>
    </w:p>
    <w:p w14:paraId="207E6C1C" w14:textId="3D88005C" w:rsidR="00310F8C" w:rsidRPr="00EC06E7" w:rsidRDefault="00934DFE" w:rsidP="007F7857">
      <w:pPr>
        <w:rPr>
          <w:rFonts w:cs="Courier New"/>
          <w:b/>
          <w:szCs w:val="22"/>
        </w:rPr>
      </w:pPr>
      <w:r w:rsidRPr="001422EA">
        <w:rPr>
          <w:rFonts w:cs="Courier New"/>
          <w:b/>
          <w:szCs w:val="22"/>
        </w:rPr>
        <w:fldChar w:fldCharType="begin"/>
      </w:r>
      <w:r w:rsidRPr="001422EA">
        <w:rPr>
          <w:rFonts w:cs="Courier New"/>
          <w:b/>
          <w:szCs w:val="22"/>
        </w:rPr>
        <w:instrText xml:space="preserve"> REF  CashFlow \h \r  \* MERGEFORMAT </w:instrText>
      </w:r>
      <w:r w:rsidRPr="001422EA">
        <w:rPr>
          <w:rFonts w:cs="Courier New"/>
          <w:b/>
          <w:szCs w:val="22"/>
        </w:rPr>
      </w:r>
      <w:r w:rsidRPr="001422EA">
        <w:rPr>
          <w:rFonts w:cs="Courier New"/>
          <w:b/>
          <w:szCs w:val="22"/>
        </w:rPr>
        <w:fldChar w:fldCharType="separate"/>
      </w:r>
      <w:r w:rsidR="000F49D2">
        <w:rPr>
          <w:rFonts w:cs="Courier New"/>
          <w:b/>
          <w:szCs w:val="22"/>
        </w:rPr>
        <w:t>26</w:t>
      </w:r>
      <w:r w:rsidRPr="001422EA">
        <w:rPr>
          <w:rFonts w:cs="Courier New"/>
          <w:b/>
          <w:szCs w:val="22"/>
        </w:rPr>
        <w:fldChar w:fldCharType="end"/>
      </w:r>
      <w:r w:rsidR="005B28AC" w:rsidRPr="001422EA">
        <w:rPr>
          <w:rFonts w:cs="Courier New"/>
          <w:b/>
          <w:szCs w:val="22"/>
        </w:rPr>
        <w:t>b</w:t>
      </w:r>
      <w:r w:rsidR="00370FA4" w:rsidRPr="001422EA">
        <w:rPr>
          <w:rFonts w:cs="Courier New"/>
          <w:b/>
          <w:szCs w:val="22"/>
        </w:rPr>
        <w:tab/>
      </w:r>
      <w:r w:rsidR="00310F8C" w:rsidRPr="001422EA">
        <w:rPr>
          <w:rFonts w:cs="Courier New"/>
          <w:b/>
          <w:szCs w:val="22"/>
        </w:rPr>
        <w:t>Adjust for items included in the net surplus or deficit on the provision of services that are investing or financing activities</w:t>
      </w:r>
    </w:p>
    <w:p w14:paraId="2D063F05" w14:textId="63104AE6" w:rsidR="00310F8C" w:rsidRDefault="00310F8C" w:rsidP="007F7857">
      <w:pPr>
        <w:rPr>
          <w:rFonts w:cs="Courier New"/>
          <w:szCs w:val="22"/>
        </w:rPr>
      </w:pPr>
    </w:p>
    <w:p w14:paraId="63AC7C47" w14:textId="77777777" w:rsidR="00310F8C" w:rsidRDefault="00310F8C" w:rsidP="007F7857">
      <w:pPr>
        <w:rPr>
          <w:rFonts w:cs="Courier New"/>
          <w:szCs w:val="22"/>
        </w:rPr>
      </w:pPr>
      <w:r w:rsidRPr="00EC06E7">
        <w:rPr>
          <w:rFonts w:cs="Courier New"/>
          <w:szCs w:val="22"/>
        </w:rPr>
        <w:t>The surplus or deficit on the provision of services has been adjusted for the following items that are investing and financing activities:</w:t>
      </w:r>
    </w:p>
    <w:p w14:paraId="6B28AB59" w14:textId="40308AE0" w:rsidR="001422EA" w:rsidRDefault="001422EA" w:rsidP="007F7857">
      <w:pPr>
        <w:rPr>
          <w:rFonts w:cs="Courier New"/>
          <w:szCs w:val="22"/>
        </w:rPr>
      </w:pPr>
    </w:p>
    <w:p w14:paraId="214C837A" w14:textId="718C18F7" w:rsidR="00EB45EA" w:rsidRDefault="00305C3A" w:rsidP="007F7857">
      <w:pPr>
        <w:rPr>
          <w:rFonts w:cs="Courier New"/>
          <w:szCs w:val="22"/>
        </w:rPr>
      </w:pPr>
      <w:r>
        <w:rPr>
          <w:rFonts w:cs="Courier New"/>
          <w:szCs w:val="22"/>
        </w:rPr>
        <w:fldChar w:fldCharType="begin"/>
      </w:r>
      <w:r>
        <w:rPr>
          <w:rFonts w:cs="Courier New"/>
          <w:szCs w:val="22"/>
        </w:rPr>
        <w:instrText xml:space="preserve"> LINK Excel.Sheet.12 "\\\\alpha\\accounts$\\CLOSURE\\Closure 20-21\\04 SoA Working Papers\\00B4 Cash Flow Statement, Notes 26-28\\Cash Flow Statement SRBC 2020-21.xlsx!Embedded Tables - Notes!R25C1:R31C3" "" \a \p </w:instrText>
      </w:r>
      <w:r>
        <w:rPr>
          <w:rFonts w:cs="Courier New"/>
          <w:szCs w:val="22"/>
        </w:rPr>
        <w:fldChar w:fldCharType="separate"/>
      </w:r>
      <w:r w:rsidR="001C71EF">
        <w:rPr>
          <w:rFonts w:cs="Courier New"/>
          <w:szCs w:val="22"/>
        </w:rPr>
        <w:object w:dxaOrig="10763" w:dyaOrig="2710" w14:anchorId="21309F8A">
          <v:shape id="_x0000_i1065" type="#_x0000_t75" style="width:482.25pt;height:136.55pt" o:ole="">
            <v:imagedata r:id="rId92" o:title=""/>
            <o:lock v:ext="edit" aspectratio="f"/>
          </v:shape>
        </w:object>
      </w:r>
      <w:r>
        <w:rPr>
          <w:rFonts w:cs="Courier New"/>
          <w:szCs w:val="22"/>
        </w:rPr>
        <w:fldChar w:fldCharType="end"/>
      </w:r>
    </w:p>
    <w:p w14:paraId="6E784245" w14:textId="77777777" w:rsidR="00EB45EA" w:rsidRDefault="00EB45EA" w:rsidP="007F7857">
      <w:pPr>
        <w:rPr>
          <w:rFonts w:cs="Courier New"/>
          <w:szCs w:val="22"/>
        </w:rPr>
      </w:pPr>
    </w:p>
    <w:p w14:paraId="6E297702" w14:textId="77777777" w:rsidR="001422EA" w:rsidRDefault="001422EA">
      <w:pPr>
        <w:jc w:val="left"/>
      </w:pPr>
      <w:r>
        <w:br w:type="page"/>
      </w:r>
    </w:p>
    <w:p w14:paraId="47C76E01" w14:textId="1F4B1830" w:rsidR="00310F8C" w:rsidRPr="00EC06E7" w:rsidRDefault="00934DFE" w:rsidP="007F7857">
      <w:pPr>
        <w:rPr>
          <w:rFonts w:cs="Courier New"/>
          <w:b/>
          <w:szCs w:val="22"/>
        </w:rPr>
      </w:pPr>
      <w:r w:rsidRPr="001422EA">
        <w:rPr>
          <w:rFonts w:cs="Courier New"/>
          <w:b/>
          <w:szCs w:val="22"/>
        </w:rPr>
        <w:fldChar w:fldCharType="begin"/>
      </w:r>
      <w:r w:rsidRPr="001422EA">
        <w:rPr>
          <w:rFonts w:cs="Courier New"/>
          <w:b/>
          <w:szCs w:val="22"/>
        </w:rPr>
        <w:instrText xml:space="preserve"> REF  CashFlow \h \r  \* MERGEFORMAT </w:instrText>
      </w:r>
      <w:r w:rsidRPr="001422EA">
        <w:rPr>
          <w:rFonts w:cs="Courier New"/>
          <w:b/>
          <w:szCs w:val="22"/>
        </w:rPr>
      </w:r>
      <w:r w:rsidRPr="001422EA">
        <w:rPr>
          <w:rFonts w:cs="Courier New"/>
          <w:b/>
          <w:szCs w:val="22"/>
        </w:rPr>
        <w:fldChar w:fldCharType="separate"/>
      </w:r>
      <w:r w:rsidR="000F49D2">
        <w:rPr>
          <w:rFonts w:cs="Courier New"/>
          <w:b/>
          <w:szCs w:val="22"/>
        </w:rPr>
        <w:t>26</w:t>
      </w:r>
      <w:r w:rsidRPr="001422EA">
        <w:rPr>
          <w:rFonts w:cs="Courier New"/>
          <w:b/>
          <w:szCs w:val="22"/>
        </w:rPr>
        <w:fldChar w:fldCharType="end"/>
      </w:r>
      <w:r w:rsidR="00370FA4" w:rsidRPr="001422EA">
        <w:rPr>
          <w:rFonts w:cs="Courier New"/>
          <w:b/>
          <w:szCs w:val="22"/>
        </w:rPr>
        <w:t>c</w:t>
      </w:r>
      <w:r w:rsidR="00370FA4" w:rsidRPr="001422EA">
        <w:rPr>
          <w:rFonts w:cs="Courier New"/>
          <w:b/>
          <w:szCs w:val="22"/>
        </w:rPr>
        <w:tab/>
      </w:r>
      <w:r w:rsidR="00310F8C" w:rsidRPr="001422EA">
        <w:rPr>
          <w:rFonts w:cs="Courier New"/>
          <w:b/>
          <w:szCs w:val="22"/>
        </w:rPr>
        <w:t xml:space="preserve">Interest </w:t>
      </w:r>
      <w:proofErr w:type="gramStart"/>
      <w:r w:rsidR="00310F8C" w:rsidRPr="001422EA">
        <w:rPr>
          <w:rFonts w:cs="Courier New"/>
          <w:b/>
          <w:szCs w:val="22"/>
        </w:rPr>
        <w:t>received</w:t>
      </w:r>
      <w:proofErr w:type="gramEnd"/>
      <w:r w:rsidR="00310F8C" w:rsidRPr="001422EA">
        <w:rPr>
          <w:rFonts w:cs="Courier New"/>
          <w:b/>
          <w:szCs w:val="22"/>
        </w:rPr>
        <w:t xml:space="preserve"> and interest paid</w:t>
      </w:r>
      <w:r w:rsidR="00310F8C" w:rsidRPr="00EC06E7">
        <w:rPr>
          <w:rFonts w:cs="Courier New"/>
          <w:b/>
          <w:szCs w:val="22"/>
        </w:rPr>
        <w:t xml:space="preserve"> </w:t>
      </w:r>
    </w:p>
    <w:p w14:paraId="48D3F3F4" w14:textId="77777777" w:rsidR="00310F8C" w:rsidRPr="00EC06E7" w:rsidRDefault="00310F8C" w:rsidP="007F7857">
      <w:pPr>
        <w:rPr>
          <w:rFonts w:cs="Courier New"/>
          <w:b/>
          <w:szCs w:val="22"/>
        </w:rPr>
      </w:pPr>
    </w:p>
    <w:p w14:paraId="0642BE72" w14:textId="77777777" w:rsidR="00310F8C" w:rsidRPr="00EC06E7" w:rsidRDefault="00310F8C" w:rsidP="007F7857">
      <w:pPr>
        <w:rPr>
          <w:rFonts w:cs="Courier New"/>
          <w:szCs w:val="22"/>
        </w:rPr>
      </w:pPr>
      <w:r w:rsidRPr="00EC06E7">
        <w:rPr>
          <w:rFonts w:cs="Courier New"/>
          <w:szCs w:val="22"/>
        </w:rPr>
        <w:t>The cash flows for operating activities include the following items:</w:t>
      </w:r>
    </w:p>
    <w:p w14:paraId="4990D6FB" w14:textId="6A907CB1" w:rsidR="00310F8C" w:rsidRDefault="00310F8C" w:rsidP="007F7857">
      <w:pPr>
        <w:rPr>
          <w:rFonts w:cs="Courier New"/>
          <w:szCs w:val="22"/>
        </w:rPr>
      </w:pPr>
    </w:p>
    <w:p w14:paraId="440C6F70" w14:textId="3AF146BA" w:rsidR="00CD6D11" w:rsidRDefault="00305C3A" w:rsidP="007F7857">
      <w:pPr>
        <w:rPr>
          <w:rFonts w:cs="Courier New"/>
          <w:szCs w:val="22"/>
        </w:rPr>
      </w:pPr>
      <w:r>
        <w:rPr>
          <w:rFonts w:cs="Courier New"/>
          <w:szCs w:val="22"/>
        </w:rPr>
        <w:fldChar w:fldCharType="begin"/>
      </w:r>
      <w:r>
        <w:rPr>
          <w:rFonts w:cs="Courier New"/>
          <w:szCs w:val="22"/>
        </w:rPr>
        <w:instrText xml:space="preserve"> LINK Excel.Sheet.12 "\\\\alpha\\accounts$\\CLOSURE\\Closure 20-21\\04 SoA Working Papers\\00B4 Cash Flow Statement, Notes 26-28\\Cash Flow Statement SRBC 2020-21.xlsx!Embedded Tables - Notes!R36C1:R41C3" "" \a \p </w:instrText>
      </w:r>
      <w:r>
        <w:rPr>
          <w:rFonts w:cs="Courier New"/>
          <w:szCs w:val="22"/>
        </w:rPr>
        <w:fldChar w:fldCharType="separate"/>
      </w:r>
      <w:r w:rsidR="001C71EF">
        <w:rPr>
          <w:rFonts w:cs="Courier New"/>
          <w:szCs w:val="22"/>
        </w:rPr>
        <w:object w:dxaOrig="10763" w:dyaOrig="1680" w14:anchorId="1F8C0949">
          <v:shape id="_x0000_i1066" type="#_x0000_t75" style="width:482.25pt;height:86.25pt" o:ole="">
            <v:imagedata r:id="rId93" o:title=""/>
            <o:lock v:ext="edit" aspectratio="f"/>
          </v:shape>
        </w:object>
      </w:r>
      <w:r>
        <w:rPr>
          <w:rFonts w:cs="Courier New"/>
          <w:szCs w:val="22"/>
        </w:rPr>
        <w:fldChar w:fldCharType="end"/>
      </w:r>
    </w:p>
    <w:p w14:paraId="46623C54" w14:textId="77777777" w:rsidR="00CD6D11" w:rsidRDefault="00CD6D11" w:rsidP="007F7857">
      <w:pPr>
        <w:rPr>
          <w:rFonts w:cs="Courier New"/>
          <w:szCs w:val="22"/>
        </w:rPr>
      </w:pPr>
    </w:p>
    <w:p w14:paraId="5715FE14" w14:textId="77777777" w:rsidR="009663AB" w:rsidRDefault="009663AB" w:rsidP="007F7857">
      <w:pPr>
        <w:rPr>
          <w:rFonts w:cs="Courier New"/>
          <w:szCs w:val="22"/>
        </w:rPr>
      </w:pPr>
    </w:p>
    <w:p w14:paraId="01C13BF5" w14:textId="77777777" w:rsidR="00C8113E" w:rsidRPr="001422EA" w:rsidRDefault="006E1448" w:rsidP="004E5A07">
      <w:pPr>
        <w:pStyle w:val="Heading2"/>
      </w:pPr>
      <w:bookmarkStart w:id="170" w:name="_Toc483390992"/>
      <w:bookmarkStart w:id="171" w:name="_Ref483392946"/>
      <w:bookmarkStart w:id="172" w:name="_Toc77603802"/>
      <w:r w:rsidRPr="001422EA">
        <w:t xml:space="preserve">Cash </w:t>
      </w:r>
      <w:r w:rsidR="00F944DC">
        <w:t>F</w:t>
      </w:r>
      <w:r w:rsidRPr="001422EA">
        <w:t xml:space="preserve">low </w:t>
      </w:r>
      <w:r w:rsidR="00F944DC">
        <w:t>S</w:t>
      </w:r>
      <w:r w:rsidRPr="001422EA">
        <w:t>tatement – investing activities</w:t>
      </w:r>
      <w:bookmarkEnd w:id="170"/>
      <w:bookmarkEnd w:id="171"/>
      <w:bookmarkEnd w:id="172"/>
    </w:p>
    <w:p w14:paraId="6D25CEB0" w14:textId="77777777" w:rsidR="00B26AAB" w:rsidRPr="00EC06E7" w:rsidRDefault="00B26AAB" w:rsidP="007F7857">
      <w:pPr>
        <w:rPr>
          <w:rFonts w:cs="Courier New"/>
          <w:szCs w:val="22"/>
        </w:rPr>
      </w:pPr>
    </w:p>
    <w:p w14:paraId="5E7727FB" w14:textId="77777777" w:rsidR="00895BD5" w:rsidRPr="00EC06E7" w:rsidRDefault="00895BD5" w:rsidP="007F7857">
      <w:pPr>
        <w:rPr>
          <w:rFonts w:cs="Courier New"/>
          <w:szCs w:val="22"/>
        </w:rPr>
      </w:pPr>
      <w:r w:rsidRPr="00EC06E7">
        <w:rPr>
          <w:rFonts w:cs="Courier New"/>
          <w:szCs w:val="22"/>
        </w:rPr>
        <w:t>The following items have been included within investing activities in the cash flow statement</w:t>
      </w:r>
      <w:r w:rsidR="00DF528C" w:rsidRPr="00EC06E7">
        <w:rPr>
          <w:rFonts w:cs="Courier New"/>
          <w:szCs w:val="22"/>
        </w:rPr>
        <w:t>:</w:t>
      </w:r>
    </w:p>
    <w:p w14:paraId="1C45A446" w14:textId="70E6792C" w:rsidR="00310F8C" w:rsidRDefault="00310F8C" w:rsidP="007F7857">
      <w:pPr>
        <w:rPr>
          <w:rFonts w:cs="Courier New"/>
          <w:szCs w:val="22"/>
        </w:rPr>
      </w:pPr>
    </w:p>
    <w:p w14:paraId="54C3895D" w14:textId="31C14E4B" w:rsidR="00CD6D11" w:rsidRDefault="00305C3A" w:rsidP="007F7857">
      <w:pPr>
        <w:rPr>
          <w:rFonts w:cs="Courier New"/>
          <w:szCs w:val="22"/>
        </w:rPr>
      </w:pPr>
      <w:r>
        <w:rPr>
          <w:rFonts w:cs="Courier New"/>
          <w:szCs w:val="22"/>
        </w:rPr>
        <w:fldChar w:fldCharType="begin"/>
      </w:r>
      <w:r>
        <w:rPr>
          <w:rFonts w:cs="Courier New"/>
          <w:szCs w:val="22"/>
        </w:rPr>
        <w:instrText xml:space="preserve"> LINK Excel.Sheet.12 "\\\\alpha\\accounts$\\CLOSURE\\Closure 20-21\\04 SoA Working Papers\\00B4 Cash Flow Statement, Notes 26-28\\Cash Flow Statement SRBC 2020-21.xlsx!Embedded Tables - Notes!R46C1:R55C3" "" \a \p </w:instrText>
      </w:r>
      <w:r>
        <w:rPr>
          <w:rFonts w:cs="Courier New"/>
          <w:szCs w:val="22"/>
        </w:rPr>
        <w:fldChar w:fldCharType="separate"/>
      </w:r>
      <w:r w:rsidR="001C71EF">
        <w:rPr>
          <w:rFonts w:cs="Courier New"/>
          <w:szCs w:val="22"/>
        </w:rPr>
        <w:object w:dxaOrig="10763" w:dyaOrig="3478" w14:anchorId="355E7371">
          <v:shape id="_x0000_i1067" type="#_x0000_t75" style="width:482.25pt;height:172.55pt" o:ole="">
            <v:imagedata r:id="rId94" o:title=""/>
            <o:lock v:ext="edit" aspectratio="f"/>
          </v:shape>
        </w:object>
      </w:r>
      <w:r>
        <w:rPr>
          <w:rFonts w:cs="Courier New"/>
          <w:szCs w:val="22"/>
        </w:rPr>
        <w:fldChar w:fldCharType="end"/>
      </w:r>
    </w:p>
    <w:p w14:paraId="1163BF24" w14:textId="77777777" w:rsidR="00CD6D11" w:rsidRDefault="00CD6D11" w:rsidP="007F7857">
      <w:pPr>
        <w:rPr>
          <w:rFonts w:cs="Courier New"/>
          <w:szCs w:val="22"/>
        </w:rPr>
      </w:pPr>
    </w:p>
    <w:p w14:paraId="5DD99A4E" w14:textId="77777777" w:rsidR="002D7491" w:rsidRDefault="002D7491" w:rsidP="007F7857">
      <w:pPr>
        <w:rPr>
          <w:rFonts w:cs="Courier New"/>
          <w:szCs w:val="22"/>
        </w:rPr>
      </w:pPr>
    </w:p>
    <w:p w14:paraId="00017BCE" w14:textId="77777777" w:rsidR="00C8113E" w:rsidRPr="001422EA" w:rsidRDefault="006E1448" w:rsidP="004E5A07">
      <w:pPr>
        <w:pStyle w:val="Heading2"/>
      </w:pPr>
      <w:bookmarkStart w:id="173" w:name="_Toc483390993"/>
      <w:bookmarkStart w:id="174" w:name="_Ref483392951"/>
      <w:bookmarkStart w:id="175" w:name="_Toc77603803"/>
      <w:r w:rsidRPr="001422EA">
        <w:t xml:space="preserve">Cash </w:t>
      </w:r>
      <w:r w:rsidR="00F944DC">
        <w:t>F</w:t>
      </w:r>
      <w:r w:rsidRPr="001422EA">
        <w:t xml:space="preserve">low </w:t>
      </w:r>
      <w:r w:rsidR="00F944DC">
        <w:t>S</w:t>
      </w:r>
      <w:r w:rsidRPr="001422EA">
        <w:t xml:space="preserve">tatement – financing </w:t>
      </w:r>
      <w:r w:rsidR="00370FA4" w:rsidRPr="001422EA">
        <w:t>activities</w:t>
      </w:r>
      <w:bookmarkEnd w:id="173"/>
      <w:bookmarkEnd w:id="174"/>
      <w:bookmarkEnd w:id="175"/>
    </w:p>
    <w:p w14:paraId="53F73CAA" w14:textId="77777777" w:rsidR="00370DE7" w:rsidRPr="00EC06E7" w:rsidRDefault="00370DE7" w:rsidP="007F7857">
      <w:pPr>
        <w:rPr>
          <w:rFonts w:cs="Courier New"/>
          <w:szCs w:val="22"/>
        </w:rPr>
      </w:pPr>
    </w:p>
    <w:p w14:paraId="4EDF33C1" w14:textId="77777777" w:rsidR="00895BD5" w:rsidRPr="00EC06E7" w:rsidRDefault="003533E7" w:rsidP="007F7857">
      <w:pPr>
        <w:rPr>
          <w:rFonts w:cs="Courier New"/>
          <w:szCs w:val="22"/>
        </w:rPr>
      </w:pPr>
      <w:r w:rsidRPr="00EC06E7">
        <w:rPr>
          <w:rFonts w:cs="Courier New"/>
          <w:szCs w:val="22"/>
        </w:rPr>
        <w:t>The following have been included within financing activities in the cash flow statement</w:t>
      </w:r>
      <w:r w:rsidR="00370DE7" w:rsidRPr="00EC06E7">
        <w:rPr>
          <w:rFonts w:cs="Courier New"/>
          <w:szCs w:val="22"/>
        </w:rPr>
        <w:t>:</w:t>
      </w:r>
    </w:p>
    <w:p w14:paraId="63D14D53" w14:textId="0D1B7094" w:rsidR="003533E7" w:rsidRDefault="003533E7" w:rsidP="007F7857">
      <w:pPr>
        <w:rPr>
          <w:rFonts w:cs="Courier New"/>
          <w:szCs w:val="22"/>
        </w:rPr>
      </w:pPr>
    </w:p>
    <w:p w14:paraId="70BA8DB8" w14:textId="0E6EA080" w:rsidR="0098337A" w:rsidRDefault="00305C3A" w:rsidP="007F7857">
      <w:pPr>
        <w:rPr>
          <w:rFonts w:cs="Courier New"/>
          <w:szCs w:val="22"/>
        </w:rPr>
      </w:pPr>
      <w:r>
        <w:rPr>
          <w:rFonts w:cs="Courier New"/>
          <w:szCs w:val="22"/>
        </w:rPr>
        <w:fldChar w:fldCharType="begin"/>
      </w:r>
      <w:r>
        <w:rPr>
          <w:rFonts w:cs="Courier New"/>
          <w:szCs w:val="22"/>
        </w:rPr>
        <w:instrText xml:space="preserve"> LINK Excel.Sheet.12 "\\\\alpha\\accounts$\\CLOSURE\\Closure 20-21\\04 SoA Working Papers\\00B4 Cash Flow Statement, Notes 26-28\\Cash Flow Statement SRBC 2020-21.xlsx!Embedded Tables - Notes!R60C1:R66C3" "" \a \p </w:instrText>
      </w:r>
      <w:r>
        <w:rPr>
          <w:rFonts w:cs="Courier New"/>
          <w:szCs w:val="22"/>
        </w:rPr>
        <w:fldChar w:fldCharType="separate"/>
      </w:r>
      <w:r w:rsidR="001C71EF">
        <w:rPr>
          <w:rFonts w:cs="Courier New"/>
          <w:szCs w:val="22"/>
        </w:rPr>
        <w:object w:dxaOrig="10763" w:dyaOrig="2507" w14:anchorId="193B172B">
          <v:shape id="_x0000_i1068" type="#_x0000_t75" style="width:482.25pt;height:129.75pt" o:ole="">
            <v:imagedata r:id="rId95" o:title=""/>
            <o:lock v:ext="edit" aspectratio="f"/>
          </v:shape>
        </w:object>
      </w:r>
      <w:r>
        <w:rPr>
          <w:rFonts w:cs="Courier New"/>
          <w:szCs w:val="22"/>
        </w:rPr>
        <w:fldChar w:fldCharType="end"/>
      </w:r>
    </w:p>
    <w:p w14:paraId="69DFEBC4" w14:textId="77777777" w:rsidR="0098337A" w:rsidRDefault="0098337A" w:rsidP="007F7857">
      <w:pPr>
        <w:rPr>
          <w:rFonts w:cs="Courier New"/>
          <w:szCs w:val="22"/>
        </w:rPr>
      </w:pPr>
    </w:p>
    <w:p w14:paraId="3AFBED88" w14:textId="77777777" w:rsidR="00CE61E9" w:rsidRDefault="00CE61E9" w:rsidP="007F7857">
      <w:pPr>
        <w:rPr>
          <w:rFonts w:cs="Courier New"/>
          <w:szCs w:val="22"/>
        </w:rPr>
      </w:pPr>
    </w:p>
    <w:p w14:paraId="6DD4427C" w14:textId="77777777" w:rsidR="001422EA" w:rsidRDefault="001422EA">
      <w:pPr>
        <w:jc w:val="left"/>
      </w:pPr>
      <w:r>
        <w:br w:type="page"/>
      </w:r>
    </w:p>
    <w:p w14:paraId="03078536" w14:textId="77777777" w:rsidR="00C8113E" w:rsidRPr="001422EA" w:rsidRDefault="006E1448" w:rsidP="004E5A07">
      <w:pPr>
        <w:pStyle w:val="Heading2"/>
      </w:pPr>
      <w:bookmarkStart w:id="176" w:name="_Toc483390994"/>
      <w:bookmarkStart w:id="177" w:name="_Ref483394520"/>
      <w:bookmarkStart w:id="178" w:name="_Ref483396089"/>
      <w:bookmarkStart w:id="179" w:name="_Toc77603804"/>
      <w:r w:rsidRPr="001422EA">
        <w:t>Trading operations</w:t>
      </w:r>
      <w:bookmarkEnd w:id="176"/>
      <w:bookmarkEnd w:id="177"/>
      <w:bookmarkEnd w:id="178"/>
      <w:bookmarkEnd w:id="179"/>
    </w:p>
    <w:p w14:paraId="528E2D53" w14:textId="77777777" w:rsidR="00C8113E" w:rsidRPr="00166BD8" w:rsidRDefault="00C8113E" w:rsidP="007F7857"/>
    <w:p w14:paraId="336DB8A6" w14:textId="158564A7" w:rsidR="00F53237" w:rsidRPr="00EC06E7" w:rsidRDefault="00F53237" w:rsidP="007F7857">
      <w:pPr>
        <w:rPr>
          <w:color w:val="000000" w:themeColor="text1"/>
        </w:rPr>
      </w:pPr>
      <w:r w:rsidRPr="0009471D">
        <w:rPr>
          <w:color w:val="000000" w:themeColor="text1"/>
        </w:rPr>
        <w:t xml:space="preserve">The </w:t>
      </w:r>
      <w:r w:rsidR="00BC0AA6">
        <w:rPr>
          <w:color w:val="000000" w:themeColor="text1"/>
        </w:rPr>
        <w:t>c</w:t>
      </w:r>
      <w:r w:rsidR="001C2529" w:rsidRPr="0009471D">
        <w:rPr>
          <w:color w:val="000000" w:themeColor="text1"/>
        </w:rPr>
        <w:t xml:space="preserve">ouncil manages an </w:t>
      </w:r>
      <w:r w:rsidRPr="0009471D">
        <w:rPr>
          <w:color w:val="000000" w:themeColor="text1"/>
        </w:rPr>
        <w:t>inves</w:t>
      </w:r>
      <w:r w:rsidR="00FC6FC9" w:rsidRPr="0009471D">
        <w:rPr>
          <w:color w:val="000000" w:themeColor="text1"/>
        </w:rPr>
        <w:t>tment portfolio consisting of 75 industrial units (28 Investment managed, 47 economic regen</w:t>
      </w:r>
      <w:r w:rsidR="005B5A25" w:rsidRPr="0009471D">
        <w:rPr>
          <w:color w:val="000000" w:themeColor="text1"/>
        </w:rPr>
        <w:t>eration), 5</w:t>
      </w:r>
      <w:r w:rsidR="00290BF0">
        <w:rPr>
          <w:color w:val="000000" w:themeColor="text1"/>
        </w:rPr>
        <w:t>3</w:t>
      </w:r>
      <w:r w:rsidR="005B5A25" w:rsidRPr="0009471D">
        <w:rPr>
          <w:color w:val="000000" w:themeColor="text1"/>
        </w:rPr>
        <w:t xml:space="preserve"> other properties (W</w:t>
      </w:r>
      <w:r w:rsidR="00FC6FC9" w:rsidRPr="0009471D">
        <w:rPr>
          <w:color w:val="000000" w:themeColor="text1"/>
        </w:rPr>
        <w:t>orden, shops, offices and residential), 24 plots of leased land, others (allotments, garages, parking plots, grazing).</w:t>
      </w:r>
    </w:p>
    <w:p w14:paraId="13518D93" w14:textId="4F064BB1" w:rsidR="00EF5048" w:rsidRDefault="00EF5048" w:rsidP="007F7857"/>
    <w:p w14:paraId="3F92AA61" w14:textId="1A942680" w:rsidR="00782263" w:rsidRDefault="00A11E2C" w:rsidP="007F7857">
      <w:r>
        <w:fldChar w:fldCharType="begin"/>
      </w:r>
      <w:r>
        <w:instrText xml:space="preserve"> LINK Excel.Sheet.12 "\\\\alpha\\accounts$\\CLOSURE\\Closure 20-21\\04 SoA Working Papers\\29 Trading Operations\\Note 29 Trading Operations 2020-21.xlsx!Embedded Table!R2C1:R8C3" "" \a \p </w:instrText>
      </w:r>
      <w:r>
        <w:fldChar w:fldCharType="separate"/>
      </w:r>
      <w:r w:rsidR="001C71EF">
        <w:object w:dxaOrig="10995" w:dyaOrig="2028" w14:anchorId="4BCA2A2E">
          <v:shape id="_x0000_i1069" type="#_x0000_t75" style="width:482.25pt;height:100.55pt" o:ole="">
            <v:imagedata r:id="rId96" o:title=""/>
            <o:lock v:ext="edit" aspectratio="f"/>
          </v:shape>
        </w:object>
      </w:r>
      <w:r>
        <w:fldChar w:fldCharType="end"/>
      </w:r>
    </w:p>
    <w:p w14:paraId="0C8F1FBE" w14:textId="77777777" w:rsidR="00782263" w:rsidRDefault="00782263" w:rsidP="007F7857"/>
    <w:p w14:paraId="35996198" w14:textId="77777777" w:rsidR="00FE49CF" w:rsidRPr="00EC06E7" w:rsidRDefault="00FE49CF" w:rsidP="007F7857"/>
    <w:p w14:paraId="5841E1F4" w14:textId="77777777" w:rsidR="00C8113E" w:rsidRPr="001422EA" w:rsidRDefault="006E1448" w:rsidP="004E5A07">
      <w:pPr>
        <w:pStyle w:val="Heading2"/>
      </w:pPr>
      <w:bookmarkStart w:id="180" w:name="_Toc483390995"/>
      <w:bookmarkStart w:id="181" w:name="_Ref483394975"/>
      <w:bookmarkStart w:id="182" w:name="_Toc77603805"/>
      <w:r w:rsidRPr="001422EA">
        <w:t>Members allowances</w:t>
      </w:r>
      <w:bookmarkEnd w:id="180"/>
      <w:bookmarkEnd w:id="181"/>
      <w:bookmarkEnd w:id="182"/>
    </w:p>
    <w:p w14:paraId="72863065" w14:textId="77777777" w:rsidR="00C92C7C" w:rsidRPr="00EC06E7" w:rsidRDefault="00C92C7C" w:rsidP="007F7857"/>
    <w:p w14:paraId="20FB7BF8" w14:textId="77777777" w:rsidR="00066285" w:rsidRPr="00EC06E7" w:rsidRDefault="00066285" w:rsidP="007F7857">
      <w:r w:rsidRPr="00EC06E7">
        <w:t xml:space="preserve">The </w:t>
      </w:r>
      <w:r w:rsidR="00BC0AA6">
        <w:t>c</w:t>
      </w:r>
      <w:r w:rsidRPr="00EC06E7">
        <w:t>ouncil paid the following amounts to its members during the year</w:t>
      </w:r>
      <w:r w:rsidR="00FE49CF" w:rsidRPr="00EC06E7">
        <w:t>:</w:t>
      </w:r>
    </w:p>
    <w:p w14:paraId="6ACF9482" w14:textId="77777777" w:rsidR="00066285" w:rsidRPr="00EC06E7" w:rsidRDefault="00066285" w:rsidP="007F78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5"/>
        <w:gridCol w:w="6750"/>
        <w:gridCol w:w="1440"/>
      </w:tblGrid>
      <w:tr w:rsidR="00C92C7C" w:rsidRPr="00EC06E7" w14:paraId="1F2DFD02" w14:textId="77777777" w:rsidTr="00AC1B22">
        <w:tc>
          <w:tcPr>
            <w:tcW w:w="1435" w:type="dxa"/>
            <w:tcBorders>
              <w:bottom w:val="nil"/>
            </w:tcBorders>
            <w:shd w:val="clear" w:color="auto" w:fill="B8CCE4" w:themeFill="accent1" w:themeFillTint="66"/>
            <w:vAlign w:val="center"/>
          </w:tcPr>
          <w:p w14:paraId="38814101" w14:textId="74FB21CF" w:rsidR="00C92C7C" w:rsidRPr="00EC06E7" w:rsidRDefault="00231838" w:rsidP="00A3273A">
            <w:pPr>
              <w:jc w:val="center"/>
              <w:rPr>
                <w:rFonts w:cs="Courier New"/>
                <w:b/>
                <w:szCs w:val="22"/>
              </w:rPr>
            </w:pPr>
            <w:r>
              <w:rPr>
                <w:rFonts w:cs="Courier New"/>
                <w:b/>
                <w:szCs w:val="22"/>
              </w:rPr>
              <w:t>201</w:t>
            </w:r>
            <w:r w:rsidR="00A270DC">
              <w:rPr>
                <w:rFonts w:cs="Courier New"/>
                <w:b/>
                <w:szCs w:val="22"/>
              </w:rPr>
              <w:t>9</w:t>
            </w:r>
            <w:r w:rsidR="00255FA7">
              <w:rPr>
                <w:rFonts w:cs="Courier New"/>
                <w:b/>
                <w:szCs w:val="22"/>
              </w:rPr>
              <w:t>/</w:t>
            </w:r>
            <w:r w:rsidR="00A270DC">
              <w:rPr>
                <w:rFonts w:cs="Courier New"/>
                <w:b/>
                <w:szCs w:val="22"/>
              </w:rPr>
              <w:t>20</w:t>
            </w:r>
          </w:p>
        </w:tc>
        <w:tc>
          <w:tcPr>
            <w:tcW w:w="6750" w:type="dxa"/>
            <w:tcBorders>
              <w:bottom w:val="nil"/>
            </w:tcBorders>
            <w:shd w:val="clear" w:color="auto" w:fill="B8CCE4" w:themeFill="accent1" w:themeFillTint="66"/>
            <w:vAlign w:val="center"/>
          </w:tcPr>
          <w:p w14:paraId="51A78DEB" w14:textId="77777777" w:rsidR="00C92C7C" w:rsidRPr="00EC06E7" w:rsidRDefault="00C92C7C" w:rsidP="00C92C7C">
            <w:pPr>
              <w:jc w:val="center"/>
              <w:rPr>
                <w:rFonts w:cs="Courier New"/>
                <w:b/>
                <w:szCs w:val="22"/>
              </w:rPr>
            </w:pPr>
          </w:p>
        </w:tc>
        <w:tc>
          <w:tcPr>
            <w:tcW w:w="1440" w:type="dxa"/>
            <w:tcBorders>
              <w:bottom w:val="nil"/>
            </w:tcBorders>
            <w:shd w:val="clear" w:color="auto" w:fill="B8CCE4" w:themeFill="accent1" w:themeFillTint="66"/>
            <w:vAlign w:val="center"/>
          </w:tcPr>
          <w:p w14:paraId="23FC3FF2" w14:textId="65777063" w:rsidR="00C92C7C" w:rsidRPr="00EC06E7" w:rsidRDefault="005B33E8" w:rsidP="00A3273A">
            <w:pPr>
              <w:jc w:val="center"/>
              <w:rPr>
                <w:rFonts w:cs="Courier New"/>
                <w:b/>
                <w:szCs w:val="22"/>
              </w:rPr>
            </w:pPr>
            <w:r>
              <w:rPr>
                <w:rFonts w:cs="Courier New"/>
                <w:b/>
                <w:szCs w:val="22"/>
              </w:rPr>
              <w:t>20</w:t>
            </w:r>
            <w:r w:rsidR="00A270DC">
              <w:rPr>
                <w:rFonts w:cs="Courier New"/>
                <w:b/>
                <w:szCs w:val="22"/>
              </w:rPr>
              <w:t>20</w:t>
            </w:r>
            <w:r>
              <w:rPr>
                <w:rFonts w:cs="Courier New"/>
                <w:b/>
                <w:szCs w:val="22"/>
              </w:rPr>
              <w:t>/</w:t>
            </w:r>
            <w:r w:rsidR="00A3273A">
              <w:rPr>
                <w:rFonts w:cs="Courier New"/>
                <w:b/>
                <w:szCs w:val="22"/>
              </w:rPr>
              <w:t>2</w:t>
            </w:r>
            <w:r w:rsidR="00A270DC">
              <w:rPr>
                <w:rFonts w:cs="Courier New"/>
                <w:b/>
                <w:szCs w:val="22"/>
              </w:rPr>
              <w:t>1</w:t>
            </w:r>
          </w:p>
        </w:tc>
      </w:tr>
      <w:tr w:rsidR="00C92C7C" w:rsidRPr="00EC06E7" w14:paraId="5C6682D0" w14:textId="77777777" w:rsidTr="00AC1B22">
        <w:tc>
          <w:tcPr>
            <w:tcW w:w="1435" w:type="dxa"/>
            <w:tcBorders>
              <w:top w:val="nil"/>
              <w:bottom w:val="single" w:sz="4" w:space="0" w:color="auto"/>
            </w:tcBorders>
            <w:shd w:val="clear" w:color="auto" w:fill="B8CCE4" w:themeFill="accent1" w:themeFillTint="66"/>
            <w:vAlign w:val="center"/>
          </w:tcPr>
          <w:p w14:paraId="42500440" w14:textId="77777777" w:rsidR="00C92C7C" w:rsidRPr="00EC06E7" w:rsidRDefault="00C92C7C" w:rsidP="00C92C7C">
            <w:pPr>
              <w:jc w:val="center"/>
              <w:rPr>
                <w:rFonts w:cs="Courier New"/>
                <w:b/>
                <w:szCs w:val="22"/>
              </w:rPr>
            </w:pPr>
            <w:r w:rsidRPr="00EC06E7">
              <w:rPr>
                <w:rFonts w:cs="Courier New"/>
                <w:b/>
                <w:szCs w:val="22"/>
              </w:rPr>
              <w:t>£’000</w:t>
            </w:r>
          </w:p>
        </w:tc>
        <w:tc>
          <w:tcPr>
            <w:tcW w:w="6750" w:type="dxa"/>
            <w:tcBorders>
              <w:top w:val="nil"/>
              <w:bottom w:val="single" w:sz="4" w:space="0" w:color="auto"/>
            </w:tcBorders>
            <w:shd w:val="clear" w:color="auto" w:fill="B8CCE4" w:themeFill="accent1" w:themeFillTint="66"/>
            <w:vAlign w:val="center"/>
          </w:tcPr>
          <w:p w14:paraId="12BFF2E1" w14:textId="77777777" w:rsidR="00C92C7C" w:rsidRPr="00EC06E7" w:rsidRDefault="00C92C7C" w:rsidP="00C92C7C">
            <w:pPr>
              <w:jc w:val="center"/>
              <w:rPr>
                <w:rFonts w:cs="Courier New"/>
                <w:b/>
                <w:szCs w:val="22"/>
              </w:rPr>
            </w:pPr>
          </w:p>
        </w:tc>
        <w:tc>
          <w:tcPr>
            <w:tcW w:w="1440" w:type="dxa"/>
            <w:tcBorders>
              <w:top w:val="nil"/>
              <w:bottom w:val="single" w:sz="4" w:space="0" w:color="auto"/>
            </w:tcBorders>
            <w:shd w:val="clear" w:color="auto" w:fill="B8CCE4" w:themeFill="accent1" w:themeFillTint="66"/>
            <w:vAlign w:val="center"/>
          </w:tcPr>
          <w:p w14:paraId="68D55D3B" w14:textId="77777777" w:rsidR="00C92C7C" w:rsidRPr="00EC06E7" w:rsidRDefault="00C92C7C" w:rsidP="00C92C7C">
            <w:pPr>
              <w:jc w:val="center"/>
              <w:rPr>
                <w:b/>
              </w:rPr>
            </w:pPr>
            <w:r w:rsidRPr="00EC06E7">
              <w:rPr>
                <w:rFonts w:cs="Courier New"/>
                <w:b/>
                <w:szCs w:val="22"/>
              </w:rPr>
              <w:t>£’000</w:t>
            </w:r>
          </w:p>
        </w:tc>
      </w:tr>
      <w:tr w:rsidR="00C92C7C" w:rsidRPr="00EC06E7" w14:paraId="3A9033EA" w14:textId="77777777" w:rsidTr="00AC1B22">
        <w:trPr>
          <w:trHeight w:val="340"/>
        </w:trPr>
        <w:tc>
          <w:tcPr>
            <w:tcW w:w="1435" w:type="dxa"/>
            <w:tcBorders>
              <w:bottom w:val="single" w:sz="4" w:space="0" w:color="BFBFBF" w:themeColor="background1" w:themeShade="BF"/>
              <w:right w:val="single" w:sz="4" w:space="0" w:color="BFBFBF" w:themeColor="background1" w:themeShade="BF"/>
            </w:tcBorders>
            <w:vAlign w:val="center"/>
          </w:tcPr>
          <w:p w14:paraId="63B5525B" w14:textId="26669D4C" w:rsidR="00C92C7C" w:rsidRPr="00EC06E7" w:rsidRDefault="00231838" w:rsidP="00C92C7C">
            <w:pPr>
              <w:ind w:right="138"/>
              <w:jc w:val="right"/>
              <w:rPr>
                <w:rFonts w:cs="Courier New"/>
                <w:szCs w:val="22"/>
              </w:rPr>
            </w:pPr>
            <w:r>
              <w:rPr>
                <w:rFonts w:cs="Courier New"/>
                <w:szCs w:val="22"/>
              </w:rPr>
              <w:t>3</w:t>
            </w:r>
            <w:r w:rsidR="00A270DC">
              <w:rPr>
                <w:rFonts w:cs="Courier New"/>
                <w:szCs w:val="22"/>
              </w:rPr>
              <w:t>63</w:t>
            </w:r>
          </w:p>
        </w:tc>
        <w:tc>
          <w:tcPr>
            <w:tcW w:w="6750" w:type="dxa"/>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E25635F" w14:textId="77777777" w:rsidR="00C92C7C" w:rsidRPr="00EC06E7" w:rsidRDefault="00C92C7C" w:rsidP="00196F8D">
            <w:pPr>
              <w:jc w:val="left"/>
              <w:rPr>
                <w:rFonts w:cs="Courier New"/>
                <w:szCs w:val="22"/>
              </w:rPr>
            </w:pPr>
            <w:r w:rsidRPr="00EC06E7">
              <w:rPr>
                <w:rFonts w:cs="Courier New"/>
                <w:szCs w:val="22"/>
              </w:rPr>
              <w:t>Allowances</w:t>
            </w:r>
          </w:p>
        </w:tc>
        <w:tc>
          <w:tcPr>
            <w:tcW w:w="1440" w:type="dxa"/>
            <w:tcBorders>
              <w:left w:val="single" w:sz="4" w:space="0" w:color="BFBFBF" w:themeColor="background1" w:themeShade="BF"/>
              <w:bottom w:val="single" w:sz="4" w:space="0" w:color="BFBFBF" w:themeColor="background1" w:themeShade="BF"/>
            </w:tcBorders>
            <w:vAlign w:val="center"/>
          </w:tcPr>
          <w:p w14:paraId="3B620615" w14:textId="318C8694" w:rsidR="00C92C7C" w:rsidRPr="00EC06E7" w:rsidRDefault="00302FAA" w:rsidP="002E7990">
            <w:pPr>
              <w:ind w:right="138"/>
              <w:jc w:val="right"/>
              <w:rPr>
                <w:rFonts w:cs="Courier New"/>
                <w:szCs w:val="22"/>
              </w:rPr>
            </w:pPr>
            <w:r>
              <w:rPr>
                <w:rFonts w:cs="Courier New"/>
                <w:szCs w:val="22"/>
              </w:rPr>
              <w:t>364</w:t>
            </w:r>
          </w:p>
        </w:tc>
      </w:tr>
      <w:tr w:rsidR="00C92C7C" w:rsidRPr="00EC06E7" w14:paraId="575D0F66" w14:textId="77777777" w:rsidTr="00AC1B22">
        <w:trPr>
          <w:trHeight w:val="340"/>
        </w:trPr>
        <w:tc>
          <w:tcPr>
            <w:tcW w:w="1435" w:type="dxa"/>
            <w:tcBorders>
              <w:top w:val="single" w:sz="4" w:space="0" w:color="auto"/>
              <w:right w:val="single" w:sz="4" w:space="0" w:color="BFBFBF" w:themeColor="background1" w:themeShade="BF"/>
            </w:tcBorders>
            <w:shd w:val="clear" w:color="auto" w:fill="D9D9D9" w:themeFill="background1" w:themeFillShade="D9"/>
            <w:vAlign w:val="center"/>
          </w:tcPr>
          <w:p w14:paraId="49245B25" w14:textId="1309A8B8" w:rsidR="00C92C7C" w:rsidRPr="00EC06E7" w:rsidRDefault="00231838" w:rsidP="00196F8D">
            <w:pPr>
              <w:ind w:right="138"/>
              <w:jc w:val="right"/>
              <w:rPr>
                <w:rFonts w:cs="Courier New"/>
                <w:b/>
                <w:szCs w:val="22"/>
              </w:rPr>
            </w:pPr>
            <w:r>
              <w:rPr>
                <w:rFonts w:cs="Courier New"/>
                <w:b/>
                <w:szCs w:val="22"/>
              </w:rPr>
              <w:t>3</w:t>
            </w:r>
            <w:r w:rsidR="00302FAA">
              <w:rPr>
                <w:rFonts w:cs="Courier New"/>
                <w:b/>
                <w:szCs w:val="22"/>
              </w:rPr>
              <w:t>63</w:t>
            </w:r>
          </w:p>
        </w:tc>
        <w:tc>
          <w:tcPr>
            <w:tcW w:w="6750" w:type="dxa"/>
            <w:tcBorders>
              <w:top w:val="single" w:sz="4" w:space="0" w:color="auto"/>
              <w:left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12C96AB1" w14:textId="77777777" w:rsidR="00C92C7C" w:rsidRPr="00EC06E7" w:rsidRDefault="00C92C7C" w:rsidP="00196F8D">
            <w:pPr>
              <w:jc w:val="left"/>
              <w:rPr>
                <w:rFonts w:cs="Courier New"/>
                <w:b/>
                <w:szCs w:val="22"/>
              </w:rPr>
            </w:pPr>
            <w:r w:rsidRPr="00EC06E7">
              <w:rPr>
                <w:rFonts w:cs="Courier New"/>
                <w:b/>
                <w:szCs w:val="22"/>
              </w:rPr>
              <w:t>Total</w:t>
            </w:r>
          </w:p>
        </w:tc>
        <w:tc>
          <w:tcPr>
            <w:tcW w:w="1440" w:type="dxa"/>
            <w:tcBorders>
              <w:top w:val="single" w:sz="4" w:space="0" w:color="auto"/>
              <w:left w:val="single" w:sz="4" w:space="0" w:color="BFBFBF" w:themeColor="background1" w:themeShade="BF"/>
            </w:tcBorders>
            <w:shd w:val="clear" w:color="auto" w:fill="D9D9D9" w:themeFill="background1" w:themeFillShade="D9"/>
            <w:vAlign w:val="center"/>
          </w:tcPr>
          <w:p w14:paraId="540ED062" w14:textId="77177EE7" w:rsidR="00C92C7C" w:rsidRPr="00EC06E7" w:rsidRDefault="00302FAA" w:rsidP="00FB06D9">
            <w:pPr>
              <w:ind w:right="138"/>
              <w:jc w:val="right"/>
              <w:rPr>
                <w:rFonts w:cs="Courier New"/>
                <w:b/>
                <w:szCs w:val="22"/>
              </w:rPr>
            </w:pPr>
            <w:r>
              <w:rPr>
                <w:rFonts w:cs="Courier New"/>
                <w:b/>
                <w:szCs w:val="22"/>
              </w:rPr>
              <w:t>364</w:t>
            </w:r>
          </w:p>
        </w:tc>
      </w:tr>
    </w:tbl>
    <w:p w14:paraId="2824A70E" w14:textId="77777777" w:rsidR="00C92C7C" w:rsidRPr="00EC06E7" w:rsidRDefault="00C92C7C" w:rsidP="007F7857"/>
    <w:p w14:paraId="21298640" w14:textId="77777777" w:rsidR="00C92C7C" w:rsidRPr="00EC06E7" w:rsidRDefault="00C92C7C" w:rsidP="007F7857"/>
    <w:p w14:paraId="511007A3" w14:textId="77777777" w:rsidR="00370FA4" w:rsidRPr="00EC06E7" w:rsidRDefault="00370FA4">
      <w:pPr>
        <w:jc w:val="left"/>
      </w:pPr>
      <w:r w:rsidRPr="00EC06E7">
        <w:br w:type="page"/>
      </w:r>
    </w:p>
    <w:p w14:paraId="6F01CF81" w14:textId="77777777" w:rsidR="001508CB" w:rsidRDefault="006E1448" w:rsidP="009574CA">
      <w:pPr>
        <w:pStyle w:val="Heading2"/>
        <w:spacing w:after="0"/>
      </w:pPr>
      <w:bookmarkStart w:id="183" w:name="_Toc483390996"/>
      <w:bookmarkStart w:id="184" w:name="_Ref483394936"/>
      <w:bookmarkStart w:id="185" w:name="_Toc77603806"/>
      <w:r w:rsidRPr="001422EA">
        <w:t>Officers remuneration</w:t>
      </w:r>
      <w:bookmarkEnd w:id="183"/>
      <w:bookmarkEnd w:id="184"/>
      <w:bookmarkEnd w:id="185"/>
    </w:p>
    <w:p w14:paraId="33827928" w14:textId="77777777" w:rsidR="009574CA" w:rsidRPr="009574CA" w:rsidRDefault="009574CA" w:rsidP="009574CA">
      <w:pPr>
        <w:rPr>
          <w:sz w:val="10"/>
          <w:szCs w:val="10"/>
        </w:rPr>
      </w:pPr>
    </w:p>
    <w:p w14:paraId="79FAE406" w14:textId="77777777" w:rsidR="006143C4" w:rsidRDefault="006143C4" w:rsidP="006143C4"/>
    <w:tbl>
      <w:tblPr>
        <w:tblW w:w="9600" w:type="dxa"/>
        <w:tblLook w:val="04A0" w:firstRow="1" w:lastRow="0" w:firstColumn="1" w:lastColumn="0" w:noHBand="0" w:noVBand="1"/>
      </w:tblPr>
      <w:tblGrid>
        <w:gridCol w:w="3254"/>
        <w:gridCol w:w="482"/>
        <w:gridCol w:w="1012"/>
        <w:gridCol w:w="960"/>
        <w:gridCol w:w="960"/>
        <w:gridCol w:w="960"/>
        <w:gridCol w:w="960"/>
        <w:gridCol w:w="1012"/>
      </w:tblGrid>
      <w:tr w:rsidR="006143C4" w:rsidRPr="003364EC" w14:paraId="74B3AE88" w14:textId="77777777" w:rsidTr="006143C4">
        <w:trPr>
          <w:cantSplit/>
          <w:trHeight w:val="1644"/>
        </w:trPr>
        <w:tc>
          <w:tcPr>
            <w:tcW w:w="3254" w:type="dxa"/>
            <w:tcBorders>
              <w:top w:val="single" w:sz="4" w:space="0" w:color="auto"/>
              <w:left w:val="single" w:sz="4" w:space="0" w:color="auto"/>
              <w:bottom w:val="nil"/>
              <w:right w:val="nil"/>
            </w:tcBorders>
            <w:shd w:val="clear" w:color="000000" w:fill="B8CCE4"/>
            <w:vAlign w:val="center"/>
            <w:hideMark/>
          </w:tcPr>
          <w:p w14:paraId="290AAACC" w14:textId="77777777" w:rsidR="006143C4" w:rsidRPr="003364EC" w:rsidRDefault="006143C4" w:rsidP="006143C4">
            <w:pPr>
              <w:jc w:val="left"/>
              <w:rPr>
                <w:rFonts w:cs="Arial"/>
                <w:b/>
                <w:bCs/>
                <w:color w:val="000000"/>
              </w:rPr>
            </w:pPr>
            <w:r w:rsidRPr="003364EC">
              <w:rPr>
                <w:rFonts w:cs="Arial"/>
                <w:b/>
                <w:bCs/>
                <w:color w:val="000000"/>
              </w:rPr>
              <w:t>20</w:t>
            </w:r>
            <w:r>
              <w:rPr>
                <w:rFonts w:cs="Arial"/>
                <w:b/>
                <w:bCs/>
                <w:color w:val="000000"/>
              </w:rPr>
              <w:t>20</w:t>
            </w:r>
            <w:r w:rsidRPr="003364EC">
              <w:rPr>
                <w:rFonts w:cs="Arial"/>
                <w:b/>
                <w:bCs/>
                <w:color w:val="000000"/>
              </w:rPr>
              <w:t>/2</w:t>
            </w:r>
            <w:r>
              <w:rPr>
                <w:rFonts w:cs="Arial"/>
                <w:b/>
                <w:bCs/>
                <w:color w:val="000000"/>
              </w:rPr>
              <w:t>1</w:t>
            </w:r>
            <w:r w:rsidRPr="003364EC">
              <w:rPr>
                <w:rFonts w:cs="Arial"/>
                <w:b/>
                <w:bCs/>
                <w:color w:val="000000"/>
              </w:rPr>
              <w:t xml:space="preserve"> Remuneration</w:t>
            </w:r>
          </w:p>
        </w:tc>
        <w:tc>
          <w:tcPr>
            <w:tcW w:w="482" w:type="dxa"/>
            <w:tcBorders>
              <w:top w:val="single" w:sz="4" w:space="0" w:color="auto"/>
              <w:left w:val="single" w:sz="4" w:space="0" w:color="auto"/>
              <w:bottom w:val="nil"/>
              <w:right w:val="single" w:sz="4" w:space="0" w:color="auto"/>
            </w:tcBorders>
            <w:shd w:val="clear" w:color="000000" w:fill="B8CCE4"/>
            <w:noWrap/>
            <w:textDirection w:val="btLr"/>
            <w:vAlign w:val="center"/>
            <w:hideMark/>
          </w:tcPr>
          <w:p w14:paraId="19472E40" w14:textId="77777777" w:rsidR="006143C4" w:rsidRPr="003364EC" w:rsidRDefault="006143C4" w:rsidP="006143C4">
            <w:pPr>
              <w:rPr>
                <w:rFonts w:cs="Arial"/>
                <w:b/>
                <w:bCs/>
                <w:color w:val="000000"/>
              </w:rPr>
            </w:pPr>
            <w:r w:rsidRPr="003364EC">
              <w:rPr>
                <w:rFonts w:cs="Arial"/>
                <w:b/>
                <w:bCs/>
              </w:rPr>
              <w:t>Note</w:t>
            </w:r>
          </w:p>
        </w:tc>
        <w:tc>
          <w:tcPr>
            <w:tcW w:w="1012" w:type="dxa"/>
            <w:tcBorders>
              <w:top w:val="single" w:sz="4" w:space="0" w:color="auto"/>
              <w:left w:val="nil"/>
              <w:bottom w:val="nil"/>
              <w:right w:val="single" w:sz="4" w:space="0" w:color="auto"/>
            </w:tcBorders>
            <w:shd w:val="clear" w:color="000000" w:fill="B8CCE4"/>
            <w:textDirection w:val="btLr"/>
            <w:vAlign w:val="center"/>
            <w:hideMark/>
          </w:tcPr>
          <w:p w14:paraId="5AC6146E" w14:textId="77777777" w:rsidR="006143C4" w:rsidRPr="003364EC" w:rsidRDefault="006143C4" w:rsidP="006143C4">
            <w:pPr>
              <w:jc w:val="left"/>
              <w:rPr>
                <w:rFonts w:cs="Arial"/>
                <w:b/>
                <w:bCs/>
                <w:color w:val="000000"/>
              </w:rPr>
            </w:pPr>
            <w:r w:rsidRPr="003364EC">
              <w:rPr>
                <w:rFonts w:cs="Arial"/>
                <w:b/>
                <w:bCs/>
              </w:rPr>
              <w:t>Salary and allowances</w:t>
            </w:r>
          </w:p>
        </w:tc>
        <w:tc>
          <w:tcPr>
            <w:tcW w:w="960" w:type="dxa"/>
            <w:tcBorders>
              <w:top w:val="single" w:sz="4" w:space="0" w:color="auto"/>
              <w:left w:val="nil"/>
              <w:bottom w:val="nil"/>
              <w:right w:val="single" w:sz="4" w:space="0" w:color="auto"/>
            </w:tcBorders>
            <w:shd w:val="clear" w:color="000000" w:fill="B8CCE4"/>
            <w:textDirection w:val="btLr"/>
            <w:vAlign w:val="center"/>
            <w:hideMark/>
          </w:tcPr>
          <w:p w14:paraId="7C0AAF3A" w14:textId="77777777" w:rsidR="006143C4" w:rsidRPr="003364EC" w:rsidRDefault="006143C4" w:rsidP="006143C4">
            <w:pPr>
              <w:jc w:val="left"/>
              <w:rPr>
                <w:rFonts w:cs="Arial"/>
                <w:b/>
                <w:bCs/>
                <w:color w:val="000000"/>
              </w:rPr>
            </w:pPr>
            <w:r w:rsidRPr="003364EC">
              <w:rPr>
                <w:rFonts w:cs="Arial"/>
                <w:b/>
                <w:bCs/>
              </w:rPr>
              <w:t>Expenses allowances</w:t>
            </w:r>
          </w:p>
        </w:tc>
        <w:tc>
          <w:tcPr>
            <w:tcW w:w="960" w:type="dxa"/>
            <w:tcBorders>
              <w:top w:val="single" w:sz="4" w:space="0" w:color="auto"/>
              <w:left w:val="nil"/>
              <w:bottom w:val="nil"/>
              <w:right w:val="single" w:sz="4" w:space="0" w:color="auto"/>
            </w:tcBorders>
            <w:shd w:val="clear" w:color="000000" w:fill="B8CCE4"/>
            <w:textDirection w:val="btLr"/>
            <w:vAlign w:val="center"/>
            <w:hideMark/>
          </w:tcPr>
          <w:p w14:paraId="40F13A28" w14:textId="77777777" w:rsidR="006143C4" w:rsidRPr="003364EC" w:rsidRDefault="006143C4" w:rsidP="006143C4">
            <w:pPr>
              <w:jc w:val="left"/>
              <w:rPr>
                <w:rFonts w:cs="Arial"/>
                <w:b/>
                <w:bCs/>
                <w:color w:val="000000"/>
              </w:rPr>
            </w:pPr>
            <w:r w:rsidRPr="003364EC">
              <w:rPr>
                <w:rFonts w:cs="Arial"/>
                <w:b/>
                <w:bCs/>
              </w:rPr>
              <w:t>Compensation for loss of office</w:t>
            </w:r>
          </w:p>
        </w:tc>
        <w:tc>
          <w:tcPr>
            <w:tcW w:w="960" w:type="dxa"/>
            <w:tcBorders>
              <w:top w:val="single" w:sz="4" w:space="0" w:color="auto"/>
              <w:left w:val="nil"/>
              <w:bottom w:val="nil"/>
              <w:right w:val="single" w:sz="4" w:space="0" w:color="auto"/>
            </w:tcBorders>
            <w:shd w:val="clear" w:color="000000" w:fill="B8CCE4"/>
            <w:textDirection w:val="btLr"/>
            <w:vAlign w:val="center"/>
            <w:hideMark/>
          </w:tcPr>
          <w:p w14:paraId="0150F491" w14:textId="77777777" w:rsidR="006143C4" w:rsidRPr="003364EC" w:rsidRDefault="006143C4" w:rsidP="006143C4">
            <w:pPr>
              <w:jc w:val="left"/>
              <w:rPr>
                <w:rFonts w:cs="Arial"/>
                <w:b/>
                <w:bCs/>
                <w:color w:val="000000"/>
              </w:rPr>
            </w:pPr>
            <w:r w:rsidRPr="003364EC">
              <w:rPr>
                <w:rFonts w:cs="Arial"/>
                <w:b/>
                <w:bCs/>
              </w:rPr>
              <w:t xml:space="preserve">Benefits </w:t>
            </w:r>
            <w:proofErr w:type="gramStart"/>
            <w:r w:rsidRPr="003364EC">
              <w:rPr>
                <w:rFonts w:cs="Arial"/>
                <w:b/>
                <w:bCs/>
              </w:rPr>
              <w:t>In</w:t>
            </w:r>
            <w:proofErr w:type="gramEnd"/>
            <w:r w:rsidRPr="003364EC">
              <w:rPr>
                <w:rFonts w:cs="Arial"/>
                <w:b/>
                <w:bCs/>
              </w:rPr>
              <w:t xml:space="preserve"> Kind</w:t>
            </w:r>
          </w:p>
        </w:tc>
        <w:tc>
          <w:tcPr>
            <w:tcW w:w="960" w:type="dxa"/>
            <w:tcBorders>
              <w:top w:val="single" w:sz="4" w:space="0" w:color="auto"/>
              <w:left w:val="nil"/>
              <w:bottom w:val="nil"/>
              <w:right w:val="single" w:sz="4" w:space="0" w:color="auto"/>
            </w:tcBorders>
            <w:shd w:val="clear" w:color="000000" w:fill="B8CCE4"/>
            <w:textDirection w:val="btLr"/>
            <w:vAlign w:val="center"/>
            <w:hideMark/>
          </w:tcPr>
          <w:p w14:paraId="19C2FE99" w14:textId="77777777" w:rsidR="006143C4" w:rsidRPr="003364EC" w:rsidRDefault="006143C4" w:rsidP="006143C4">
            <w:pPr>
              <w:jc w:val="left"/>
              <w:rPr>
                <w:rFonts w:cs="Arial"/>
                <w:b/>
                <w:bCs/>
                <w:color w:val="000000"/>
              </w:rPr>
            </w:pPr>
            <w:r w:rsidRPr="003364EC">
              <w:rPr>
                <w:rFonts w:cs="Arial"/>
                <w:b/>
                <w:bCs/>
              </w:rPr>
              <w:t>Pension Contribution</w:t>
            </w:r>
          </w:p>
        </w:tc>
        <w:tc>
          <w:tcPr>
            <w:tcW w:w="1012" w:type="dxa"/>
            <w:tcBorders>
              <w:top w:val="single" w:sz="4" w:space="0" w:color="auto"/>
              <w:left w:val="nil"/>
              <w:bottom w:val="nil"/>
              <w:right w:val="single" w:sz="4" w:space="0" w:color="auto"/>
            </w:tcBorders>
            <w:shd w:val="clear" w:color="000000" w:fill="B8CCE4"/>
            <w:textDirection w:val="btLr"/>
            <w:vAlign w:val="center"/>
            <w:hideMark/>
          </w:tcPr>
          <w:p w14:paraId="68ADF598" w14:textId="77777777" w:rsidR="006143C4" w:rsidRPr="003364EC" w:rsidRDefault="006143C4" w:rsidP="006143C4">
            <w:pPr>
              <w:jc w:val="left"/>
              <w:rPr>
                <w:rFonts w:cs="Arial"/>
                <w:b/>
                <w:bCs/>
                <w:color w:val="000000"/>
              </w:rPr>
            </w:pPr>
            <w:r w:rsidRPr="003364EC">
              <w:rPr>
                <w:rFonts w:cs="Arial"/>
                <w:b/>
                <w:bCs/>
              </w:rPr>
              <w:t>Total Remuneration</w:t>
            </w:r>
          </w:p>
        </w:tc>
      </w:tr>
      <w:tr w:rsidR="006143C4" w:rsidRPr="003364EC" w14:paraId="3A3A0863" w14:textId="77777777" w:rsidTr="006143C4">
        <w:trPr>
          <w:trHeight w:val="300"/>
        </w:trPr>
        <w:tc>
          <w:tcPr>
            <w:tcW w:w="3254" w:type="dxa"/>
            <w:tcBorders>
              <w:top w:val="nil"/>
              <w:left w:val="single" w:sz="4" w:space="0" w:color="auto"/>
              <w:bottom w:val="single" w:sz="4" w:space="0" w:color="auto"/>
              <w:right w:val="nil"/>
            </w:tcBorders>
            <w:shd w:val="clear" w:color="000000" w:fill="B8CCE4"/>
            <w:vAlign w:val="center"/>
            <w:hideMark/>
          </w:tcPr>
          <w:p w14:paraId="2C3B858D" w14:textId="77777777" w:rsidR="006143C4" w:rsidRPr="003364EC" w:rsidRDefault="006143C4" w:rsidP="006143C4">
            <w:pPr>
              <w:jc w:val="left"/>
              <w:rPr>
                <w:rFonts w:cs="Arial"/>
                <w:b/>
                <w:bCs/>
                <w:color w:val="000000"/>
              </w:rPr>
            </w:pPr>
            <w:r w:rsidRPr="003364EC">
              <w:rPr>
                <w:rFonts w:cs="Arial"/>
                <w:b/>
                <w:bCs/>
              </w:rPr>
              <w:t>Post Title</w:t>
            </w:r>
          </w:p>
        </w:tc>
        <w:tc>
          <w:tcPr>
            <w:tcW w:w="482" w:type="dxa"/>
            <w:tcBorders>
              <w:top w:val="nil"/>
              <w:left w:val="single" w:sz="4" w:space="0" w:color="auto"/>
              <w:bottom w:val="single" w:sz="4" w:space="0" w:color="auto"/>
              <w:right w:val="single" w:sz="4" w:space="0" w:color="auto"/>
            </w:tcBorders>
            <w:shd w:val="clear" w:color="000000" w:fill="B8CCE4"/>
            <w:noWrap/>
            <w:vAlign w:val="center"/>
            <w:hideMark/>
          </w:tcPr>
          <w:p w14:paraId="027F4CAA" w14:textId="77777777" w:rsidR="006143C4" w:rsidRPr="003364EC" w:rsidRDefault="006143C4" w:rsidP="006143C4">
            <w:pPr>
              <w:jc w:val="center"/>
              <w:rPr>
                <w:rFonts w:cs="Arial"/>
                <w:b/>
                <w:bCs/>
                <w:color w:val="000000"/>
              </w:rPr>
            </w:pPr>
            <w:r w:rsidRPr="003364EC">
              <w:rPr>
                <w:rFonts w:cs="Arial"/>
                <w:b/>
                <w:bCs/>
                <w:color w:val="000000"/>
              </w:rPr>
              <w:t> </w:t>
            </w:r>
          </w:p>
        </w:tc>
        <w:tc>
          <w:tcPr>
            <w:tcW w:w="1012" w:type="dxa"/>
            <w:tcBorders>
              <w:top w:val="nil"/>
              <w:left w:val="nil"/>
              <w:bottom w:val="single" w:sz="4" w:space="0" w:color="auto"/>
              <w:right w:val="single" w:sz="4" w:space="0" w:color="auto"/>
            </w:tcBorders>
            <w:shd w:val="clear" w:color="000000" w:fill="B8CCE4"/>
            <w:noWrap/>
            <w:vAlign w:val="center"/>
            <w:hideMark/>
          </w:tcPr>
          <w:p w14:paraId="68ACD273" w14:textId="77777777" w:rsidR="006143C4" w:rsidRPr="003364EC" w:rsidRDefault="006143C4" w:rsidP="006143C4">
            <w:pPr>
              <w:jc w:val="center"/>
              <w:rPr>
                <w:rFonts w:cs="Arial"/>
                <w:b/>
                <w:bCs/>
                <w:color w:val="000000"/>
              </w:rPr>
            </w:pPr>
            <w:r w:rsidRPr="003364EC">
              <w:rPr>
                <w:rFonts w:cs="Arial"/>
                <w:b/>
                <w:bCs/>
              </w:rPr>
              <w:t>£</w:t>
            </w:r>
          </w:p>
        </w:tc>
        <w:tc>
          <w:tcPr>
            <w:tcW w:w="960" w:type="dxa"/>
            <w:tcBorders>
              <w:top w:val="nil"/>
              <w:left w:val="nil"/>
              <w:bottom w:val="single" w:sz="4" w:space="0" w:color="auto"/>
              <w:right w:val="single" w:sz="4" w:space="0" w:color="auto"/>
            </w:tcBorders>
            <w:shd w:val="clear" w:color="000000" w:fill="B8CCE4"/>
            <w:noWrap/>
            <w:vAlign w:val="center"/>
            <w:hideMark/>
          </w:tcPr>
          <w:p w14:paraId="49126490" w14:textId="77777777" w:rsidR="006143C4" w:rsidRPr="003364EC" w:rsidRDefault="006143C4" w:rsidP="006143C4">
            <w:pPr>
              <w:jc w:val="center"/>
              <w:rPr>
                <w:rFonts w:cs="Arial"/>
                <w:b/>
                <w:bCs/>
                <w:color w:val="000000"/>
              </w:rPr>
            </w:pPr>
            <w:r w:rsidRPr="003364EC">
              <w:rPr>
                <w:rFonts w:cs="Arial"/>
                <w:b/>
                <w:bCs/>
              </w:rPr>
              <w:t>£</w:t>
            </w:r>
          </w:p>
        </w:tc>
        <w:tc>
          <w:tcPr>
            <w:tcW w:w="960" w:type="dxa"/>
            <w:tcBorders>
              <w:top w:val="nil"/>
              <w:left w:val="nil"/>
              <w:bottom w:val="single" w:sz="4" w:space="0" w:color="auto"/>
              <w:right w:val="single" w:sz="4" w:space="0" w:color="auto"/>
            </w:tcBorders>
            <w:shd w:val="clear" w:color="000000" w:fill="B8CCE4"/>
            <w:noWrap/>
            <w:vAlign w:val="center"/>
            <w:hideMark/>
          </w:tcPr>
          <w:p w14:paraId="61A8D089" w14:textId="77777777" w:rsidR="006143C4" w:rsidRPr="003364EC" w:rsidRDefault="006143C4" w:rsidP="006143C4">
            <w:pPr>
              <w:jc w:val="center"/>
              <w:rPr>
                <w:rFonts w:cs="Arial"/>
                <w:b/>
                <w:bCs/>
                <w:color w:val="000000"/>
              </w:rPr>
            </w:pPr>
            <w:r w:rsidRPr="003364EC">
              <w:rPr>
                <w:rFonts w:cs="Arial"/>
                <w:b/>
                <w:bCs/>
              </w:rPr>
              <w:t>£</w:t>
            </w:r>
          </w:p>
        </w:tc>
        <w:tc>
          <w:tcPr>
            <w:tcW w:w="960" w:type="dxa"/>
            <w:tcBorders>
              <w:top w:val="nil"/>
              <w:left w:val="nil"/>
              <w:bottom w:val="single" w:sz="4" w:space="0" w:color="auto"/>
              <w:right w:val="single" w:sz="4" w:space="0" w:color="auto"/>
            </w:tcBorders>
            <w:shd w:val="clear" w:color="000000" w:fill="B8CCE4"/>
            <w:noWrap/>
            <w:vAlign w:val="center"/>
            <w:hideMark/>
          </w:tcPr>
          <w:p w14:paraId="24550B03" w14:textId="77777777" w:rsidR="006143C4" w:rsidRPr="003364EC" w:rsidRDefault="006143C4" w:rsidP="006143C4">
            <w:pPr>
              <w:jc w:val="center"/>
              <w:rPr>
                <w:rFonts w:cs="Arial"/>
                <w:b/>
                <w:bCs/>
                <w:color w:val="000000"/>
              </w:rPr>
            </w:pPr>
            <w:r w:rsidRPr="003364EC">
              <w:rPr>
                <w:rFonts w:cs="Arial"/>
                <w:b/>
                <w:bCs/>
              </w:rPr>
              <w:t>£</w:t>
            </w:r>
          </w:p>
        </w:tc>
        <w:tc>
          <w:tcPr>
            <w:tcW w:w="960" w:type="dxa"/>
            <w:tcBorders>
              <w:top w:val="nil"/>
              <w:left w:val="nil"/>
              <w:bottom w:val="single" w:sz="4" w:space="0" w:color="auto"/>
              <w:right w:val="single" w:sz="4" w:space="0" w:color="auto"/>
            </w:tcBorders>
            <w:shd w:val="clear" w:color="000000" w:fill="B8CCE4"/>
            <w:noWrap/>
            <w:vAlign w:val="center"/>
            <w:hideMark/>
          </w:tcPr>
          <w:p w14:paraId="6D943380" w14:textId="77777777" w:rsidR="006143C4" w:rsidRPr="003364EC" w:rsidRDefault="006143C4" w:rsidP="006143C4">
            <w:pPr>
              <w:jc w:val="center"/>
              <w:rPr>
                <w:rFonts w:cs="Arial"/>
                <w:b/>
                <w:bCs/>
                <w:color w:val="000000"/>
              </w:rPr>
            </w:pPr>
            <w:r w:rsidRPr="003364EC">
              <w:rPr>
                <w:rFonts w:cs="Arial"/>
                <w:b/>
                <w:bCs/>
              </w:rPr>
              <w:t>£</w:t>
            </w:r>
          </w:p>
        </w:tc>
        <w:tc>
          <w:tcPr>
            <w:tcW w:w="1012" w:type="dxa"/>
            <w:tcBorders>
              <w:top w:val="nil"/>
              <w:left w:val="nil"/>
              <w:bottom w:val="single" w:sz="4" w:space="0" w:color="auto"/>
              <w:right w:val="single" w:sz="4" w:space="0" w:color="auto"/>
            </w:tcBorders>
            <w:shd w:val="clear" w:color="000000" w:fill="B8CCE4"/>
            <w:noWrap/>
            <w:vAlign w:val="center"/>
            <w:hideMark/>
          </w:tcPr>
          <w:p w14:paraId="6988A54A" w14:textId="77777777" w:rsidR="006143C4" w:rsidRPr="003364EC" w:rsidRDefault="006143C4" w:rsidP="006143C4">
            <w:pPr>
              <w:jc w:val="center"/>
              <w:rPr>
                <w:rFonts w:cs="Arial"/>
                <w:b/>
                <w:bCs/>
                <w:color w:val="000000"/>
              </w:rPr>
            </w:pPr>
            <w:r w:rsidRPr="003364EC">
              <w:rPr>
                <w:rFonts w:cs="Arial"/>
                <w:b/>
                <w:bCs/>
              </w:rPr>
              <w:t>£</w:t>
            </w:r>
          </w:p>
        </w:tc>
      </w:tr>
      <w:tr w:rsidR="006143C4" w:rsidRPr="003364EC" w14:paraId="70228951" w14:textId="77777777" w:rsidTr="006143C4">
        <w:trPr>
          <w:trHeight w:val="300"/>
        </w:trPr>
        <w:tc>
          <w:tcPr>
            <w:tcW w:w="3254" w:type="dxa"/>
            <w:tcBorders>
              <w:top w:val="nil"/>
              <w:left w:val="single" w:sz="4" w:space="0" w:color="auto"/>
              <w:bottom w:val="single" w:sz="4" w:space="0" w:color="BFBFBF"/>
              <w:right w:val="single" w:sz="4" w:space="0" w:color="BFBFBF"/>
            </w:tcBorders>
            <w:shd w:val="clear" w:color="auto" w:fill="auto"/>
            <w:vAlign w:val="center"/>
          </w:tcPr>
          <w:p w14:paraId="5F608525" w14:textId="77777777" w:rsidR="006143C4" w:rsidRPr="003364EC" w:rsidRDefault="006143C4" w:rsidP="006143C4">
            <w:pPr>
              <w:jc w:val="left"/>
              <w:rPr>
                <w:rFonts w:cs="Arial"/>
                <w:color w:val="000000"/>
              </w:rPr>
            </w:pPr>
            <w:r>
              <w:rPr>
                <w:rFonts w:cs="Arial"/>
                <w:color w:val="000000"/>
              </w:rPr>
              <w:t>Chief Executive</w:t>
            </w:r>
          </w:p>
        </w:tc>
        <w:tc>
          <w:tcPr>
            <w:tcW w:w="482" w:type="dxa"/>
            <w:tcBorders>
              <w:top w:val="single" w:sz="4" w:space="0" w:color="auto"/>
              <w:left w:val="nil"/>
              <w:bottom w:val="single" w:sz="4" w:space="0" w:color="BFBFBF"/>
              <w:right w:val="single" w:sz="4" w:space="0" w:color="BFBFBF"/>
            </w:tcBorders>
            <w:shd w:val="clear" w:color="auto" w:fill="auto"/>
            <w:noWrap/>
            <w:vAlign w:val="center"/>
          </w:tcPr>
          <w:p w14:paraId="14E0CBB6" w14:textId="77777777" w:rsidR="006143C4" w:rsidRPr="003364EC" w:rsidRDefault="006143C4" w:rsidP="006143C4">
            <w:pPr>
              <w:jc w:val="center"/>
              <w:rPr>
                <w:rFonts w:cs="Arial"/>
                <w:color w:val="000000"/>
              </w:rPr>
            </w:pPr>
            <w:r>
              <w:rPr>
                <w:rFonts w:cs="Arial"/>
                <w:color w:val="000000"/>
              </w:rPr>
              <w:t>A</w:t>
            </w:r>
          </w:p>
        </w:tc>
        <w:tc>
          <w:tcPr>
            <w:tcW w:w="1012" w:type="dxa"/>
            <w:tcBorders>
              <w:top w:val="single" w:sz="4" w:space="0" w:color="auto"/>
              <w:left w:val="nil"/>
              <w:bottom w:val="single" w:sz="4" w:space="0" w:color="BFBFBF"/>
              <w:right w:val="single" w:sz="4" w:space="0" w:color="BFBFBF"/>
            </w:tcBorders>
            <w:shd w:val="clear" w:color="auto" w:fill="auto"/>
            <w:noWrap/>
            <w:vAlign w:val="center"/>
          </w:tcPr>
          <w:p w14:paraId="0EF3D4D8" w14:textId="77777777" w:rsidR="006143C4" w:rsidRPr="003364EC" w:rsidRDefault="006143C4" w:rsidP="006143C4">
            <w:pPr>
              <w:jc w:val="right"/>
              <w:rPr>
                <w:rFonts w:cs="Arial"/>
                <w:color w:val="000000"/>
              </w:rPr>
            </w:pPr>
            <w:r>
              <w:rPr>
                <w:rFonts w:cs="Arial"/>
                <w:color w:val="000000"/>
              </w:rPr>
              <w:t xml:space="preserve">56,994 </w:t>
            </w:r>
          </w:p>
        </w:tc>
        <w:tc>
          <w:tcPr>
            <w:tcW w:w="960" w:type="dxa"/>
            <w:tcBorders>
              <w:top w:val="single" w:sz="4" w:space="0" w:color="auto"/>
              <w:left w:val="nil"/>
              <w:bottom w:val="single" w:sz="4" w:space="0" w:color="BFBFBF"/>
              <w:right w:val="single" w:sz="4" w:space="0" w:color="BFBFBF"/>
            </w:tcBorders>
            <w:shd w:val="clear" w:color="auto" w:fill="auto"/>
            <w:noWrap/>
            <w:vAlign w:val="center"/>
          </w:tcPr>
          <w:p w14:paraId="3B392023" w14:textId="77777777" w:rsidR="006143C4" w:rsidRPr="003364EC" w:rsidRDefault="006143C4" w:rsidP="006143C4">
            <w:pPr>
              <w:jc w:val="right"/>
              <w:rPr>
                <w:rFonts w:cs="Arial"/>
                <w:color w:val="000000"/>
              </w:rPr>
            </w:pPr>
            <w:r>
              <w:rPr>
                <w:rFonts w:cs="Arial"/>
                <w:color w:val="000000"/>
              </w:rPr>
              <w:t xml:space="preserve">413 </w:t>
            </w:r>
          </w:p>
        </w:tc>
        <w:tc>
          <w:tcPr>
            <w:tcW w:w="960" w:type="dxa"/>
            <w:tcBorders>
              <w:top w:val="single" w:sz="4" w:space="0" w:color="auto"/>
              <w:left w:val="nil"/>
              <w:bottom w:val="single" w:sz="4" w:space="0" w:color="BFBFBF"/>
              <w:right w:val="single" w:sz="4" w:space="0" w:color="BFBFBF"/>
            </w:tcBorders>
            <w:shd w:val="clear" w:color="auto" w:fill="auto"/>
            <w:noWrap/>
            <w:vAlign w:val="center"/>
          </w:tcPr>
          <w:p w14:paraId="1992A500" w14:textId="77777777" w:rsidR="006143C4" w:rsidRPr="003364EC" w:rsidRDefault="006143C4" w:rsidP="006143C4">
            <w:pPr>
              <w:jc w:val="right"/>
              <w:rPr>
                <w:rFonts w:cs="Arial"/>
                <w:color w:val="000000"/>
              </w:rPr>
            </w:pPr>
            <w:r>
              <w:rPr>
                <w:rFonts w:cs="Arial"/>
                <w:color w:val="000000"/>
              </w:rPr>
              <w:t xml:space="preserve">- </w:t>
            </w:r>
          </w:p>
        </w:tc>
        <w:tc>
          <w:tcPr>
            <w:tcW w:w="960" w:type="dxa"/>
            <w:tcBorders>
              <w:top w:val="single" w:sz="4" w:space="0" w:color="auto"/>
              <w:left w:val="nil"/>
              <w:bottom w:val="single" w:sz="4" w:space="0" w:color="BFBFBF"/>
              <w:right w:val="single" w:sz="4" w:space="0" w:color="BFBFBF"/>
            </w:tcBorders>
            <w:shd w:val="clear" w:color="auto" w:fill="auto"/>
            <w:noWrap/>
            <w:vAlign w:val="center"/>
          </w:tcPr>
          <w:p w14:paraId="29D0B303" w14:textId="77777777" w:rsidR="006143C4" w:rsidRPr="003364EC" w:rsidRDefault="006143C4" w:rsidP="006143C4">
            <w:pPr>
              <w:jc w:val="right"/>
              <w:rPr>
                <w:rFonts w:cs="Arial"/>
                <w:color w:val="000000"/>
              </w:rPr>
            </w:pPr>
            <w:r>
              <w:rPr>
                <w:rFonts w:cs="Arial"/>
                <w:color w:val="000000"/>
              </w:rPr>
              <w:t xml:space="preserve">-  </w:t>
            </w:r>
          </w:p>
        </w:tc>
        <w:tc>
          <w:tcPr>
            <w:tcW w:w="960" w:type="dxa"/>
            <w:tcBorders>
              <w:top w:val="single" w:sz="4" w:space="0" w:color="auto"/>
              <w:left w:val="nil"/>
              <w:bottom w:val="single" w:sz="4" w:space="0" w:color="BFBFBF"/>
              <w:right w:val="single" w:sz="4" w:space="0" w:color="BFBFBF"/>
            </w:tcBorders>
            <w:shd w:val="clear" w:color="auto" w:fill="auto"/>
            <w:noWrap/>
            <w:vAlign w:val="center"/>
          </w:tcPr>
          <w:p w14:paraId="467054E7" w14:textId="77777777" w:rsidR="006143C4" w:rsidRPr="003364EC" w:rsidRDefault="006143C4" w:rsidP="006143C4">
            <w:pPr>
              <w:jc w:val="right"/>
              <w:rPr>
                <w:rFonts w:cs="Arial"/>
                <w:color w:val="000000"/>
              </w:rPr>
            </w:pPr>
            <w:r>
              <w:rPr>
                <w:rFonts w:cs="Arial"/>
                <w:color w:val="000000"/>
              </w:rPr>
              <w:t xml:space="preserve">6,324 </w:t>
            </w:r>
          </w:p>
        </w:tc>
        <w:tc>
          <w:tcPr>
            <w:tcW w:w="1012" w:type="dxa"/>
            <w:tcBorders>
              <w:top w:val="single" w:sz="4" w:space="0" w:color="auto"/>
              <w:left w:val="nil"/>
              <w:bottom w:val="single" w:sz="4" w:space="0" w:color="BFBFBF"/>
              <w:right w:val="single" w:sz="4" w:space="0" w:color="auto"/>
            </w:tcBorders>
            <w:shd w:val="clear" w:color="auto" w:fill="auto"/>
            <w:noWrap/>
            <w:vAlign w:val="center"/>
          </w:tcPr>
          <w:p w14:paraId="5E760173" w14:textId="77777777" w:rsidR="006143C4" w:rsidRPr="003364EC" w:rsidRDefault="006143C4" w:rsidP="006143C4">
            <w:pPr>
              <w:jc w:val="right"/>
              <w:rPr>
                <w:rFonts w:cs="Arial"/>
                <w:color w:val="000000"/>
              </w:rPr>
            </w:pPr>
            <w:r>
              <w:rPr>
                <w:rFonts w:cs="Arial"/>
                <w:color w:val="000000"/>
              </w:rPr>
              <w:t xml:space="preserve">63,731 </w:t>
            </w:r>
          </w:p>
        </w:tc>
      </w:tr>
      <w:tr w:rsidR="006143C4" w:rsidRPr="003364EC" w14:paraId="73F9CFEE" w14:textId="77777777" w:rsidTr="006143C4">
        <w:trPr>
          <w:trHeight w:val="300"/>
        </w:trPr>
        <w:tc>
          <w:tcPr>
            <w:tcW w:w="3254" w:type="dxa"/>
            <w:tcBorders>
              <w:top w:val="nil"/>
              <w:left w:val="single" w:sz="4" w:space="0" w:color="auto"/>
              <w:bottom w:val="single" w:sz="4" w:space="0" w:color="BFBFBF"/>
              <w:right w:val="single" w:sz="4" w:space="0" w:color="BFBFBF"/>
            </w:tcBorders>
            <w:shd w:val="clear" w:color="auto" w:fill="auto"/>
            <w:vAlign w:val="center"/>
          </w:tcPr>
          <w:p w14:paraId="77FAE1E2" w14:textId="77777777" w:rsidR="006143C4" w:rsidRPr="003364EC" w:rsidRDefault="006143C4" w:rsidP="006143C4">
            <w:pPr>
              <w:jc w:val="left"/>
              <w:rPr>
                <w:rFonts w:cs="Arial"/>
                <w:color w:val="000000"/>
              </w:rPr>
            </w:pPr>
            <w:r>
              <w:rPr>
                <w:rFonts w:cs="Arial"/>
                <w:color w:val="000000"/>
              </w:rPr>
              <w:t>Interim Chief Executive</w:t>
            </w:r>
          </w:p>
        </w:tc>
        <w:tc>
          <w:tcPr>
            <w:tcW w:w="482" w:type="dxa"/>
            <w:tcBorders>
              <w:top w:val="nil"/>
              <w:left w:val="nil"/>
              <w:bottom w:val="single" w:sz="4" w:space="0" w:color="BFBFBF"/>
              <w:right w:val="single" w:sz="4" w:space="0" w:color="BFBFBF"/>
            </w:tcBorders>
            <w:shd w:val="clear" w:color="auto" w:fill="auto"/>
            <w:noWrap/>
            <w:vAlign w:val="center"/>
          </w:tcPr>
          <w:p w14:paraId="6EB885DF" w14:textId="77777777" w:rsidR="006143C4" w:rsidRPr="003364EC" w:rsidRDefault="006143C4" w:rsidP="006143C4">
            <w:pPr>
              <w:jc w:val="center"/>
              <w:rPr>
                <w:rFonts w:cs="Arial"/>
                <w:color w:val="000000"/>
              </w:rPr>
            </w:pPr>
            <w:r>
              <w:rPr>
                <w:rFonts w:cs="Arial"/>
                <w:color w:val="000000"/>
              </w:rPr>
              <w:t>B</w:t>
            </w:r>
          </w:p>
        </w:tc>
        <w:tc>
          <w:tcPr>
            <w:tcW w:w="1012" w:type="dxa"/>
            <w:tcBorders>
              <w:top w:val="nil"/>
              <w:left w:val="nil"/>
              <w:bottom w:val="single" w:sz="4" w:space="0" w:color="BFBFBF"/>
              <w:right w:val="single" w:sz="4" w:space="0" w:color="BFBFBF"/>
            </w:tcBorders>
            <w:shd w:val="clear" w:color="auto" w:fill="auto"/>
            <w:noWrap/>
            <w:vAlign w:val="center"/>
          </w:tcPr>
          <w:p w14:paraId="37F4B612" w14:textId="77777777" w:rsidR="006143C4" w:rsidRPr="003364EC" w:rsidRDefault="006143C4" w:rsidP="006143C4">
            <w:pPr>
              <w:jc w:val="right"/>
              <w:rPr>
                <w:rFonts w:cs="Arial"/>
                <w:color w:val="000000"/>
              </w:rPr>
            </w:pPr>
            <w:r>
              <w:rPr>
                <w:rFonts w:cs="Arial"/>
                <w:color w:val="000000"/>
              </w:rPr>
              <w:t xml:space="preserve">103,449 </w:t>
            </w:r>
          </w:p>
        </w:tc>
        <w:tc>
          <w:tcPr>
            <w:tcW w:w="960" w:type="dxa"/>
            <w:tcBorders>
              <w:top w:val="nil"/>
              <w:left w:val="nil"/>
              <w:bottom w:val="single" w:sz="4" w:space="0" w:color="BFBFBF"/>
              <w:right w:val="single" w:sz="4" w:space="0" w:color="BFBFBF"/>
            </w:tcBorders>
            <w:shd w:val="clear" w:color="auto" w:fill="auto"/>
            <w:noWrap/>
            <w:vAlign w:val="center"/>
          </w:tcPr>
          <w:p w14:paraId="41F9A655" w14:textId="77777777" w:rsidR="006143C4" w:rsidRPr="003364EC" w:rsidRDefault="006143C4" w:rsidP="006143C4">
            <w:pPr>
              <w:jc w:val="right"/>
              <w:rPr>
                <w:rFonts w:cs="Arial"/>
                <w:color w:val="000000"/>
              </w:rPr>
            </w:pPr>
            <w:r>
              <w:rPr>
                <w:rFonts w:cs="Arial"/>
                <w:color w:val="000000"/>
              </w:rPr>
              <w:t xml:space="preserve">-  </w:t>
            </w:r>
          </w:p>
        </w:tc>
        <w:tc>
          <w:tcPr>
            <w:tcW w:w="960" w:type="dxa"/>
            <w:tcBorders>
              <w:top w:val="nil"/>
              <w:left w:val="nil"/>
              <w:bottom w:val="single" w:sz="4" w:space="0" w:color="BFBFBF"/>
              <w:right w:val="single" w:sz="4" w:space="0" w:color="BFBFBF"/>
            </w:tcBorders>
            <w:shd w:val="clear" w:color="auto" w:fill="auto"/>
            <w:noWrap/>
            <w:vAlign w:val="center"/>
          </w:tcPr>
          <w:p w14:paraId="216EE3E5" w14:textId="77777777" w:rsidR="006143C4" w:rsidRPr="003364EC" w:rsidRDefault="006143C4" w:rsidP="006143C4">
            <w:pPr>
              <w:jc w:val="right"/>
              <w:rPr>
                <w:rFonts w:cs="Arial"/>
                <w:color w:val="000000"/>
              </w:rPr>
            </w:pPr>
            <w:r>
              <w:rPr>
                <w:rFonts w:cs="Arial"/>
                <w:color w:val="000000"/>
              </w:rPr>
              <w:t xml:space="preserve">35,000 </w:t>
            </w:r>
          </w:p>
        </w:tc>
        <w:tc>
          <w:tcPr>
            <w:tcW w:w="960" w:type="dxa"/>
            <w:tcBorders>
              <w:top w:val="nil"/>
              <w:left w:val="nil"/>
              <w:bottom w:val="single" w:sz="4" w:space="0" w:color="BFBFBF"/>
              <w:right w:val="single" w:sz="4" w:space="0" w:color="BFBFBF"/>
            </w:tcBorders>
            <w:shd w:val="clear" w:color="auto" w:fill="auto"/>
            <w:noWrap/>
            <w:vAlign w:val="center"/>
          </w:tcPr>
          <w:p w14:paraId="362999F0" w14:textId="77777777" w:rsidR="006143C4" w:rsidRPr="003364EC" w:rsidRDefault="006143C4" w:rsidP="006143C4">
            <w:pPr>
              <w:jc w:val="right"/>
              <w:rPr>
                <w:rFonts w:cs="Arial"/>
                <w:color w:val="000000"/>
              </w:rPr>
            </w:pPr>
            <w:r>
              <w:rPr>
                <w:rFonts w:cs="Arial"/>
                <w:color w:val="000000"/>
              </w:rPr>
              <w:t xml:space="preserve">-  </w:t>
            </w:r>
          </w:p>
        </w:tc>
        <w:tc>
          <w:tcPr>
            <w:tcW w:w="960" w:type="dxa"/>
            <w:tcBorders>
              <w:top w:val="nil"/>
              <w:left w:val="nil"/>
              <w:bottom w:val="single" w:sz="4" w:space="0" w:color="BFBFBF"/>
              <w:right w:val="single" w:sz="4" w:space="0" w:color="BFBFBF"/>
            </w:tcBorders>
            <w:shd w:val="clear" w:color="auto" w:fill="auto"/>
            <w:noWrap/>
            <w:vAlign w:val="center"/>
          </w:tcPr>
          <w:p w14:paraId="75036C8B" w14:textId="77777777" w:rsidR="006143C4" w:rsidRPr="003364EC" w:rsidRDefault="006143C4" w:rsidP="006143C4">
            <w:pPr>
              <w:jc w:val="right"/>
              <w:rPr>
                <w:rFonts w:cs="Arial"/>
                <w:color w:val="000000"/>
              </w:rPr>
            </w:pPr>
            <w:r>
              <w:rPr>
                <w:rFonts w:cs="Arial"/>
                <w:color w:val="000000"/>
              </w:rPr>
              <w:t xml:space="preserve">16,973 </w:t>
            </w:r>
          </w:p>
        </w:tc>
        <w:tc>
          <w:tcPr>
            <w:tcW w:w="1012" w:type="dxa"/>
            <w:tcBorders>
              <w:top w:val="nil"/>
              <w:left w:val="nil"/>
              <w:bottom w:val="single" w:sz="4" w:space="0" w:color="BFBFBF"/>
              <w:right w:val="single" w:sz="4" w:space="0" w:color="auto"/>
            </w:tcBorders>
            <w:shd w:val="clear" w:color="auto" w:fill="auto"/>
            <w:noWrap/>
            <w:vAlign w:val="center"/>
          </w:tcPr>
          <w:p w14:paraId="1F6800F7" w14:textId="77777777" w:rsidR="006143C4" w:rsidRPr="003364EC" w:rsidRDefault="006143C4" w:rsidP="006143C4">
            <w:pPr>
              <w:jc w:val="right"/>
              <w:rPr>
                <w:rFonts w:cs="Arial"/>
                <w:color w:val="000000"/>
              </w:rPr>
            </w:pPr>
            <w:r>
              <w:rPr>
                <w:rFonts w:cs="Arial"/>
                <w:color w:val="000000"/>
              </w:rPr>
              <w:t xml:space="preserve">155,422 </w:t>
            </w:r>
          </w:p>
        </w:tc>
      </w:tr>
      <w:tr w:rsidR="006143C4" w:rsidRPr="003364EC" w14:paraId="67D48DAD" w14:textId="77777777" w:rsidTr="006143C4">
        <w:trPr>
          <w:trHeight w:val="510"/>
        </w:trPr>
        <w:tc>
          <w:tcPr>
            <w:tcW w:w="3254" w:type="dxa"/>
            <w:tcBorders>
              <w:top w:val="nil"/>
              <w:left w:val="single" w:sz="4" w:space="0" w:color="auto"/>
              <w:bottom w:val="single" w:sz="4" w:space="0" w:color="BFBFBF"/>
              <w:right w:val="single" w:sz="4" w:space="0" w:color="BFBFBF"/>
            </w:tcBorders>
            <w:shd w:val="clear" w:color="auto" w:fill="auto"/>
            <w:vAlign w:val="center"/>
          </w:tcPr>
          <w:p w14:paraId="51AAD33F" w14:textId="77777777" w:rsidR="006143C4" w:rsidRPr="003364EC" w:rsidRDefault="006143C4" w:rsidP="006143C4">
            <w:pPr>
              <w:jc w:val="left"/>
              <w:rPr>
                <w:rFonts w:cs="Arial"/>
                <w:color w:val="000000"/>
              </w:rPr>
            </w:pPr>
            <w:r>
              <w:rPr>
                <w:rFonts w:cs="Arial"/>
                <w:color w:val="000000"/>
              </w:rPr>
              <w:t>Director of Communities</w:t>
            </w:r>
          </w:p>
        </w:tc>
        <w:tc>
          <w:tcPr>
            <w:tcW w:w="482" w:type="dxa"/>
            <w:tcBorders>
              <w:top w:val="nil"/>
              <w:left w:val="nil"/>
              <w:bottom w:val="single" w:sz="4" w:space="0" w:color="BFBFBF"/>
              <w:right w:val="single" w:sz="4" w:space="0" w:color="BFBFBF"/>
            </w:tcBorders>
            <w:shd w:val="clear" w:color="auto" w:fill="auto"/>
            <w:noWrap/>
            <w:vAlign w:val="center"/>
          </w:tcPr>
          <w:p w14:paraId="21770668" w14:textId="77777777" w:rsidR="006143C4" w:rsidRPr="003364EC" w:rsidRDefault="006143C4" w:rsidP="006143C4">
            <w:pPr>
              <w:jc w:val="center"/>
              <w:rPr>
                <w:rFonts w:cs="Arial"/>
                <w:color w:val="000000"/>
              </w:rPr>
            </w:pPr>
            <w:r>
              <w:rPr>
                <w:rFonts w:cs="Arial"/>
                <w:color w:val="000000"/>
              </w:rPr>
              <w:t>C</w:t>
            </w:r>
          </w:p>
        </w:tc>
        <w:tc>
          <w:tcPr>
            <w:tcW w:w="1012" w:type="dxa"/>
            <w:tcBorders>
              <w:top w:val="nil"/>
              <w:left w:val="nil"/>
              <w:bottom w:val="single" w:sz="4" w:space="0" w:color="BFBFBF"/>
              <w:right w:val="single" w:sz="4" w:space="0" w:color="BFBFBF"/>
            </w:tcBorders>
            <w:shd w:val="clear" w:color="auto" w:fill="auto"/>
            <w:noWrap/>
            <w:vAlign w:val="center"/>
          </w:tcPr>
          <w:p w14:paraId="6E3D9A8C" w14:textId="77777777" w:rsidR="006143C4" w:rsidRPr="003364EC" w:rsidRDefault="006143C4" w:rsidP="006143C4">
            <w:pPr>
              <w:jc w:val="right"/>
              <w:rPr>
                <w:rFonts w:cs="Arial"/>
                <w:color w:val="000000"/>
              </w:rPr>
            </w:pPr>
            <w:r>
              <w:rPr>
                <w:rFonts w:cs="Arial"/>
                <w:color w:val="000000"/>
              </w:rPr>
              <w:t xml:space="preserve">68,536 </w:t>
            </w:r>
          </w:p>
        </w:tc>
        <w:tc>
          <w:tcPr>
            <w:tcW w:w="960" w:type="dxa"/>
            <w:tcBorders>
              <w:top w:val="nil"/>
              <w:left w:val="nil"/>
              <w:bottom w:val="single" w:sz="4" w:space="0" w:color="BFBFBF"/>
              <w:right w:val="single" w:sz="4" w:space="0" w:color="BFBFBF"/>
            </w:tcBorders>
            <w:shd w:val="clear" w:color="auto" w:fill="auto"/>
            <w:noWrap/>
            <w:vAlign w:val="center"/>
          </w:tcPr>
          <w:p w14:paraId="4C5ED3BC" w14:textId="77777777" w:rsidR="006143C4" w:rsidRPr="003364EC" w:rsidRDefault="006143C4" w:rsidP="006143C4">
            <w:pPr>
              <w:jc w:val="right"/>
              <w:rPr>
                <w:rFonts w:cs="Arial"/>
                <w:color w:val="000000"/>
              </w:rPr>
            </w:pPr>
            <w:r>
              <w:rPr>
                <w:rFonts w:cs="Arial"/>
                <w:color w:val="000000"/>
              </w:rPr>
              <w:t xml:space="preserve">1,239 </w:t>
            </w:r>
          </w:p>
        </w:tc>
        <w:tc>
          <w:tcPr>
            <w:tcW w:w="960" w:type="dxa"/>
            <w:tcBorders>
              <w:top w:val="nil"/>
              <w:left w:val="nil"/>
              <w:bottom w:val="single" w:sz="4" w:space="0" w:color="BFBFBF"/>
              <w:right w:val="single" w:sz="4" w:space="0" w:color="BFBFBF"/>
            </w:tcBorders>
            <w:shd w:val="clear" w:color="auto" w:fill="auto"/>
            <w:noWrap/>
            <w:vAlign w:val="center"/>
          </w:tcPr>
          <w:p w14:paraId="6CEDBC45" w14:textId="77777777" w:rsidR="006143C4" w:rsidRPr="003364EC" w:rsidRDefault="006143C4" w:rsidP="006143C4">
            <w:pPr>
              <w:jc w:val="right"/>
              <w:rPr>
                <w:rFonts w:cs="Arial"/>
                <w:color w:val="000000"/>
              </w:rPr>
            </w:pPr>
            <w:r>
              <w:rPr>
                <w:rFonts w:cs="Arial"/>
                <w:color w:val="000000"/>
              </w:rPr>
              <w:t xml:space="preserve">-  </w:t>
            </w:r>
          </w:p>
        </w:tc>
        <w:tc>
          <w:tcPr>
            <w:tcW w:w="960" w:type="dxa"/>
            <w:tcBorders>
              <w:top w:val="nil"/>
              <w:left w:val="nil"/>
              <w:bottom w:val="single" w:sz="4" w:space="0" w:color="BFBFBF"/>
              <w:right w:val="single" w:sz="4" w:space="0" w:color="BFBFBF"/>
            </w:tcBorders>
            <w:shd w:val="clear" w:color="auto" w:fill="auto"/>
            <w:noWrap/>
            <w:vAlign w:val="center"/>
          </w:tcPr>
          <w:p w14:paraId="775C8F43" w14:textId="77777777" w:rsidR="006143C4" w:rsidRPr="003364EC" w:rsidRDefault="006143C4" w:rsidP="006143C4">
            <w:pPr>
              <w:jc w:val="right"/>
              <w:rPr>
                <w:rFonts w:cs="Arial"/>
                <w:color w:val="000000"/>
              </w:rPr>
            </w:pPr>
            <w:r>
              <w:rPr>
                <w:rFonts w:cs="Arial"/>
                <w:color w:val="000000"/>
              </w:rPr>
              <w:t xml:space="preserve">-  </w:t>
            </w:r>
          </w:p>
        </w:tc>
        <w:tc>
          <w:tcPr>
            <w:tcW w:w="960" w:type="dxa"/>
            <w:tcBorders>
              <w:top w:val="nil"/>
              <w:left w:val="nil"/>
              <w:bottom w:val="single" w:sz="4" w:space="0" w:color="BFBFBF"/>
              <w:right w:val="single" w:sz="4" w:space="0" w:color="BFBFBF"/>
            </w:tcBorders>
            <w:shd w:val="clear" w:color="auto" w:fill="auto"/>
            <w:noWrap/>
            <w:vAlign w:val="center"/>
          </w:tcPr>
          <w:p w14:paraId="34F0E245" w14:textId="77777777" w:rsidR="006143C4" w:rsidRPr="003364EC" w:rsidRDefault="006143C4" w:rsidP="006143C4">
            <w:pPr>
              <w:jc w:val="right"/>
              <w:rPr>
                <w:rFonts w:cs="Arial"/>
                <w:color w:val="000000"/>
              </w:rPr>
            </w:pPr>
            <w:r>
              <w:rPr>
                <w:rFonts w:cs="Arial"/>
                <w:color w:val="000000"/>
              </w:rPr>
              <w:t xml:space="preserve">11,720 </w:t>
            </w:r>
          </w:p>
        </w:tc>
        <w:tc>
          <w:tcPr>
            <w:tcW w:w="1012" w:type="dxa"/>
            <w:tcBorders>
              <w:top w:val="nil"/>
              <w:left w:val="nil"/>
              <w:bottom w:val="single" w:sz="4" w:space="0" w:color="BFBFBF"/>
              <w:right w:val="single" w:sz="4" w:space="0" w:color="auto"/>
            </w:tcBorders>
            <w:shd w:val="clear" w:color="auto" w:fill="auto"/>
            <w:noWrap/>
            <w:vAlign w:val="center"/>
          </w:tcPr>
          <w:p w14:paraId="18253E52" w14:textId="77777777" w:rsidR="006143C4" w:rsidRPr="003364EC" w:rsidRDefault="006143C4" w:rsidP="006143C4">
            <w:pPr>
              <w:jc w:val="right"/>
              <w:rPr>
                <w:rFonts w:cs="Arial"/>
                <w:color w:val="000000"/>
              </w:rPr>
            </w:pPr>
            <w:r>
              <w:rPr>
                <w:rFonts w:cs="Arial"/>
                <w:color w:val="000000"/>
              </w:rPr>
              <w:t xml:space="preserve">81,495 </w:t>
            </w:r>
          </w:p>
        </w:tc>
      </w:tr>
      <w:tr w:rsidR="006143C4" w:rsidRPr="003364EC" w14:paraId="4216D2F6" w14:textId="77777777" w:rsidTr="006143C4">
        <w:trPr>
          <w:trHeight w:val="510"/>
        </w:trPr>
        <w:tc>
          <w:tcPr>
            <w:tcW w:w="3254" w:type="dxa"/>
            <w:tcBorders>
              <w:top w:val="nil"/>
              <w:left w:val="single" w:sz="4" w:space="0" w:color="auto"/>
              <w:bottom w:val="single" w:sz="4" w:space="0" w:color="BFBFBF"/>
              <w:right w:val="single" w:sz="4" w:space="0" w:color="BFBFBF"/>
            </w:tcBorders>
            <w:shd w:val="clear" w:color="auto" w:fill="auto"/>
            <w:vAlign w:val="center"/>
          </w:tcPr>
          <w:p w14:paraId="604C2766" w14:textId="77777777" w:rsidR="006143C4" w:rsidRPr="003364EC" w:rsidRDefault="006143C4" w:rsidP="006143C4">
            <w:pPr>
              <w:jc w:val="left"/>
              <w:rPr>
                <w:rFonts w:cs="Arial"/>
                <w:color w:val="000000"/>
              </w:rPr>
            </w:pPr>
            <w:r>
              <w:rPr>
                <w:rFonts w:cs="Arial"/>
                <w:color w:val="000000"/>
              </w:rPr>
              <w:t>Director of Planning and Development</w:t>
            </w:r>
          </w:p>
        </w:tc>
        <w:tc>
          <w:tcPr>
            <w:tcW w:w="482" w:type="dxa"/>
            <w:tcBorders>
              <w:top w:val="nil"/>
              <w:left w:val="nil"/>
              <w:bottom w:val="single" w:sz="4" w:space="0" w:color="BFBFBF"/>
              <w:right w:val="single" w:sz="4" w:space="0" w:color="BFBFBF"/>
            </w:tcBorders>
            <w:shd w:val="clear" w:color="auto" w:fill="auto"/>
            <w:noWrap/>
            <w:vAlign w:val="center"/>
          </w:tcPr>
          <w:p w14:paraId="64905011" w14:textId="77777777" w:rsidR="006143C4" w:rsidRPr="003364EC" w:rsidRDefault="006143C4" w:rsidP="006143C4">
            <w:pPr>
              <w:jc w:val="center"/>
              <w:rPr>
                <w:rFonts w:cs="Arial"/>
                <w:color w:val="000000"/>
              </w:rPr>
            </w:pPr>
            <w:r>
              <w:rPr>
                <w:rFonts w:cs="Arial"/>
                <w:color w:val="000000"/>
              </w:rPr>
              <w:t>D</w:t>
            </w:r>
          </w:p>
        </w:tc>
        <w:tc>
          <w:tcPr>
            <w:tcW w:w="1012" w:type="dxa"/>
            <w:tcBorders>
              <w:top w:val="nil"/>
              <w:left w:val="nil"/>
              <w:bottom w:val="single" w:sz="4" w:space="0" w:color="BFBFBF"/>
              <w:right w:val="single" w:sz="4" w:space="0" w:color="BFBFBF"/>
            </w:tcBorders>
            <w:shd w:val="clear" w:color="auto" w:fill="auto"/>
            <w:noWrap/>
            <w:vAlign w:val="center"/>
          </w:tcPr>
          <w:p w14:paraId="0F5C781E" w14:textId="77777777" w:rsidR="006143C4" w:rsidRPr="003364EC" w:rsidRDefault="006143C4" w:rsidP="006143C4">
            <w:pPr>
              <w:jc w:val="right"/>
              <w:rPr>
                <w:rFonts w:cs="Arial"/>
                <w:color w:val="000000"/>
              </w:rPr>
            </w:pPr>
            <w:r>
              <w:rPr>
                <w:rFonts w:cs="Arial"/>
                <w:color w:val="000000"/>
              </w:rPr>
              <w:t xml:space="preserve">68,320 </w:t>
            </w:r>
          </w:p>
        </w:tc>
        <w:tc>
          <w:tcPr>
            <w:tcW w:w="960" w:type="dxa"/>
            <w:tcBorders>
              <w:top w:val="nil"/>
              <w:left w:val="nil"/>
              <w:bottom w:val="single" w:sz="4" w:space="0" w:color="BFBFBF"/>
              <w:right w:val="single" w:sz="4" w:space="0" w:color="BFBFBF"/>
            </w:tcBorders>
            <w:shd w:val="clear" w:color="auto" w:fill="auto"/>
            <w:noWrap/>
            <w:vAlign w:val="center"/>
          </w:tcPr>
          <w:p w14:paraId="6978C580" w14:textId="77777777" w:rsidR="006143C4" w:rsidRPr="003364EC" w:rsidRDefault="006143C4" w:rsidP="006143C4">
            <w:pPr>
              <w:jc w:val="right"/>
              <w:rPr>
                <w:rFonts w:cs="Arial"/>
                <w:color w:val="000000"/>
              </w:rPr>
            </w:pPr>
            <w:r>
              <w:rPr>
                <w:rFonts w:cs="Arial"/>
                <w:color w:val="000000"/>
              </w:rPr>
              <w:t xml:space="preserve">1,239 </w:t>
            </w:r>
          </w:p>
        </w:tc>
        <w:tc>
          <w:tcPr>
            <w:tcW w:w="960" w:type="dxa"/>
            <w:tcBorders>
              <w:top w:val="nil"/>
              <w:left w:val="nil"/>
              <w:bottom w:val="single" w:sz="4" w:space="0" w:color="BFBFBF"/>
              <w:right w:val="single" w:sz="4" w:space="0" w:color="BFBFBF"/>
            </w:tcBorders>
            <w:shd w:val="clear" w:color="auto" w:fill="auto"/>
            <w:noWrap/>
            <w:vAlign w:val="center"/>
          </w:tcPr>
          <w:p w14:paraId="593DBEF4" w14:textId="77777777" w:rsidR="006143C4" w:rsidRPr="003364EC" w:rsidRDefault="006143C4" w:rsidP="006143C4">
            <w:pPr>
              <w:jc w:val="right"/>
              <w:rPr>
                <w:rFonts w:cs="Arial"/>
                <w:color w:val="000000"/>
              </w:rPr>
            </w:pPr>
            <w:r>
              <w:rPr>
                <w:rFonts w:cs="Arial"/>
                <w:color w:val="000000"/>
              </w:rPr>
              <w:t xml:space="preserve">-  </w:t>
            </w:r>
          </w:p>
        </w:tc>
        <w:tc>
          <w:tcPr>
            <w:tcW w:w="960" w:type="dxa"/>
            <w:tcBorders>
              <w:top w:val="nil"/>
              <w:left w:val="nil"/>
              <w:bottom w:val="single" w:sz="4" w:space="0" w:color="BFBFBF"/>
              <w:right w:val="single" w:sz="4" w:space="0" w:color="BFBFBF"/>
            </w:tcBorders>
            <w:shd w:val="clear" w:color="auto" w:fill="auto"/>
            <w:noWrap/>
            <w:vAlign w:val="center"/>
          </w:tcPr>
          <w:p w14:paraId="30D36F5B" w14:textId="77777777" w:rsidR="006143C4" w:rsidRPr="003364EC" w:rsidRDefault="006143C4" w:rsidP="006143C4">
            <w:pPr>
              <w:jc w:val="right"/>
              <w:rPr>
                <w:rFonts w:cs="Arial"/>
                <w:color w:val="000000"/>
              </w:rPr>
            </w:pPr>
            <w:r>
              <w:rPr>
                <w:rFonts w:cs="Arial"/>
                <w:color w:val="000000"/>
              </w:rPr>
              <w:t xml:space="preserve">-  </w:t>
            </w:r>
          </w:p>
        </w:tc>
        <w:tc>
          <w:tcPr>
            <w:tcW w:w="960" w:type="dxa"/>
            <w:tcBorders>
              <w:top w:val="nil"/>
              <w:left w:val="nil"/>
              <w:bottom w:val="single" w:sz="4" w:space="0" w:color="BFBFBF"/>
              <w:right w:val="single" w:sz="4" w:space="0" w:color="BFBFBF"/>
            </w:tcBorders>
            <w:shd w:val="clear" w:color="auto" w:fill="auto"/>
            <w:noWrap/>
            <w:vAlign w:val="center"/>
          </w:tcPr>
          <w:p w14:paraId="3A63D24C" w14:textId="77777777" w:rsidR="006143C4" w:rsidRPr="003364EC" w:rsidRDefault="006143C4" w:rsidP="006143C4">
            <w:pPr>
              <w:jc w:val="right"/>
              <w:rPr>
                <w:rFonts w:cs="Arial"/>
                <w:color w:val="000000"/>
              </w:rPr>
            </w:pPr>
            <w:r>
              <w:rPr>
                <w:rFonts w:cs="Arial"/>
                <w:color w:val="000000"/>
              </w:rPr>
              <w:t xml:space="preserve">11,683 </w:t>
            </w:r>
          </w:p>
        </w:tc>
        <w:tc>
          <w:tcPr>
            <w:tcW w:w="1012" w:type="dxa"/>
            <w:tcBorders>
              <w:top w:val="nil"/>
              <w:left w:val="nil"/>
              <w:bottom w:val="single" w:sz="4" w:space="0" w:color="BFBFBF"/>
              <w:right w:val="single" w:sz="4" w:space="0" w:color="auto"/>
            </w:tcBorders>
            <w:shd w:val="clear" w:color="auto" w:fill="auto"/>
            <w:noWrap/>
            <w:vAlign w:val="center"/>
          </w:tcPr>
          <w:p w14:paraId="22877817" w14:textId="77777777" w:rsidR="006143C4" w:rsidRPr="003364EC" w:rsidRDefault="006143C4" w:rsidP="006143C4">
            <w:pPr>
              <w:jc w:val="right"/>
              <w:rPr>
                <w:rFonts w:cs="Arial"/>
                <w:color w:val="000000"/>
              </w:rPr>
            </w:pPr>
            <w:r>
              <w:rPr>
                <w:rFonts w:cs="Arial"/>
                <w:color w:val="000000"/>
              </w:rPr>
              <w:t xml:space="preserve">81,242 </w:t>
            </w:r>
          </w:p>
        </w:tc>
      </w:tr>
      <w:tr w:rsidR="006143C4" w:rsidRPr="003364EC" w14:paraId="3B58470A" w14:textId="77777777" w:rsidTr="006143C4">
        <w:trPr>
          <w:trHeight w:val="510"/>
        </w:trPr>
        <w:tc>
          <w:tcPr>
            <w:tcW w:w="3254" w:type="dxa"/>
            <w:tcBorders>
              <w:top w:val="nil"/>
              <w:left w:val="single" w:sz="4" w:space="0" w:color="auto"/>
              <w:bottom w:val="single" w:sz="4" w:space="0" w:color="BFBFBF"/>
              <w:right w:val="single" w:sz="4" w:space="0" w:color="BFBFBF"/>
            </w:tcBorders>
            <w:shd w:val="clear" w:color="auto" w:fill="auto"/>
            <w:vAlign w:val="center"/>
          </w:tcPr>
          <w:p w14:paraId="00A80196" w14:textId="77777777" w:rsidR="006143C4" w:rsidRDefault="006143C4" w:rsidP="006143C4">
            <w:pPr>
              <w:jc w:val="left"/>
              <w:rPr>
                <w:rFonts w:cs="Arial"/>
                <w:color w:val="000000"/>
              </w:rPr>
            </w:pPr>
            <w:r>
              <w:rPr>
                <w:rFonts w:cs="Arial"/>
                <w:color w:val="000000"/>
              </w:rPr>
              <w:t>Director of Customer Experience and Operations</w:t>
            </w:r>
          </w:p>
        </w:tc>
        <w:tc>
          <w:tcPr>
            <w:tcW w:w="482" w:type="dxa"/>
            <w:tcBorders>
              <w:top w:val="nil"/>
              <w:left w:val="nil"/>
              <w:bottom w:val="single" w:sz="4" w:space="0" w:color="BFBFBF"/>
              <w:right w:val="single" w:sz="4" w:space="0" w:color="BFBFBF"/>
            </w:tcBorders>
            <w:shd w:val="clear" w:color="auto" w:fill="auto"/>
            <w:noWrap/>
            <w:vAlign w:val="center"/>
          </w:tcPr>
          <w:p w14:paraId="48517F47" w14:textId="77777777" w:rsidR="006143C4" w:rsidRDefault="006143C4" w:rsidP="006143C4">
            <w:pPr>
              <w:jc w:val="center"/>
              <w:rPr>
                <w:rFonts w:cs="Arial"/>
                <w:color w:val="000000"/>
              </w:rPr>
            </w:pPr>
            <w:r>
              <w:rPr>
                <w:rFonts w:cs="Arial"/>
                <w:color w:val="000000"/>
              </w:rPr>
              <w:t>E</w:t>
            </w:r>
          </w:p>
        </w:tc>
        <w:tc>
          <w:tcPr>
            <w:tcW w:w="1012" w:type="dxa"/>
            <w:tcBorders>
              <w:top w:val="nil"/>
              <w:left w:val="nil"/>
              <w:bottom w:val="single" w:sz="4" w:space="0" w:color="BFBFBF"/>
              <w:right w:val="single" w:sz="4" w:space="0" w:color="BFBFBF"/>
            </w:tcBorders>
            <w:shd w:val="clear" w:color="auto" w:fill="auto"/>
            <w:noWrap/>
            <w:vAlign w:val="center"/>
          </w:tcPr>
          <w:p w14:paraId="798CB1F0" w14:textId="77777777" w:rsidR="006143C4" w:rsidRDefault="006143C4" w:rsidP="006143C4">
            <w:pPr>
              <w:jc w:val="right"/>
              <w:rPr>
                <w:rFonts w:cs="Arial"/>
                <w:color w:val="000000"/>
              </w:rPr>
            </w:pPr>
            <w:r>
              <w:rPr>
                <w:rFonts w:cs="Arial"/>
                <w:color w:val="000000"/>
              </w:rPr>
              <w:t xml:space="preserve">48,712 </w:t>
            </w:r>
          </w:p>
        </w:tc>
        <w:tc>
          <w:tcPr>
            <w:tcW w:w="960" w:type="dxa"/>
            <w:tcBorders>
              <w:top w:val="nil"/>
              <w:left w:val="nil"/>
              <w:bottom w:val="single" w:sz="4" w:space="0" w:color="BFBFBF"/>
              <w:right w:val="single" w:sz="4" w:space="0" w:color="BFBFBF"/>
            </w:tcBorders>
            <w:shd w:val="clear" w:color="auto" w:fill="auto"/>
            <w:noWrap/>
            <w:vAlign w:val="center"/>
          </w:tcPr>
          <w:p w14:paraId="2593461D" w14:textId="77777777" w:rsidR="006143C4" w:rsidRDefault="006143C4" w:rsidP="006143C4">
            <w:pPr>
              <w:jc w:val="right"/>
              <w:rPr>
                <w:rFonts w:cs="Arial"/>
                <w:color w:val="000000"/>
              </w:rPr>
            </w:pPr>
            <w:r>
              <w:rPr>
                <w:rFonts w:cs="Arial"/>
                <w:color w:val="000000"/>
              </w:rPr>
              <w:t xml:space="preserve">929 </w:t>
            </w:r>
          </w:p>
        </w:tc>
        <w:tc>
          <w:tcPr>
            <w:tcW w:w="960" w:type="dxa"/>
            <w:tcBorders>
              <w:top w:val="nil"/>
              <w:left w:val="nil"/>
              <w:bottom w:val="single" w:sz="4" w:space="0" w:color="BFBFBF"/>
              <w:right w:val="single" w:sz="4" w:space="0" w:color="BFBFBF"/>
            </w:tcBorders>
            <w:shd w:val="clear" w:color="auto" w:fill="auto"/>
            <w:noWrap/>
            <w:vAlign w:val="center"/>
          </w:tcPr>
          <w:p w14:paraId="1DF59F2D" w14:textId="77777777" w:rsidR="006143C4" w:rsidRDefault="006143C4" w:rsidP="006143C4">
            <w:pPr>
              <w:jc w:val="right"/>
              <w:rPr>
                <w:rFonts w:cs="Arial"/>
                <w:color w:val="000000"/>
              </w:rPr>
            </w:pPr>
            <w:r>
              <w:rPr>
                <w:rFonts w:cs="Arial"/>
                <w:color w:val="000000"/>
              </w:rPr>
              <w:t xml:space="preserve">5,780 </w:t>
            </w:r>
          </w:p>
        </w:tc>
        <w:tc>
          <w:tcPr>
            <w:tcW w:w="960" w:type="dxa"/>
            <w:tcBorders>
              <w:top w:val="nil"/>
              <w:left w:val="nil"/>
              <w:bottom w:val="single" w:sz="4" w:space="0" w:color="BFBFBF"/>
              <w:right w:val="single" w:sz="4" w:space="0" w:color="BFBFBF"/>
            </w:tcBorders>
            <w:shd w:val="clear" w:color="auto" w:fill="auto"/>
            <w:noWrap/>
            <w:vAlign w:val="center"/>
          </w:tcPr>
          <w:p w14:paraId="72E8569D" w14:textId="77777777" w:rsidR="006143C4" w:rsidRDefault="006143C4" w:rsidP="006143C4">
            <w:pPr>
              <w:jc w:val="right"/>
              <w:rPr>
                <w:rFonts w:cs="Arial"/>
                <w:color w:val="000000"/>
              </w:rPr>
            </w:pPr>
            <w:r>
              <w:rPr>
                <w:rFonts w:cs="Arial"/>
                <w:color w:val="000000"/>
              </w:rPr>
              <w:t xml:space="preserve">-  </w:t>
            </w:r>
          </w:p>
        </w:tc>
        <w:tc>
          <w:tcPr>
            <w:tcW w:w="960" w:type="dxa"/>
            <w:tcBorders>
              <w:top w:val="nil"/>
              <w:left w:val="nil"/>
              <w:bottom w:val="single" w:sz="4" w:space="0" w:color="BFBFBF"/>
              <w:right w:val="single" w:sz="4" w:space="0" w:color="BFBFBF"/>
            </w:tcBorders>
            <w:shd w:val="clear" w:color="auto" w:fill="auto"/>
            <w:noWrap/>
            <w:vAlign w:val="center"/>
          </w:tcPr>
          <w:p w14:paraId="564FB9FF" w14:textId="77777777" w:rsidR="006143C4" w:rsidRDefault="006143C4" w:rsidP="006143C4">
            <w:pPr>
              <w:jc w:val="right"/>
              <w:rPr>
                <w:rFonts w:cs="Arial"/>
                <w:color w:val="000000"/>
              </w:rPr>
            </w:pPr>
            <w:r>
              <w:rPr>
                <w:rFonts w:cs="Arial"/>
                <w:color w:val="000000"/>
              </w:rPr>
              <w:t xml:space="preserve">8,330 </w:t>
            </w:r>
          </w:p>
        </w:tc>
        <w:tc>
          <w:tcPr>
            <w:tcW w:w="1012" w:type="dxa"/>
            <w:tcBorders>
              <w:top w:val="nil"/>
              <w:left w:val="nil"/>
              <w:bottom w:val="single" w:sz="4" w:space="0" w:color="BFBFBF"/>
              <w:right w:val="single" w:sz="4" w:space="0" w:color="auto"/>
            </w:tcBorders>
            <w:shd w:val="clear" w:color="auto" w:fill="auto"/>
            <w:noWrap/>
            <w:vAlign w:val="center"/>
          </w:tcPr>
          <w:p w14:paraId="4B9F5A4E" w14:textId="77777777" w:rsidR="006143C4" w:rsidRDefault="006143C4" w:rsidP="006143C4">
            <w:pPr>
              <w:jc w:val="right"/>
              <w:rPr>
                <w:rFonts w:cs="Arial"/>
                <w:color w:val="000000"/>
              </w:rPr>
            </w:pPr>
            <w:r>
              <w:rPr>
                <w:rFonts w:cs="Arial"/>
                <w:color w:val="000000"/>
              </w:rPr>
              <w:t xml:space="preserve">63,751 </w:t>
            </w:r>
          </w:p>
        </w:tc>
      </w:tr>
      <w:tr w:rsidR="006143C4" w:rsidRPr="003364EC" w14:paraId="09846B87" w14:textId="77777777" w:rsidTr="006143C4">
        <w:trPr>
          <w:trHeight w:val="510"/>
        </w:trPr>
        <w:tc>
          <w:tcPr>
            <w:tcW w:w="3254" w:type="dxa"/>
            <w:tcBorders>
              <w:top w:val="nil"/>
              <w:left w:val="single" w:sz="4" w:space="0" w:color="auto"/>
              <w:bottom w:val="single" w:sz="4" w:space="0" w:color="auto"/>
              <w:right w:val="single" w:sz="4" w:space="0" w:color="BFBFBF"/>
            </w:tcBorders>
            <w:shd w:val="clear" w:color="auto" w:fill="auto"/>
            <w:vAlign w:val="center"/>
          </w:tcPr>
          <w:p w14:paraId="44AA2944" w14:textId="77777777" w:rsidR="006143C4" w:rsidRPr="003364EC" w:rsidRDefault="006143C4" w:rsidP="006143C4">
            <w:pPr>
              <w:jc w:val="left"/>
              <w:rPr>
                <w:rFonts w:cs="Arial"/>
                <w:color w:val="000000"/>
              </w:rPr>
            </w:pPr>
            <w:r>
              <w:rPr>
                <w:rFonts w:cs="Arial"/>
                <w:color w:val="000000"/>
              </w:rPr>
              <w:t>Director of Governance</w:t>
            </w:r>
          </w:p>
        </w:tc>
        <w:tc>
          <w:tcPr>
            <w:tcW w:w="482" w:type="dxa"/>
            <w:tcBorders>
              <w:top w:val="nil"/>
              <w:left w:val="nil"/>
              <w:bottom w:val="single" w:sz="4" w:space="0" w:color="auto"/>
              <w:right w:val="single" w:sz="4" w:space="0" w:color="BFBFBF"/>
            </w:tcBorders>
            <w:shd w:val="clear" w:color="auto" w:fill="auto"/>
            <w:noWrap/>
            <w:vAlign w:val="center"/>
          </w:tcPr>
          <w:p w14:paraId="4EFDFF5A" w14:textId="77777777" w:rsidR="006143C4" w:rsidRPr="003364EC" w:rsidRDefault="006143C4" w:rsidP="006143C4">
            <w:pPr>
              <w:jc w:val="center"/>
              <w:rPr>
                <w:rFonts w:cs="Arial"/>
                <w:color w:val="000000"/>
              </w:rPr>
            </w:pPr>
            <w:r>
              <w:rPr>
                <w:rFonts w:cs="Arial"/>
                <w:color w:val="000000"/>
              </w:rPr>
              <w:t>F</w:t>
            </w:r>
          </w:p>
        </w:tc>
        <w:tc>
          <w:tcPr>
            <w:tcW w:w="1012" w:type="dxa"/>
            <w:tcBorders>
              <w:top w:val="nil"/>
              <w:left w:val="nil"/>
              <w:bottom w:val="single" w:sz="4" w:space="0" w:color="auto"/>
              <w:right w:val="single" w:sz="4" w:space="0" w:color="BFBFBF"/>
            </w:tcBorders>
            <w:shd w:val="clear" w:color="auto" w:fill="auto"/>
            <w:noWrap/>
            <w:vAlign w:val="center"/>
          </w:tcPr>
          <w:p w14:paraId="0139FDE2" w14:textId="77777777" w:rsidR="006143C4" w:rsidRPr="003364EC" w:rsidRDefault="006143C4" w:rsidP="006143C4">
            <w:pPr>
              <w:jc w:val="right"/>
              <w:rPr>
                <w:rFonts w:cs="Arial"/>
                <w:color w:val="000000"/>
              </w:rPr>
            </w:pPr>
            <w:r>
              <w:rPr>
                <w:rFonts w:cs="Arial"/>
                <w:color w:val="000000"/>
              </w:rPr>
              <w:t xml:space="preserve">75,522 </w:t>
            </w:r>
          </w:p>
        </w:tc>
        <w:tc>
          <w:tcPr>
            <w:tcW w:w="960" w:type="dxa"/>
            <w:tcBorders>
              <w:top w:val="nil"/>
              <w:left w:val="nil"/>
              <w:bottom w:val="single" w:sz="4" w:space="0" w:color="auto"/>
              <w:right w:val="single" w:sz="4" w:space="0" w:color="BFBFBF"/>
            </w:tcBorders>
            <w:shd w:val="clear" w:color="auto" w:fill="auto"/>
            <w:noWrap/>
            <w:vAlign w:val="center"/>
          </w:tcPr>
          <w:p w14:paraId="28CD86F1" w14:textId="77777777" w:rsidR="006143C4" w:rsidRPr="003364EC" w:rsidRDefault="006143C4" w:rsidP="006143C4">
            <w:pPr>
              <w:jc w:val="right"/>
              <w:rPr>
                <w:rFonts w:cs="Arial"/>
                <w:color w:val="000000"/>
              </w:rPr>
            </w:pPr>
            <w:r>
              <w:rPr>
                <w:rFonts w:cs="Arial"/>
                <w:color w:val="000000"/>
              </w:rPr>
              <w:t xml:space="preserve">-  </w:t>
            </w:r>
          </w:p>
        </w:tc>
        <w:tc>
          <w:tcPr>
            <w:tcW w:w="960" w:type="dxa"/>
            <w:tcBorders>
              <w:top w:val="nil"/>
              <w:left w:val="nil"/>
              <w:bottom w:val="single" w:sz="4" w:space="0" w:color="auto"/>
              <w:right w:val="single" w:sz="4" w:space="0" w:color="BFBFBF"/>
            </w:tcBorders>
            <w:shd w:val="clear" w:color="auto" w:fill="auto"/>
            <w:noWrap/>
            <w:vAlign w:val="center"/>
          </w:tcPr>
          <w:p w14:paraId="6FBE9C19" w14:textId="77777777" w:rsidR="006143C4" w:rsidRPr="003364EC" w:rsidRDefault="006143C4" w:rsidP="006143C4">
            <w:pPr>
              <w:jc w:val="right"/>
              <w:rPr>
                <w:rFonts w:cs="Arial"/>
                <w:color w:val="000000"/>
              </w:rPr>
            </w:pPr>
            <w:r>
              <w:rPr>
                <w:rFonts w:cs="Arial"/>
                <w:color w:val="000000"/>
              </w:rPr>
              <w:t xml:space="preserve">-  </w:t>
            </w:r>
          </w:p>
        </w:tc>
        <w:tc>
          <w:tcPr>
            <w:tcW w:w="960" w:type="dxa"/>
            <w:tcBorders>
              <w:top w:val="nil"/>
              <w:left w:val="nil"/>
              <w:bottom w:val="single" w:sz="4" w:space="0" w:color="auto"/>
              <w:right w:val="single" w:sz="4" w:space="0" w:color="BFBFBF"/>
            </w:tcBorders>
            <w:shd w:val="clear" w:color="auto" w:fill="auto"/>
            <w:noWrap/>
            <w:vAlign w:val="center"/>
          </w:tcPr>
          <w:p w14:paraId="7E775A89" w14:textId="77777777" w:rsidR="006143C4" w:rsidRPr="003364EC" w:rsidRDefault="006143C4" w:rsidP="006143C4">
            <w:pPr>
              <w:jc w:val="right"/>
              <w:rPr>
                <w:rFonts w:cs="Arial"/>
                <w:color w:val="000000"/>
              </w:rPr>
            </w:pPr>
            <w:r>
              <w:rPr>
                <w:rFonts w:cs="Arial"/>
                <w:color w:val="000000"/>
              </w:rPr>
              <w:t xml:space="preserve">-  </w:t>
            </w:r>
          </w:p>
        </w:tc>
        <w:tc>
          <w:tcPr>
            <w:tcW w:w="960" w:type="dxa"/>
            <w:tcBorders>
              <w:top w:val="nil"/>
              <w:left w:val="nil"/>
              <w:bottom w:val="single" w:sz="4" w:space="0" w:color="auto"/>
              <w:right w:val="single" w:sz="4" w:space="0" w:color="BFBFBF"/>
            </w:tcBorders>
            <w:shd w:val="clear" w:color="auto" w:fill="auto"/>
            <w:noWrap/>
            <w:vAlign w:val="center"/>
          </w:tcPr>
          <w:p w14:paraId="43D92E22" w14:textId="77777777" w:rsidR="006143C4" w:rsidRPr="003364EC" w:rsidRDefault="006143C4" w:rsidP="006143C4">
            <w:pPr>
              <w:jc w:val="right"/>
              <w:rPr>
                <w:rFonts w:cs="Arial"/>
                <w:color w:val="000000"/>
              </w:rPr>
            </w:pPr>
            <w:r>
              <w:rPr>
                <w:rFonts w:cs="Arial"/>
                <w:color w:val="000000"/>
              </w:rPr>
              <w:t xml:space="preserve">13,090 </w:t>
            </w:r>
          </w:p>
        </w:tc>
        <w:tc>
          <w:tcPr>
            <w:tcW w:w="1012" w:type="dxa"/>
            <w:tcBorders>
              <w:top w:val="nil"/>
              <w:left w:val="nil"/>
              <w:bottom w:val="single" w:sz="4" w:space="0" w:color="auto"/>
              <w:right w:val="single" w:sz="4" w:space="0" w:color="auto"/>
            </w:tcBorders>
            <w:shd w:val="clear" w:color="auto" w:fill="auto"/>
            <w:noWrap/>
            <w:vAlign w:val="center"/>
          </w:tcPr>
          <w:p w14:paraId="7DCBABA2" w14:textId="77777777" w:rsidR="006143C4" w:rsidRPr="003364EC" w:rsidRDefault="006143C4" w:rsidP="006143C4">
            <w:pPr>
              <w:jc w:val="right"/>
              <w:rPr>
                <w:rFonts w:cs="Arial"/>
                <w:color w:val="000000"/>
              </w:rPr>
            </w:pPr>
            <w:r>
              <w:rPr>
                <w:rFonts w:cs="Arial"/>
                <w:color w:val="000000"/>
              </w:rPr>
              <w:t xml:space="preserve">88,612 </w:t>
            </w:r>
          </w:p>
        </w:tc>
      </w:tr>
    </w:tbl>
    <w:p w14:paraId="381DCF51" w14:textId="77777777" w:rsidR="006143C4" w:rsidRDefault="006143C4" w:rsidP="006143C4"/>
    <w:p w14:paraId="6AA735E2" w14:textId="77777777" w:rsidR="006143C4" w:rsidRPr="003364EC" w:rsidRDefault="006143C4" w:rsidP="006143C4"/>
    <w:p w14:paraId="2BCB08AD" w14:textId="77777777" w:rsidR="006143C4" w:rsidRPr="00422126" w:rsidRDefault="006143C4" w:rsidP="00E948BF">
      <w:pPr>
        <w:pStyle w:val="ListParagraph"/>
        <w:numPr>
          <w:ilvl w:val="0"/>
          <w:numId w:val="31"/>
        </w:numPr>
        <w:spacing w:line="288" w:lineRule="auto"/>
        <w:contextualSpacing/>
        <w:rPr>
          <w:rFonts w:cs="Arial"/>
          <w:szCs w:val="22"/>
        </w:rPr>
      </w:pPr>
      <w:r w:rsidRPr="00422126">
        <w:rPr>
          <w:rFonts w:cs="Arial"/>
          <w:szCs w:val="22"/>
        </w:rPr>
        <w:t xml:space="preserve">The Chief Executive </w:t>
      </w:r>
      <w:r>
        <w:rPr>
          <w:rFonts w:cs="Arial"/>
          <w:szCs w:val="22"/>
        </w:rPr>
        <w:t>left the Authority on</w:t>
      </w:r>
      <w:r w:rsidRPr="00422126">
        <w:rPr>
          <w:rFonts w:cs="Arial"/>
          <w:szCs w:val="22"/>
        </w:rPr>
        <w:t xml:space="preserve"> 1</w:t>
      </w:r>
      <w:r>
        <w:rPr>
          <w:rFonts w:cs="Arial"/>
          <w:szCs w:val="22"/>
        </w:rPr>
        <w:t>5</w:t>
      </w:r>
      <w:r w:rsidRPr="00422126">
        <w:rPr>
          <w:rFonts w:cs="Arial"/>
          <w:szCs w:val="22"/>
          <w:vertAlign w:val="superscript"/>
        </w:rPr>
        <w:t>th</w:t>
      </w:r>
      <w:r>
        <w:rPr>
          <w:rFonts w:cs="Arial"/>
          <w:szCs w:val="22"/>
        </w:rPr>
        <w:t xml:space="preserve"> </w:t>
      </w:r>
      <w:r w:rsidRPr="00422126">
        <w:rPr>
          <w:rFonts w:cs="Arial"/>
          <w:szCs w:val="22"/>
        </w:rPr>
        <w:t>Ju</w:t>
      </w:r>
      <w:r>
        <w:rPr>
          <w:rFonts w:cs="Arial"/>
          <w:szCs w:val="22"/>
        </w:rPr>
        <w:t>ly</w:t>
      </w:r>
      <w:r w:rsidRPr="00422126">
        <w:rPr>
          <w:rFonts w:cs="Arial"/>
          <w:szCs w:val="22"/>
        </w:rPr>
        <w:t xml:space="preserve"> 20</w:t>
      </w:r>
      <w:r>
        <w:rPr>
          <w:rFonts w:cs="Arial"/>
          <w:szCs w:val="22"/>
        </w:rPr>
        <w:t>21</w:t>
      </w:r>
      <w:r w:rsidRPr="00422126">
        <w:rPr>
          <w:rFonts w:cs="Arial"/>
          <w:szCs w:val="22"/>
        </w:rPr>
        <w:t>.</w:t>
      </w:r>
    </w:p>
    <w:p w14:paraId="2718AC11" w14:textId="77777777" w:rsidR="006143C4" w:rsidRPr="00422126" w:rsidRDefault="006143C4" w:rsidP="00E948BF">
      <w:pPr>
        <w:pStyle w:val="ListParagraph"/>
        <w:numPr>
          <w:ilvl w:val="0"/>
          <w:numId w:val="31"/>
        </w:numPr>
        <w:spacing w:line="288" w:lineRule="auto"/>
        <w:contextualSpacing/>
        <w:rPr>
          <w:rFonts w:cs="Arial"/>
          <w:szCs w:val="22"/>
        </w:rPr>
      </w:pPr>
      <w:r w:rsidRPr="00422126">
        <w:rPr>
          <w:rFonts w:cs="Arial"/>
          <w:szCs w:val="22"/>
        </w:rPr>
        <w:t xml:space="preserve">The </w:t>
      </w:r>
      <w:r>
        <w:rPr>
          <w:rFonts w:cs="Arial"/>
          <w:szCs w:val="22"/>
        </w:rPr>
        <w:t>Interim</w:t>
      </w:r>
      <w:r w:rsidRPr="00422126">
        <w:rPr>
          <w:rFonts w:cs="Arial"/>
          <w:szCs w:val="22"/>
        </w:rPr>
        <w:t xml:space="preserve"> Chief Executive</w:t>
      </w:r>
      <w:r>
        <w:rPr>
          <w:rFonts w:cs="Arial"/>
          <w:szCs w:val="22"/>
        </w:rPr>
        <w:t xml:space="preserve"> was employed by Chorley Borough Council (CBC) up to 27</w:t>
      </w:r>
      <w:r w:rsidRPr="00F55682">
        <w:rPr>
          <w:rFonts w:cs="Arial"/>
          <w:szCs w:val="22"/>
          <w:vertAlign w:val="superscript"/>
        </w:rPr>
        <w:t>th</w:t>
      </w:r>
      <w:r>
        <w:rPr>
          <w:rFonts w:cs="Arial"/>
          <w:szCs w:val="22"/>
        </w:rPr>
        <w:t xml:space="preserve"> March 2021 and 50% of the costs were recharged to South </w:t>
      </w:r>
      <w:proofErr w:type="spellStart"/>
      <w:r>
        <w:rPr>
          <w:rFonts w:cs="Arial"/>
          <w:szCs w:val="22"/>
        </w:rPr>
        <w:t>Ribble</w:t>
      </w:r>
      <w:proofErr w:type="spellEnd"/>
      <w:r>
        <w:rPr>
          <w:rFonts w:cs="Arial"/>
          <w:szCs w:val="22"/>
        </w:rPr>
        <w:t xml:space="preserve"> Borough Council (SRBC), which are shown in the table.  From 5</w:t>
      </w:r>
      <w:r w:rsidRPr="00422126">
        <w:rPr>
          <w:rFonts w:cs="Arial"/>
          <w:szCs w:val="22"/>
          <w:vertAlign w:val="superscript"/>
        </w:rPr>
        <w:t>th</w:t>
      </w:r>
      <w:r>
        <w:rPr>
          <w:rFonts w:cs="Arial"/>
          <w:szCs w:val="22"/>
        </w:rPr>
        <w:t xml:space="preserve"> April 2021 he will be employed by SRBC as Chief Executive for both councils and 50% of the costs will be recharged to CBC.</w:t>
      </w:r>
    </w:p>
    <w:p w14:paraId="788DCC22" w14:textId="77777777" w:rsidR="006143C4" w:rsidRPr="00422126" w:rsidRDefault="006143C4" w:rsidP="00E948BF">
      <w:pPr>
        <w:pStyle w:val="ListParagraph"/>
        <w:numPr>
          <w:ilvl w:val="0"/>
          <w:numId w:val="31"/>
        </w:numPr>
        <w:spacing w:line="288" w:lineRule="auto"/>
        <w:contextualSpacing/>
        <w:rPr>
          <w:rFonts w:cs="Arial"/>
          <w:szCs w:val="22"/>
        </w:rPr>
      </w:pPr>
      <w:r w:rsidRPr="00422126">
        <w:rPr>
          <w:rFonts w:cs="Arial"/>
          <w:szCs w:val="22"/>
        </w:rPr>
        <w:t xml:space="preserve">The </w:t>
      </w:r>
      <w:r>
        <w:rPr>
          <w:rFonts w:cs="Arial"/>
          <w:szCs w:val="22"/>
        </w:rPr>
        <w:t>Director of Communities was re-designated from Director of Neighbourhoods and Development with effect from 1</w:t>
      </w:r>
      <w:r w:rsidRPr="00FA64CE">
        <w:rPr>
          <w:rFonts w:cs="Arial"/>
          <w:szCs w:val="22"/>
          <w:vertAlign w:val="superscript"/>
        </w:rPr>
        <w:t>st</w:t>
      </w:r>
      <w:r>
        <w:rPr>
          <w:rFonts w:cs="Arial"/>
          <w:szCs w:val="22"/>
        </w:rPr>
        <w:t xml:space="preserve"> January 2021 following the expansion of shared services between the two councils</w:t>
      </w:r>
      <w:r w:rsidRPr="00422126">
        <w:rPr>
          <w:rFonts w:cs="Arial"/>
          <w:szCs w:val="22"/>
        </w:rPr>
        <w:t>.</w:t>
      </w:r>
      <w:r>
        <w:rPr>
          <w:rFonts w:cs="Arial"/>
          <w:szCs w:val="22"/>
        </w:rPr>
        <w:t xml:space="preserve">  The post-holder is formally employed by SRBC, and CBC has been charged 50% of the cost of the post from the effective date.</w:t>
      </w:r>
    </w:p>
    <w:p w14:paraId="72DD2AE3" w14:textId="77777777" w:rsidR="006143C4" w:rsidRPr="00422126" w:rsidRDefault="006143C4" w:rsidP="00E948BF">
      <w:pPr>
        <w:pStyle w:val="ListParagraph"/>
        <w:numPr>
          <w:ilvl w:val="0"/>
          <w:numId w:val="31"/>
        </w:numPr>
        <w:spacing w:line="288" w:lineRule="auto"/>
        <w:contextualSpacing/>
        <w:rPr>
          <w:rFonts w:cs="Arial"/>
          <w:szCs w:val="22"/>
        </w:rPr>
      </w:pPr>
      <w:r w:rsidRPr="00422126">
        <w:rPr>
          <w:rFonts w:cs="Arial"/>
          <w:szCs w:val="22"/>
        </w:rPr>
        <w:t xml:space="preserve">The </w:t>
      </w:r>
      <w:r>
        <w:rPr>
          <w:rFonts w:cs="Arial"/>
          <w:szCs w:val="22"/>
        </w:rPr>
        <w:t>Director of Planning and Development was re-designated from Director of Planning and Property with effect from 1</w:t>
      </w:r>
      <w:r w:rsidRPr="00FA64CE">
        <w:rPr>
          <w:rFonts w:cs="Arial"/>
          <w:szCs w:val="22"/>
          <w:vertAlign w:val="superscript"/>
        </w:rPr>
        <w:t>st</w:t>
      </w:r>
      <w:r>
        <w:rPr>
          <w:rFonts w:cs="Arial"/>
          <w:szCs w:val="22"/>
        </w:rPr>
        <w:t xml:space="preserve"> January 2021 following the expansion of shared services between the two councils</w:t>
      </w:r>
      <w:r w:rsidRPr="00422126">
        <w:rPr>
          <w:rFonts w:cs="Arial"/>
          <w:szCs w:val="22"/>
        </w:rPr>
        <w:t>.</w:t>
      </w:r>
      <w:r>
        <w:rPr>
          <w:rFonts w:cs="Arial"/>
          <w:szCs w:val="22"/>
        </w:rPr>
        <w:t xml:space="preserve">  The post-holder is formally employed by SRBC, and CBC has been charged 50% of the cost of the post from the effective date.</w:t>
      </w:r>
    </w:p>
    <w:p w14:paraId="29C32E18" w14:textId="77777777" w:rsidR="006143C4" w:rsidRDefault="006143C4" w:rsidP="00E948BF">
      <w:pPr>
        <w:pStyle w:val="ListParagraph"/>
        <w:numPr>
          <w:ilvl w:val="0"/>
          <w:numId w:val="31"/>
        </w:numPr>
        <w:spacing w:line="288" w:lineRule="auto"/>
        <w:contextualSpacing/>
        <w:rPr>
          <w:rFonts w:cs="Arial"/>
          <w:szCs w:val="22"/>
        </w:rPr>
      </w:pPr>
      <w:r>
        <w:rPr>
          <w:rFonts w:cs="Arial"/>
          <w:szCs w:val="22"/>
        </w:rPr>
        <w:t>The Director of Customer Experience and Operations left the authority on 18</w:t>
      </w:r>
      <w:r w:rsidRPr="00916C04">
        <w:rPr>
          <w:rFonts w:cs="Arial"/>
          <w:szCs w:val="22"/>
          <w:vertAlign w:val="superscript"/>
        </w:rPr>
        <w:t>th</w:t>
      </w:r>
      <w:r>
        <w:rPr>
          <w:rFonts w:cs="Arial"/>
          <w:szCs w:val="22"/>
        </w:rPr>
        <w:t xml:space="preserve"> January 2021.  The post was re-designated as Director of Customer and Digital following the expansion of shared services between the two councils with effect from 1</w:t>
      </w:r>
      <w:r w:rsidRPr="00F55682">
        <w:rPr>
          <w:rFonts w:cs="Arial"/>
          <w:szCs w:val="22"/>
          <w:vertAlign w:val="superscript"/>
        </w:rPr>
        <w:t>st</w:t>
      </w:r>
      <w:r>
        <w:rPr>
          <w:rFonts w:cs="Arial"/>
          <w:szCs w:val="22"/>
        </w:rPr>
        <w:t xml:space="preserve"> January 2021.  The current post-holder is employed by CBC, and 50% of the costs have been charged to SRBC from the effective date.</w:t>
      </w:r>
    </w:p>
    <w:p w14:paraId="3FCC0A49" w14:textId="77777777" w:rsidR="006143C4" w:rsidRPr="00422126" w:rsidRDefault="006143C4" w:rsidP="00E948BF">
      <w:pPr>
        <w:pStyle w:val="ListParagraph"/>
        <w:numPr>
          <w:ilvl w:val="0"/>
          <w:numId w:val="31"/>
        </w:numPr>
        <w:spacing w:line="288" w:lineRule="auto"/>
        <w:contextualSpacing/>
        <w:rPr>
          <w:rFonts w:cs="Arial"/>
          <w:szCs w:val="22"/>
        </w:rPr>
      </w:pPr>
      <w:r>
        <w:rPr>
          <w:rFonts w:cs="Arial"/>
          <w:szCs w:val="22"/>
        </w:rPr>
        <w:t>Following the expansion of shared services, the Director of Governance was established from 1</w:t>
      </w:r>
      <w:r w:rsidRPr="00916C04">
        <w:rPr>
          <w:rFonts w:cs="Arial"/>
          <w:szCs w:val="22"/>
          <w:vertAlign w:val="superscript"/>
        </w:rPr>
        <w:t>st</w:t>
      </w:r>
      <w:r>
        <w:rPr>
          <w:rFonts w:cs="Arial"/>
          <w:szCs w:val="22"/>
        </w:rPr>
        <w:t xml:space="preserve"> April 2021.  50% of the costs for the post were charged to CBC.  In addition to the posts detailed above, there are two posts that reported directly to the Interim Chief Executive: Deputy Chief Executive and Director of Commercial and Property.  Both these posts are formally employed by CBC and 50% of the costs are charged to SRBC.</w:t>
      </w:r>
    </w:p>
    <w:p w14:paraId="11B37BDF" w14:textId="77777777" w:rsidR="006143C4" w:rsidRPr="00422126" w:rsidRDefault="006143C4" w:rsidP="006143C4"/>
    <w:p w14:paraId="0334F58F" w14:textId="21BD3216" w:rsidR="00DA2664" w:rsidRDefault="00DA2664" w:rsidP="009574CA">
      <w:pPr>
        <w:rPr>
          <w:rFonts w:cs="Arial"/>
        </w:rPr>
      </w:pPr>
    </w:p>
    <w:p w14:paraId="7237463D" w14:textId="4D8E979B" w:rsidR="00DA2664" w:rsidRDefault="00DA2664" w:rsidP="009574CA">
      <w:pPr>
        <w:rPr>
          <w:rFonts w:cs="Arial"/>
        </w:rPr>
      </w:pPr>
    </w:p>
    <w:p w14:paraId="725B027A" w14:textId="287AF51D" w:rsidR="00DA2664" w:rsidRDefault="00DA2664" w:rsidP="009574CA">
      <w:pPr>
        <w:rPr>
          <w:rFonts w:cs="Arial"/>
        </w:rPr>
      </w:pPr>
    </w:p>
    <w:p w14:paraId="101A1781" w14:textId="54046BA8" w:rsidR="00DA2664" w:rsidRDefault="00DA2664" w:rsidP="009574CA">
      <w:pPr>
        <w:rPr>
          <w:rFonts w:cs="Arial"/>
        </w:rPr>
      </w:pPr>
    </w:p>
    <w:p w14:paraId="48A2E3EC" w14:textId="2C0EB10C" w:rsidR="00DA2664" w:rsidRDefault="00DA2664" w:rsidP="009574CA">
      <w:pPr>
        <w:rPr>
          <w:rFonts w:cs="Arial"/>
        </w:rPr>
      </w:pPr>
    </w:p>
    <w:p w14:paraId="4AAAEACE" w14:textId="19FECBB0" w:rsidR="00DA2664" w:rsidRDefault="00DA2664" w:rsidP="009574CA">
      <w:pPr>
        <w:rPr>
          <w:rFonts w:cs="Arial"/>
        </w:rPr>
      </w:pPr>
    </w:p>
    <w:p w14:paraId="5ED8D329" w14:textId="3F29BCE3" w:rsidR="00DA2664" w:rsidRDefault="00DA2664" w:rsidP="009574CA">
      <w:pPr>
        <w:rPr>
          <w:rFonts w:cs="Arial"/>
        </w:rPr>
      </w:pPr>
    </w:p>
    <w:p w14:paraId="7824BF36" w14:textId="05166AE0" w:rsidR="00DA2664" w:rsidRDefault="00DA2664" w:rsidP="00DA2664">
      <w:pPr>
        <w:rPr>
          <w:rFonts w:cs="Arial"/>
        </w:rPr>
      </w:pPr>
      <w:r w:rsidRPr="00043DA9">
        <w:rPr>
          <w:rFonts w:cs="Arial"/>
        </w:rPr>
        <w:t xml:space="preserve">The </w:t>
      </w:r>
      <w:r>
        <w:rPr>
          <w:rFonts w:cs="Arial"/>
        </w:rPr>
        <w:t>comparative information for 2019/20</w:t>
      </w:r>
      <w:r w:rsidRPr="00043DA9">
        <w:rPr>
          <w:rFonts w:cs="Arial"/>
        </w:rPr>
        <w:t xml:space="preserve"> is shown below.</w:t>
      </w:r>
    </w:p>
    <w:p w14:paraId="008926EE" w14:textId="77777777" w:rsidR="00DA2664" w:rsidRPr="00043DA9" w:rsidRDefault="00DA2664" w:rsidP="009574CA">
      <w:pPr>
        <w:rPr>
          <w:rFonts w:cs="Arial"/>
        </w:rPr>
      </w:pPr>
    </w:p>
    <w:tbl>
      <w:tblPr>
        <w:tblW w:w="9600" w:type="dxa"/>
        <w:tblLook w:val="04A0" w:firstRow="1" w:lastRow="0" w:firstColumn="1" w:lastColumn="0" w:noHBand="0" w:noVBand="1"/>
      </w:tblPr>
      <w:tblGrid>
        <w:gridCol w:w="3254"/>
        <w:gridCol w:w="482"/>
        <w:gridCol w:w="1012"/>
        <w:gridCol w:w="960"/>
        <w:gridCol w:w="960"/>
        <w:gridCol w:w="960"/>
        <w:gridCol w:w="960"/>
        <w:gridCol w:w="1012"/>
      </w:tblGrid>
      <w:tr w:rsidR="00B911CF" w14:paraId="631BACFE" w14:textId="77777777" w:rsidTr="00B911CF">
        <w:trPr>
          <w:cantSplit/>
          <w:trHeight w:val="1644"/>
        </w:trPr>
        <w:tc>
          <w:tcPr>
            <w:tcW w:w="3254" w:type="dxa"/>
            <w:tcBorders>
              <w:top w:val="single" w:sz="4" w:space="0" w:color="auto"/>
              <w:left w:val="single" w:sz="4" w:space="0" w:color="auto"/>
              <w:bottom w:val="nil"/>
              <w:right w:val="nil"/>
            </w:tcBorders>
            <w:shd w:val="clear" w:color="auto" w:fill="B8CCE4"/>
            <w:vAlign w:val="center"/>
            <w:hideMark/>
          </w:tcPr>
          <w:p w14:paraId="46B89EFB" w14:textId="77777777" w:rsidR="00B911CF" w:rsidRDefault="00B911CF">
            <w:pPr>
              <w:jc w:val="left"/>
              <w:rPr>
                <w:rFonts w:cs="Arial"/>
                <w:b/>
                <w:bCs/>
                <w:color w:val="000000"/>
                <w:szCs w:val="22"/>
              </w:rPr>
            </w:pPr>
            <w:r>
              <w:rPr>
                <w:rFonts w:cs="Arial"/>
                <w:b/>
                <w:bCs/>
                <w:color w:val="000000"/>
              </w:rPr>
              <w:t>2019/20 Remuneration</w:t>
            </w:r>
          </w:p>
        </w:tc>
        <w:tc>
          <w:tcPr>
            <w:tcW w:w="482" w:type="dxa"/>
            <w:tcBorders>
              <w:top w:val="single" w:sz="4" w:space="0" w:color="auto"/>
              <w:left w:val="single" w:sz="4" w:space="0" w:color="auto"/>
              <w:bottom w:val="nil"/>
              <w:right w:val="single" w:sz="4" w:space="0" w:color="auto"/>
            </w:tcBorders>
            <w:shd w:val="clear" w:color="auto" w:fill="B8CCE4"/>
            <w:noWrap/>
            <w:textDirection w:val="btLr"/>
            <w:vAlign w:val="center"/>
            <w:hideMark/>
          </w:tcPr>
          <w:p w14:paraId="33B7D395" w14:textId="77777777" w:rsidR="00B911CF" w:rsidRDefault="00B911CF">
            <w:pPr>
              <w:rPr>
                <w:rFonts w:cs="Arial"/>
                <w:b/>
                <w:bCs/>
              </w:rPr>
            </w:pPr>
            <w:r>
              <w:rPr>
                <w:rFonts w:cs="Arial"/>
                <w:b/>
                <w:bCs/>
              </w:rPr>
              <w:t>Note</w:t>
            </w:r>
          </w:p>
        </w:tc>
        <w:tc>
          <w:tcPr>
            <w:tcW w:w="1012" w:type="dxa"/>
            <w:tcBorders>
              <w:top w:val="single" w:sz="4" w:space="0" w:color="auto"/>
              <w:left w:val="nil"/>
              <w:bottom w:val="nil"/>
              <w:right w:val="single" w:sz="4" w:space="0" w:color="auto"/>
            </w:tcBorders>
            <w:shd w:val="clear" w:color="auto" w:fill="B8CCE4"/>
            <w:textDirection w:val="btLr"/>
            <w:vAlign w:val="center"/>
            <w:hideMark/>
          </w:tcPr>
          <w:p w14:paraId="2E3CD126" w14:textId="77777777" w:rsidR="00B911CF" w:rsidRDefault="00B911CF">
            <w:pPr>
              <w:jc w:val="left"/>
              <w:rPr>
                <w:rFonts w:cs="Arial"/>
                <w:b/>
                <w:bCs/>
              </w:rPr>
            </w:pPr>
            <w:r>
              <w:rPr>
                <w:rFonts w:cs="Arial"/>
                <w:b/>
                <w:bCs/>
              </w:rPr>
              <w:t>Salary and allowances</w:t>
            </w:r>
          </w:p>
        </w:tc>
        <w:tc>
          <w:tcPr>
            <w:tcW w:w="960" w:type="dxa"/>
            <w:tcBorders>
              <w:top w:val="single" w:sz="4" w:space="0" w:color="auto"/>
              <w:left w:val="nil"/>
              <w:bottom w:val="nil"/>
              <w:right w:val="single" w:sz="4" w:space="0" w:color="auto"/>
            </w:tcBorders>
            <w:shd w:val="clear" w:color="auto" w:fill="B8CCE4"/>
            <w:textDirection w:val="btLr"/>
            <w:vAlign w:val="center"/>
            <w:hideMark/>
          </w:tcPr>
          <w:p w14:paraId="6E30665C" w14:textId="77777777" w:rsidR="00B911CF" w:rsidRDefault="00B911CF">
            <w:pPr>
              <w:jc w:val="left"/>
              <w:rPr>
                <w:rFonts w:cs="Arial"/>
                <w:b/>
                <w:bCs/>
              </w:rPr>
            </w:pPr>
            <w:r>
              <w:rPr>
                <w:rFonts w:cs="Arial"/>
                <w:b/>
                <w:bCs/>
              </w:rPr>
              <w:t>Expenses allowances</w:t>
            </w:r>
          </w:p>
        </w:tc>
        <w:tc>
          <w:tcPr>
            <w:tcW w:w="960" w:type="dxa"/>
            <w:tcBorders>
              <w:top w:val="single" w:sz="4" w:space="0" w:color="auto"/>
              <w:left w:val="nil"/>
              <w:bottom w:val="nil"/>
              <w:right w:val="single" w:sz="4" w:space="0" w:color="auto"/>
            </w:tcBorders>
            <w:shd w:val="clear" w:color="auto" w:fill="B8CCE4"/>
            <w:textDirection w:val="btLr"/>
            <w:vAlign w:val="center"/>
            <w:hideMark/>
          </w:tcPr>
          <w:p w14:paraId="51D3C32B" w14:textId="77777777" w:rsidR="00B911CF" w:rsidRDefault="00B911CF">
            <w:pPr>
              <w:jc w:val="left"/>
              <w:rPr>
                <w:rFonts w:cs="Arial"/>
                <w:b/>
                <w:bCs/>
              </w:rPr>
            </w:pPr>
            <w:r>
              <w:rPr>
                <w:rFonts w:cs="Arial"/>
                <w:b/>
                <w:bCs/>
              </w:rPr>
              <w:t>Compensation for loss of office</w:t>
            </w:r>
          </w:p>
        </w:tc>
        <w:tc>
          <w:tcPr>
            <w:tcW w:w="960" w:type="dxa"/>
            <w:tcBorders>
              <w:top w:val="single" w:sz="4" w:space="0" w:color="auto"/>
              <w:left w:val="nil"/>
              <w:bottom w:val="nil"/>
              <w:right w:val="single" w:sz="4" w:space="0" w:color="auto"/>
            </w:tcBorders>
            <w:shd w:val="clear" w:color="auto" w:fill="B8CCE4"/>
            <w:textDirection w:val="btLr"/>
            <w:vAlign w:val="center"/>
            <w:hideMark/>
          </w:tcPr>
          <w:p w14:paraId="43F32A41" w14:textId="77777777" w:rsidR="00B911CF" w:rsidRDefault="00B911CF">
            <w:pPr>
              <w:jc w:val="left"/>
              <w:rPr>
                <w:rFonts w:cs="Arial"/>
                <w:b/>
                <w:bCs/>
              </w:rPr>
            </w:pPr>
            <w:r>
              <w:rPr>
                <w:rFonts w:cs="Arial"/>
                <w:b/>
                <w:bCs/>
              </w:rPr>
              <w:t xml:space="preserve">Benefits </w:t>
            </w:r>
            <w:proofErr w:type="gramStart"/>
            <w:r>
              <w:rPr>
                <w:rFonts w:cs="Arial"/>
                <w:b/>
                <w:bCs/>
              </w:rPr>
              <w:t>In</w:t>
            </w:r>
            <w:proofErr w:type="gramEnd"/>
            <w:r>
              <w:rPr>
                <w:rFonts w:cs="Arial"/>
                <w:b/>
                <w:bCs/>
              </w:rPr>
              <w:t xml:space="preserve"> Kind</w:t>
            </w:r>
          </w:p>
        </w:tc>
        <w:tc>
          <w:tcPr>
            <w:tcW w:w="960" w:type="dxa"/>
            <w:tcBorders>
              <w:top w:val="single" w:sz="4" w:space="0" w:color="auto"/>
              <w:left w:val="nil"/>
              <w:bottom w:val="nil"/>
              <w:right w:val="single" w:sz="4" w:space="0" w:color="auto"/>
            </w:tcBorders>
            <w:shd w:val="clear" w:color="auto" w:fill="B8CCE4"/>
            <w:textDirection w:val="btLr"/>
            <w:vAlign w:val="center"/>
            <w:hideMark/>
          </w:tcPr>
          <w:p w14:paraId="62A8CD16" w14:textId="77777777" w:rsidR="00B911CF" w:rsidRDefault="00B911CF">
            <w:pPr>
              <w:jc w:val="left"/>
              <w:rPr>
                <w:rFonts w:cs="Arial"/>
                <w:b/>
                <w:bCs/>
              </w:rPr>
            </w:pPr>
            <w:r>
              <w:rPr>
                <w:rFonts w:cs="Arial"/>
                <w:b/>
                <w:bCs/>
              </w:rPr>
              <w:t>Pension Contribution</w:t>
            </w:r>
          </w:p>
        </w:tc>
        <w:tc>
          <w:tcPr>
            <w:tcW w:w="1012" w:type="dxa"/>
            <w:tcBorders>
              <w:top w:val="single" w:sz="4" w:space="0" w:color="auto"/>
              <w:left w:val="nil"/>
              <w:bottom w:val="nil"/>
              <w:right w:val="single" w:sz="4" w:space="0" w:color="auto"/>
            </w:tcBorders>
            <w:shd w:val="clear" w:color="auto" w:fill="B8CCE4"/>
            <w:textDirection w:val="btLr"/>
            <w:vAlign w:val="center"/>
            <w:hideMark/>
          </w:tcPr>
          <w:p w14:paraId="00D0BE28" w14:textId="77777777" w:rsidR="00B911CF" w:rsidRDefault="00B911CF">
            <w:pPr>
              <w:jc w:val="left"/>
              <w:rPr>
                <w:rFonts w:cs="Arial"/>
                <w:b/>
                <w:bCs/>
              </w:rPr>
            </w:pPr>
            <w:r>
              <w:rPr>
                <w:rFonts w:cs="Arial"/>
                <w:b/>
                <w:bCs/>
              </w:rPr>
              <w:t>Total Remuneration</w:t>
            </w:r>
          </w:p>
        </w:tc>
      </w:tr>
      <w:tr w:rsidR="00B911CF" w14:paraId="16ECB6E5" w14:textId="77777777" w:rsidTr="00B911CF">
        <w:trPr>
          <w:trHeight w:val="300"/>
        </w:trPr>
        <w:tc>
          <w:tcPr>
            <w:tcW w:w="3254" w:type="dxa"/>
            <w:tcBorders>
              <w:top w:val="nil"/>
              <w:left w:val="single" w:sz="4" w:space="0" w:color="auto"/>
              <w:bottom w:val="single" w:sz="4" w:space="0" w:color="auto"/>
              <w:right w:val="nil"/>
            </w:tcBorders>
            <w:shd w:val="clear" w:color="auto" w:fill="B8CCE4"/>
            <w:vAlign w:val="center"/>
            <w:hideMark/>
          </w:tcPr>
          <w:p w14:paraId="37C86969" w14:textId="77777777" w:rsidR="00B911CF" w:rsidRDefault="00B911CF">
            <w:pPr>
              <w:jc w:val="left"/>
              <w:rPr>
                <w:rFonts w:cs="Arial"/>
                <w:b/>
                <w:bCs/>
              </w:rPr>
            </w:pPr>
            <w:r>
              <w:rPr>
                <w:rFonts w:cs="Arial"/>
                <w:b/>
                <w:bCs/>
              </w:rPr>
              <w:t>Post Title</w:t>
            </w:r>
          </w:p>
        </w:tc>
        <w:tc>
          <w:tcPr>
            <w:tcW w:w="482" w:type="dxa"/>
            <w:tcBorders>
              <w:top w:val="nil"/>
              <w:left w:val="single" w:sz="4" w:space="0" w:color="auto"/>
              <w:bottom w:val="single" w:sz="4" w:space="0" w:color="auto"/>
              <w:right w:val="single" w:sz="4" w:space="0" w:color="auto"/>
            </w:tcBorders>
            <w:shd w:val="clear" w:color="auto" w:fill="B8CCE4"/>
            <w:noWrap/>
            <w:vAlign w:val="center"/>
            <w:hideMark/>
          </w:tcPr>
          <w:p w14:paraId="1E80BDFC" w14:textId="77777777" w:rsidR="00B911CF" w:rsidRDefault="00B911CF">
            <w:pPr>
              <w:jc w:val="center"/>
              <w:rPr>
                <w:rFonts w:cs="Arial"/>
                <w:b/>
                <w:bCs/>
                <w:color w:val="000000"/>
              </w:rPr>
            </w:pPr>
            <w:r>
              <w:rPr>
                <w:rFonts w:cs="Arial"/>
                <w:b/>
                <w:bCs/>
                <w:color w:val="000000"/>
              </w:rPr>
              <w:t> </w:t>
            </w:r>
          </w:p>
        </w:tc>
        <w:tc>
          <w:tcPr>
            <w:tcW w:w="1012" w:type="dxa"/>
            <w:tcBorders>
              <w:top w:val="nil"/>
              <w:left w:val="nil"/>
              <w:bottom w:val="single" w:sz="4" w:space="0" w:color="auto"/>
              <w:right w:val="single" w:sz="4" w:space="0" w:color="auto"/>
            </w:tcBorders>
            <w:shd w:val="clear" w:color="auto" w:fill="B8CCE4"/>
            <w:noWrap/>
            <w:vAlign w:val="center"/>
            <w:hideMark/>
          </w:tcPr>
          <w:p w14:paraId="4C05220C" w14:textId="77777777" w:rsidR="00B911CF" w:rsidRDefault="00B911CF">
            <w:pPr>
              <w:jc w:val="center"/>
              <w:rPr>
                <w:rFonts w:cs="Arial"/>
                <w:b/>
                <w:bCs/>
              </w:rPr>
            </w:pPr>
            <w:r>
              <w:rPr>
                <w:rFonts w:cs="Arial"/>
                <w:b/>
                <w:bCs/>
              </w:rPr>
              <w:t>£</w:t>
            </w:r>
          </w:p>
        </w:tc>
        <w:tc>
          <w:tcPr>
            <w:tcW w:w="960" w:type="dxa"/>
            <w:tcBorders>
              <w:top w:val="nil"/>
              <w:left w:val="nil"/>
              <w:bottom w:val="single" w:sz="4" w:space="0" w:color="auto"/>
              <w:right w:val="single" w:sz="4" w:space="0" w:color="auto"/>
            </w:tcBorders>
            <w:shd w:val="clear" w:color="auto" w:fill="B8CCE4"/>
            <w:noWrap/>
            <w:vAlign w:val="center"/>
            <w:hideMark/>
          </w:tcPr>
          <w:p w14:paraId="7BF7F45B" w14:textId="77777777" w:rsidR="00B911CF" w:rsidRDefault="00B911CF">
            <w:pPr>
              <w:jc w:val="center"/>
              <w:rPr>
                <w:rFonts w:cs="Arial"/>
                <w:b/>
                <w:bCs/>
              </w:rPr>
            </w:pPr>
            <w:r>
              <w:rPr>
                <w:rFonts w:cs="Arial"/>
                <w:b/>
                <w:bCs/>
              </w:rPr>
              <w:t>£</w:t>
            </w:r>
          </w:p>
        </w:tc>
        <w:tc>
          <w:tcPr>
            <w:tcW w:w="960" w:type="dxa"/>
            <w:tcBorders>
              <w:top w:val="nil"/>
              <w:left w:val="nil"/>
              <w:bottom w:val="single" w:sz="4" w:space="0" w:color="auto"/>
              <w:right w:val="single" w:sz="4" w:space="0" w:color="auto"/>
            </w:tcBorders>
            <w:shd w:val="clear" w:color="auto" w:fill="B8CCE4"/>
            <w:noWrap/>
            <w:vAlign w:val="center"/>
            <w:hideMark/>
          </w:tcPr>
          <w:p w14:paraId="72664AA1" w14:textId="77777777" w:rsidR="00B911CF" w:rsidRDefault="00B911CF">
            <w:pPr>
              <w:jc w:val="center"/>
              <w:rPr>
                <w:rFonts w:cs="Arial"/>
                <w:b/>
                <w:bCs/>
              </w:rPr>
            </w:pPr>
            <w:r>
              <w:rPr>
                <w:rFonts w:cs="Arial"/>
                <w:b/>
                <w:bCs/>
              </w:rPr>
              <w:t>£</w:t>
            </w:r>
          </w:p>
        </w:tc>
        <w:tc>
          <w:tcPr>
            <w:tcW w:w="960" w:type="dxa"/>
            <w:tcBorders>
              <w:top w:val="nil"/>
              <w:left w:val="nil"/>
              <w:bottom w:val="single" w:sz="4" w:space="0" w:color="auto"/>
              <w:right w:val="single" w:sz="4" w:space="0" w:color="auto"/>
            </w:tcBorders>
            <w:shd w:val="clear" w:color="auto" w:fill="B8CCE4"/>
            <w:noWrap/>
            <w:vAlign w:val="center"/>
            <w:hideMark/>
          </w:tcPr>
          <w:p w14:paraId="594A0131" w14:textId="77777777" w:rsidR="00B911CF" w:rsidRDefault="00B911CF">
            <w:pPr>
              <w:jc w:val="center"/>
              <w:rPr>
                <w:rFonts w:cs="Arial"/>
                <w:b/>
                <w:bCs/>
              </w:rPr>
            </w:pPr>
            <w:r>
              <w:rPr>
                <w:rFonts w:cs="Arial"/>
                <w:b/>
                <w:bCs/>
              </w:rPr>
              <w:t>£</w:t>
            </w:r>
          </w:p>
        </w:tc>
        <w:tc>
          <w:tcPr>
            <w:tcW w:w="960" w:type="dxa"/>
            <w:tcBorders>
              <w:top w:val="nil"/>
              <w:left w:val="nil"/>
              <w:bottom w:val="single" w:sz="4" w:space="0" w:color="auto"/>
              <w:right w:val="single" w:sz="4" w:space="0" w:color="auto"/>
            </w:tcBorders>
            <w:shd w:val="clear" w:color="auto" w:fill="B8CCE4"/>
            <w:noWrap/>
            <w:vAlign w:val="center"/>
            <w:hideMark/>
          </w:tcPr>
          <w:p w14:paraId="071C94A3" w14:textId="77777777" w:rsidR="00B911CF" w:rsidRDefault="00B911CF">
            <w:pPr>
              <w:jc w:val="center"/>
              <w:rPr>
                <w:rFonts w:cs="Arial"/>
                <w:b/>
                <w:bCs/>
              </w:rPr>
            </w:pPr>
            <w:r>
              <w:rPr>
                <w:rFonts w:cs="Arial"/>
                <w:b/>
                <w:bCs/>
              </w:rPr>
              <w:t>£</w:t>
            </w:r>
          </w:p>
        </w:tc>
        <w:tc>
          <w:tcPr>
            <w:tcW w:w="1012" w:type="dxa"/>
            <w:tcBorders>
              <w:top w:val="nil"/>
              <w:left w:val="nil"/>
              <w:bottom w:val="single" w:sz="4" w:space="0" w:color="auto"/>
              <w:right w:val="single" w:sz="4" w:space="0" w:color="auto"/>
            </w:tcBorders>
            <w:shd w:val="clear" w:color="auto" w:fill="B8CCE4"/>
            <w:noWrap/>
            <w:vAlign w:val="center"/>
            <w:hideMark/>
          </w:tcPr>
          <w:p w14:paraId="6E7EF0E7" w14:textId="77777777" w:rsidR="00B911CF" w:rsidRDefault="00B911CF">
            <w:pPr>
              <w:jc w:val="center"/>
              <w:rPr>
                <w:rFonts w:cs="Arial"/>
                <w:b/>
                <w:bCs/>
              </w:rPr>
            </w:pPr>
            <w:r>
              <w:rPr>
                <w:rFonts w:cs="Arial"/>
                <w:b/>
                <w:bCs/>
              </w:rPr>
              <w:t>£</w:t>
            </w:r>
          </w:p>
        </w:tc>
      </w:tr>
      <w:tr w:rsidR="00B911CF" w14:paraId="7FE9AC61" w14:textId="77777777" w:rsidTr="00B911CF">
        <w:trPr>
          <w:trHeight w:val="300"/>
        </w:trPr>
        <w:tc>
          <w:tcPr>
            <w:tcW w:w="3254" w:type="dxa"/>
            <w:tcBorders>
              <w:top w:val="nil"/>
              <w:left w:val="single" w:sz="4" w:space="0" w:color="auto"/>
              <w:bottom w:val="single" w:sz="4" w:space="0" w:color="BFBFBF"/>
              <w:right w:val="single" w:sz="4" w:space="0" w:color="BFBFBF"/>
            </w:tcBorders>
            <w:vAlign w:val="center"/>
            <w:hideMark/>
          </w:tcPr>
          <w:p w14:paraId="1231351A" w14:textId="77777777" w:rsidR="00B911CF" w:rsidRDefault="00B911CF">
            <w:pPr>
              <w:jc w:val="left"/>
              <w:rPr>
                <w:rFonts w:cs="Arial"/>
                <w:color w:val="000000"/>
              </w:rPr>
            </w:pPr>
            <w:r>
              <w:rPr>
                <w:rFonts w:cs="Arial"/>
                <w:color w:val="000000"/>
              </w:rPr>
              <w:t>Chief Executive</w:t>
            </w:r>
          </w:p>
        </w:tc>
        <w:tc>
          <w:tcPr>
            <w:tcW w:w="482" w:type="dxa"/>
            <w:tcBorders>
              <w:top w:val="single" w:sz="4" w:space="0" w:color="auto"/>
              <w:left w:val="nil"/>
              <w:bottom w:val="single" w:sz="4" w:space="0" w:color="BFBFBF"/>
              <w:right w:val="single" w:sz="4" w:space="0" w:color="BFBFBF"/>
            </w:tcBorders>
            <w:noWrap/>
            <w:vAlign w:val="center"/>
            <w:hideMark/>
          </w:tcPr>
          <w:p w14:paraId="04CEEBFC" w14:textId="77777777" w:rsidR="00B911CF" w:rsidRDefault="00B911CF">
            <w:pPr>
              <w:jc w:val="center"/>
              <w:rPr>
                <w:rFonts w:cs="Arial"/>
                <w:color w:val="000000"/>
              </w:rPr>
            </w:pPr>
            <w:r>
              <w:rPr>
                <w:rFonts w:cs="Arial"/>
                <w:color w:val="000000"/>
              </w:rPr>
              <w:t> </w:t>
            </w:r>
          </w:p>
        </w:tc>
        <w:tc>
          <w:tcPr>
            <w:tcW w:w="1012" w:type="dxa"/>
            <w:tcBorders>
              <w:top w:val="single" w:sz="4" w:space="0" w:color="auto"/>
              <w:left w:val="nil"/>
              <w:bottom w:val="single" w:sz="4" w:space="0" w:color="BFBFBF"/>
              <w:right w:val="single" w:sz="4" w:space="0" w:color="BFBFBF"/>
            </w:tcBorders>
            <w:noWrap/>
            <w:vAlign w:val="center"/>
            <w:hideMark/>
          </w:tcPr>
          <w:p w14:paraId="113FC53E" w14:textId="77777777" w:rsidR="00B911CF" w:rsidRDefault="00B911CF">
            <w:pPr>
              <w:jc w:val="right"/>
              <w:rPr>
                <w:rFonts w:cs="Arial"/>
                <w:color w:val="000000"/>
              </w:rPr>
            </w:pPr>
            <w:r>
              <w:rPr>
                <w:rFonts w:cs="Arial"/>
                <w:color w:val="000000"/>
              </w:rPr>
              <w:t xml:space="preserve">123,202 </w:t>
            </w:r>
          </w:p>
        </w:tc>
        <w:tc>
          <w:tcPr>
            <w:tcW w:w="960" w:type="dxa"/>
            <w:tcBorders>
              <w:top w:val="single" w:sz="4" w:space="0" w:color="auto"/>
              <w:left w:val="nil"/>
              <w:bottom w:val="single" w:sz="4" w:space="0" w:color="BFBFBF"/>
              <w:right w:val="single" w:sz="4" w:space="0" w:color="BFBFBF"/>
            </w:tcBorders>
            <w:noWrap/>
            <w:vAlign w:val="center"/>
            <w:hideMark/>
          </w:tcPr>
          <w:p w14:paraId="567E92D2" w14:textId="77777777" w:rsidR="00B911CF" w:rsidRDefault="00B911CF">
            <w:pPr>
              <w:jc w:val="right"/>
              <w:rPr>
                <w:rFonts w:cs="Arial"/>
                <w:color w:val="000000"/>
              </w:rPr>
            </w:pPr>
            <w:r>
              <w:rPr>
                <w:rFonts w:cs="Arial"/>
                <w:color w:val="000000"/>
              </w:rPr>
              <w:t xml:space="preserve">3,407 </w:t>
            </w:r>
          </w:p>
        </w:tc>
        <w:tc>
          <w:tcPr>
            <w:tcW w:w="960" w:type="dxa"/>
            <w:tcBorders>
              <w:top w:val="single" w:sz="4" w:space="0" w:color="auto"/>
              <w:left w:val="nil"/>
              <w:bottom w:val="single" w:sz="4" w:space="0" w:color="BFBFBF"/>
              <w:right w:val="single" w:sz="4" w:space="0" w:color="BFBFBF"/>
            </w:tcBorders>
            <w:noWrap/>
            <w:vAlign w:val="center"/>
            <w:hideMark/>
          </w:tcPr>
          <w:p w14:paraId="50D35E13" w14:textId="77777777" w:rsidR="00B911CF" w:rsidRDefault="00B911CF">
            <w:pPr>
              <w:jc w:val="right"/>
              <w:rPr>
                <w:rFonts w:cs="Arial"/>
                <w:color w:val="000000"/>
              </w:rPr>
            </w:pPr>
            <w:r>
              <w:rPr>
                <w:rFonts w:cs="Arial"/>
                <w:color w:val="000000"/>
              </w:rPr>
              <w:t xml:space="preserve">-  </w:t>
            </w:r>
          </w:p>
        </w:tc>
        <w:tc>
          <w:tcPr>
            <w:tcW w:w="960" w:type="dxa"/>
            <w:tcBorders>
              <w:top w:val="single" w:sz="4" w:space="0" w:color="auto"/>
              <w:left w:val="nil"/>
              <w:bottom w:val="single" w:sz="4" w:space="0" w:color="BFBFBF"/>
              <w:right w:val="single" w:sz="4" w:space="0" w:color="BFBFBF"/>
            </w:tcBorders>
            <w:noWrap/>
            <w:vAlign w:val="center"/>
            <w:hideMark/>
          </w:tcPr>
          <w:p w14:paraId="57CCEC4C" w14:textId="77777777" w:rsidR="00B911CF" w:rsidRDefault="00B911CF">
            <w:pPr>
              <w:jc w:val="right"/>
              <w:rPr>
                <w:rFonts w:cs="Arial"/>
                <w:color w:val="000000"/>
              </w:rPr>
            </w:pPr>
            <w:r>
              <w:rPr>
                <w:rFonts w:cs="Arial"/>
                <w:color w:val="000000"/>
              </w:rPr>
              <w:t xml:space="preserve">-  </w:t>
            </w:r>
          </w:p>
        </w:tc>
        <w:tc>
          <w:tcPr>
            <w:tcW w:w="960" w:type="dxa"/>
            <w:tcBorders>
              <w:top w:val="single" w:sz="4" w:space="0" w:color="auto"/>
              <w:left w:val="nil"/>
              <w:bottom w:val="single" w:sz="4" w:space="0" w:color="BFBFBF"/>
              <w:right w:val="single" w:sz="4" w:space="0" w:color="BFBFBF"/>
            </w:tcBorders>
            <w:noWrap/>
            <w:vAlign w:val="center"/>
            <w:hideMark/>
          </w:tcPr>
          <w:p w14:paraId="6B9200F0" w14:textId="77777777" w:rsidR="00B911CF" w:rsidRDefault="00B911CF">
            <w:pPr>
              <w:jc w:val="right"/>
              <w:rPr>
                <w:rFonts w:cs="Arial"/>
                <w:color w:val="000000"/>
              </w:rPr>
            </w:pPr>
            <w:r>
              <w:rPr>
                <w:rFonts w:cs="Arial"/>
                <w:color w:val="000000"/>
              </w:rPr>
              <w:t xml:space="preserve">18,764 </w:t>
            </w:r>
          </w:p>
        </w:tc>
        <w:tc>
          <w:tcPr>
            <w:tcW w:w="1012" w:type="dxa"/>
            <w:tcBorders>
              <w:top w:val="single" w:sz="4" w:space="0" w:color="auto"/>
              <w:left w:val="nil"/>
              <w:bottom w:val="single" w:sz="4" w:space="0" w:color="BFBFBF"/>
              <w:right w:val="single" w:sz="4" w:space="0" w:color="auto"/>
            </w:tcBorders>
            <w:noWrap/>
            <w:vAlign w:val="center"/>
            <w:hideMark/>
          </w:tcPr>
          <w:p w14:paraId="5B3AF584" w14:textId="77777777" w:rsidR="00B911CF" w:rsidRDefault="00B911CF">
            <w:pPr>
              <w:jc w:val="right"/>
              <w:rPr>
                <w:rFonts w:cs="Arial"/>
                <w:color w:val="000000"/>
              </w:rPr>
            </w:pPr>
            <w:r>
              <w:rPr>
                <w:rFonts w:cs="Arial"/>
                <w:color w:val="000000"/>
              </w:rPr>
              <w:t xml:space="preserve">145,373 </w:t>
            </w:r>
          </w:p>
        </w:tc>
      </w:tr>
      <w:tr w:rsidR="00B911CF" w14:paraId="684DCCDF" w14:textId="77777777" w:rsidTr="00B911CF">
        <w:trPr>
          <w:trHeight w:val="300"/>
        </w:trPr>
        <w:tc>
          <w:tcPr>
            <w:tcW w:w="3254" w:type="dxa"/>
            <w:tcBorders>
              <w:top w:val="nil"/>
              <w:left w:val="single" w:sz="4" w:space="0" w:color="auto"/>
              <w:bottom w:val="single" w:sz="4" w:space="0" w:color="BFBFBF"/>
              <w:right w:val="single" w:sz="4" w:space="0" w:color="BFBFBF"/>
            </w:tcBorders>
            <w:vAlign w:val="center"/>
            <w:hideMark/>
          </w:tcPr>
          <w:p w14:paraId="428706DD" w14:textId="77777777" w:rsidR="00B911CF" w:rsidRDefault="00B911CF">
            <w:pPr>
              <w:jc w:val="left"/>
              <w:rPr>
                <w:rFonts w:cs="Arial"/>
                <w:color w:val="000000"/>
              </w:rPr>
            </w:pPr>
            <w:r>
              <w:rPr>
                <w:rFonts w:cs="Arial"/>
                <w:color w:val="000000"/>
              </w:rPr>
              <w:t>Interim Chief Executive</w:t>
            </w:r>
          </w:p>
        </w:tc>
        <w:tc>
          <w:tcPr>
            <w:tcW w:w="482" w:type="dxa"/>
            <w:tcBorders>
              <w:top w:val="nil"/>
              <w:left w:val="nil"/>
              <w:bottom w:val="single" w:sz="4" w:space="0" w:color="BFBFBF"/>
              <w:right w:val="single" w:sz="4" w:space="0" w:color="BFBFBF"/>
            </w:tcBorders>
            <w:noWrap/>
            <w:vAlign w:val="center"/>
            <w:hideMark/>
          </w:tcPr>
          <w:p w14:paraId="511F2F6A" w14:textId="77777777" w:rsidR="00B911CF" w:rsidRDefault="00B911CF">
            <w:pPr>
              <w:jc w:val="center"/>
              <w:rPr>
                <w:rFonts w:cs="Arial"/>
                <w:color w:val="000000"/>
              </w:rPr>
            </w:pPr>
            <w:r>
              <w:rPr>
                <w:rFonts w:cs="Arial"/>
                <w:color w:val="000000"/>
              </w:rPr>
              <w:t>A</w:t>
            </w:r>
          </w:p>
        </w:tc>
        <w:tc>
          <w:tcPr>
            <w:tcW w:w="1012" w:type="dxa"/>
            <w:tcBorders>
              <w:top w:val="nil"/>
              <w:left w:val="nil"/>
              <w:bottom w:val="single" w:sz="4" w:space="0" w:color="BFBFBF"/>
              <w:right w:val="single" w:sz="4" w:space="0" w:color="BFBFBF"/>
            </w:tcBorders>
            <w:noWrap/>
            <w:vAlign w:val="center"/>
            <w:hideMark/>
          </w:tcPr>
          <w:p w14:paraId="346ADB43" w14:textId="77777777" w:rsidR="00B911CF" w:rsidRDefault="00B911CF">
            <w:pPr>
              <w:jc w:val="right"/>
              <w:rPr>
                <w:rFonts w:cs="Arial"/>
                <w:color w:val="000000"/>
              </w:rPr>
            </w:pPr>
            <w:r>
              <w:rPr>
                <w:rFonts w:cs="Arial"/>
                <w:color w:val="000000"/>
              </w:rPr>
              <w:t xml:space="preserve">63,229 </w:t>
            </w:r>
          </w:p>
        </w:tc>
        <w:tc>
          <w:tcPr>
            <w:tcW w:w="960" w:type="dxa"/>
            <w:tcBorders>
              <w:top w:val="nil"/>
              <w:left w:val="nil"/>
              <w:bottom w:val="single" w:sz="4" w:space="0" w:color="BFBFBF"/>
              <w:right w:val="single" w:sz="4" w:space="0" w:color="BFBFBF"/>
            </w:tcBorders>
            <w:noWrap/>
            <w:vAlign w:val="center"/>
            <w:hideMark/>
          </w:tcPr>
          <w:p w14:paraId="026A6672" w14:textId="77777777" w:rsidR="00B911CF" w:rsidRDefault="00B911CF">
            <w:pPr>
              <w:jc w:val="right"/>
              <w:rPr>
                <w:rFonts w:cs="Arial"/>
                <w:color w:val="000000"/>
              </w:rPr>
            </w:pPr>
            <w:r>
              <w:rPr>
                <w:rFonts w:cs="Arial"/>
                <w:color w:val="000000"/>
              </w:rPr>
              <w:t xml:space="preserve">-  </w:t>
            </w:r>
          </w:p>
        </w:tc>
        <w:tc>
          <w:tcPr>
            <w:tcW w:w="960" w:type="dxa"/>
            <w:tcBorders>
              <w:top w:val="nil"/>
              <w:left w:val="nil"/>
              <w:bottom w:val="single" w:sz="4" w:space="0" w:color="BFBFBF"/>
              <w:right w:val="single" w:sz="4" w:space="0" w:color="BFBFBF"/>
            </w:tcBorders>
            <w:noWrap/>
            <w:vAlign w:val="center"/>
            <w:hideMark/>
          </w:tcPr>
          <w:p w14:paraId="46E8D35E" w14:textId="77777777" w:rsidR="00B911CF" w:rsidRDefault="00B911CF">
            <w:pPr>
              <w:jc w:val="right"/>
              <w:rPr>
                <w:rFonts w:cs="Arial"/>
                <w:color w:val="000000"/>
              </w:rPr>
            </w:pPr>
            <w:r>
              <w:rPr>
                <w:rFonts w:cs="Arial"/>
                <w:color w:val="000000"/>
              </w:rPr>
              <w:t xml:space="preserve">-  </w:t>
            </w:r>
          </w:p>
        </w:tc>
        <w:tc>
          <w:tcPr>
            <w:tcW w:w="960" w:type="dxa"/>
            <w:tcBorders>
              <w:top w:val="nil"/>
              <w:left w:val="nil"/>
              <w:bottom w:val="single" w:sz="4" w:space="0" w:color="BFBFBF"/>
              <w:right w:val="single" w:sz="4" w:space="0" w:color="BFBFBF"/>
            </w:tcBorders>
            <w:noWrap/>
            <w:vAlign w:val="center"/>
            <w:hideMark/>
          </w:tcPr>
          <w:p w14:paraId="6D01A094" w14:textId="77777777" w:rsidR="00B911CF" w:rsidRDefault="00B911CF">
            <w:pPr>
              <w:jc w:val="right"/>
              <w:rPr>
                <w:rFonts w:cs="Arial"/>
                <w:color w:val="000000"/>
              </w:rPr>
            </w:pPr>
            <w:r>
              <w:rPr>
                <w:rFonts w:cs="Arial"/>
                <w:color w:val="000000"/>
              </w:rPr>
              <w:t xml:space="preserve">-  </w:t>
            </w:r>
          </w:p>
        </w:tc>
        <w:tc>
          <w:tcPr>
            <w:tcW w:w="960" w:type="dxa"/>
            <w:tcBorders>
              <w:top w:val="nil"/>
              <w:left w:val="nil"/>
              <w:bottom w:val="single" w:sz="4" w:space="0" w:color="BFBFBF"/>
              <w:right w:val="single" w:sz="4" w:space="0" w:color="BFBFBF"/>
            </w:tcBorders>
            <w:noWrap/>
            <w:vAlign w:val="center"/>
            <w:hideMark/>
          </w:tcPr>
          <w:p w14:paraId="727A4007" w14:textId="77777777" w:rsidR="00B911CF" w:rsidRDefault="00B911CF">
            <w:pPr>
              <w:jc w:val="right"/>
              <w:rPr>
                <w:rFonts w:cs="Arial"/>
                <w:color w:val="000000"/>
              </w:rPr>
            </w:pPr>
            <w:r>
              <w:rPr>
                <w:rFonts w:cs="Arial"/>
                <w:color w:val="000000"/>
              </w:rPr>
              <w:t xml:space="preserve">-  </w:t>
            </w:r>
          </w:p>
        </w:tc>
        <w:tc>
          <w:tcPr>
            <w:tcW w:w="1012" w:type="dxa"/>
            <w:tcBorders>
              <w:top w:val="nil"/>
              <w:left w:val="nil"/>
              <w:bottom w:val="single" w:sz="4" w:space="0" w:color="BFBFBF"/>
              <w:right w:val="single" w:sz="4" w:space="0" w:color="auto"/>
            </w:tcBorders>
            <w:noWrap/>
            <w:vAlign w:val="center"/>
            <w:hideMark/>
          </w:tcPr>
          <w:p w14:paraId="56F74CE5" w14:textId="77777777" w:rsidR="00B911CF" w:rsidRDefault="00B911CF">
            <w:pPr>
              <w:jc w:val="right"/>
              <w:rPr>
                <w:rFonts w:cs="Arial"/>
                <w:color w:val="000000"/>
              </w:rPr>
            </w:pPr>
            <w:r>
              <w:rPr>
                <w:rFonts w:cs="Arial"/>
                <w:color w:val="000000"/>
              </w:rPr>
              <w:t xml:space="preserve">63,229 </w:t>
            </w:r>
          </w:p>
        </w:tc>
      </w:tr>
      <w:tr w:rsidR="00B911CF" w14:paraId="529590AA" w14:textId="77777777" w:rsidTr="00B911CF">
        <w:trPr>
          <w:trHeight w:val="510"/>
        </w:trPr>
        <w:tc>
          <w:tcPr>
            <w:tcW w:w="3254" w:type="dxa"/>
            <w:tcBorders>
              <w:top w:val="nil"/>
              <w:left w:val="single" w:sz="4" w:space="0" w:color="auto"/>
              <w:bottom w:val="single" w:sz="4" w:space="0" w:color="BFBFBF"/>
              <w:right w:val="single" w:sz="4" w:space="0" w:color="BFBFBF"/>
            </w:tcBorders>
            <w:vAlign w:val="center"/>
            <w:hideMark/>
          </w:tcPr>
          <w:p w14:paraId="0BB9857F" w14:textId="77777777" w:rsidR="00B911CF" w:rsidRDefault="00B911CF">
            <w:pPr>
              <w:jc w:val="left"/>
              <w:rPr>
                <w:rFonts w:cs="Arial"/>
                <w:color w:val="000000"/>
              </w:rPr>
            </w:pPr>
            <w:r>
              <w:rPr>
                <w:rFonts w:cs="Arial"/>
                <w:color w:val="000000"/>
              </w:rPr>
              <w:t>Deputy Chief Executive - Regeneration and Growth</w:t>
            </w:r>
          </w:p>
        </w:tc>
        <w:tc>
          <w:tcPr>
            <w:tcW w:w="482" w:type="dxa"/>
            <w:tcBorders>
              <w:top w:val="nil"/>
              <w:left w:val="nil"/>
              <w:bottom w:val="single" w:sz="4" w:space="0" w:color="BFBFBF"/>
              <w:right w:val="single" w:sz="4" w:space="0" w:color="BFBFBF"/>
            </w:tcBorders>
            <w:noWrap/>
            <w:vAlign w:val="center"/>
            <w:hideMark/>
          </w:tcPr>
          <w:p w14:paraId="6742FDA0" w14:textId="77777777" w:rsidR="00B911CF" w:rsidRDefault="00B911CF">
            <w:pPr>
              <w:jc w:val="center"/>
              <w:rPr>
                <w:rFonts w:cs="Arial"/>
                <w:color w:val="000000"/>
              </w:rPr>
            </w:pPr>
            <w:r>
              <w:rPr>
                <w:rFonts w:cs="Arial"/>
                <w:color w:val="000000"/>
              </w:rPr>
              <w:t>B</w:t>
            </w:r>
          </w:p>
        </w:tc>
        <w:tc>
          <w:tcPr>
            <w:tcW w:w="1012" w:type="dxa"/>
            <w:tcBorders>
              <w:top w:val="nil"/>
              <w:left w:val="nil"/>
              <w:bottom w:val="single" w:sz="4" w:space="0" w:color="BFBFBF"/>
              <w:right w:val="single" w:sz="4" w:space="0" w:color="BFBFBF"/>
            </w:tcBorders>
            <w:noWrap/>
            <w:vAlign w:val="center"/>
            <w:hideMark/>
          </w:tcPr>
          <w:p w14:paraId="1008CE93" w14:textId="77777777" w:rsidR="00B911CF" w:rsidRDefault="00B911CF">
            <w:pPr>
              <w:jc w:val="right"/>
              <w:rPr>
                <w:rFonts w:cs="Arial"/>
                <w:color w:val="000000"/>
              </w:rPr>
            </w:pPr>
            <w:r>
              <w:rPr>
                <w:rFonts w:cs="Arial"/>
                <w:color w:val="000000"/>
              </w:rPr>
              <w:t xml:space="preserve">25,750 </w:t>
            </w:r>
          </w:p>
        </w:tc>
        <w:tc>
          <w:tcPr>
            <w:tcW w:w="960" w:type="dxa"/>
            <w:tcBorders>
              <w:top w:val="nil"/>
              <w:left w:val="nil"/>
              <w:bottom w:val="single" w:sz="4" w:space="0" w:color="BFBFBF"/>
              <w:right w:val="single" w:sz="4" w:space="0" w:color="BFBFBF"/>
            </w:tcBorders>
            <w:noWrap/>
            <w:vAlign w:val="center"/>
            <w:hideMark/>
          </w:tcPr>
          <w:p w14:paraId="3CE9A303" w14:textId="77777777" w:rsidR="00B911CF" w:rsidRDefault="00B911CF">
            <w:pPr>
              <w:jc w:val="right"/>
              <w:rPr>
                <w:rFonts w:cs="Arial"/>
                <w:color w:val="000000"/>
              </w:rPr>
            </w:pPr>
            <w:r>
              <w:rPr>
                <w:rFonts w:cs="Arial"/>
                <w:color w:val="000000"/>
              </w:rPr>
              <w:t xml:space="preserve">310 </w:t>
            </w:r>
          </w:p>
        </w:tc>
        <w:tc>
          <w:tcPr>
            <w:tcW w:w="960" w:type="dxa"/>
            <w:tcBorders>
              <w:top w:val="nil"/>
              <w:left w:val="nil"/>
              <w:bottom w:val="single" w:sz="4" w:space="0" w:color="BFBFBF"/>
              <w:right w:val="single" w:sz="4" w:space="0" w:color="BFBFBF"/>
            </w:tcBorders>
            <w:noWrap/>
            <w:vAlign w:val="center"/>
            <w:hideMark/>
          </w:tcPr>
          <w:p w14:paraId="6A1F7A1C" w14:textId="77777777" w:rsidR="00B911CF" w:rsidRDefault="00B911CF">
            <w:pPr>
              <w:jc w:val="right"/>
              <w:rPr>
                <w:rFonts w:cs="Arial"/>
                <w:color w:val="000000"/>
              </w:rPr>
            </w:pPr>
            <w:r>
              <w:rPr>
                <w:rFonts w:cs="Arial"/>
                <w:color w:val="000000"/>
              </w:rPr>
              <w:t xml:space="preserve">36,125 </w:t>
            </w:r>
          </w:p>
        </w:tc>
        <w:tc>
          <w:tcPr>
            <w:tcW w:w="960" w:type="dxa"/>
            <w:tcBorders>
              <w:top w:val="nil"/>
              <w:left w:val="nil"/>
              <w:bottom w:val="single" w:sz="4" w:space="0" w:color="BFBFBF"/>
              <w:right w:val="single" w:sz="4" w:space="0" w:color="BFBFBF"/>
            </w:tcBorders>
            <w:noWrap/>
            <w:vAlign w:val="center"/>
            <w:hideMark/>
          </w:tcPr>
          <w:p w14:paraId="549C8413" w14:textId="77777777" w:rsidR="00B911CF" w:rsidRDefault="00B911CF">
            <w:pPr>
              <w:jc w:val="right"/>
              <w:rPr>
                <w:rFonts w:cs="Arial"/>
                <w:color w:val="000000"/>
              </w:rPr>
            </w:pPr>
            <w:r>
              <w:rPr>
                <w:rFonts w:cs="Arial"/>
                <w:color w:val="000000"/>
              </w:rPr>
              <w:t xml:space="preserve">-  </w:t>
            </w:r>
          </w:p>
        </w:tc>
        <w:tc>
          <w:tcPr>
            <w:tcW w:w="960" w:type="dxa"/>
            <w:tcBorders>
              <w:top w:val="nil"/>
              <w:left w:val="nil"/>
              <w:bottom w:val="single" w:sz="4" w:space="0" w:color="BFBFBF"/>
              <w:right w:val="single" w:sz="4" w:space="0" w:color="BFBFBF"/>
            </w:tcBorders>
            <w:noWrap/>
            <w:vAlign w:val="center"/>
            <w:hideMark/>
          </w:tcPr>
          <w:p w14:paraId="1383A911" w14:textId="77777777" w:rsidR="00B911CF" w:rsidRDefault="00B911CF">
            <w:pPr>
              <w:jc w:val="right"/>
              <w:rPr>
                <w:rFonts w:cs="Arial"/>
                <w:color w:val="000000"/>
              </w:rPr>
            </w:pPr>
            <w:r>
              <w:rPr>
                <w:rFonts w:cs="Arial"/>
                <w:color w:val="000000"/>
              </w:rPr>
              <w:t xml:space="preserve">3,230 </w:t>
            </w:r>
          </w:p>
        </w:tc>
        <w:tc>
          <w:tcPr>
            <w:tcW w:w="1012" w:type="dxa"/>
            <w:tcBorders>
              <w:top w:val="nil"/>
              <w:left w:val="nil"/>
              <w:bottom w:val="single" w:sz="4" w:space="0" w:color="BFBFBF"/>
              <w:right w:val="single" w:sz="4" w:space="0" w:color="auto"/>
            </w:tcBorders>
            <w:noWrap/>
            <w:vAlign w:val="center"/>
            <w:hideMark/>
          </w:tcPr>
          <w:p w14:paraId="3CF9B4B0" w14:textId="77777777" w:rsidR="00B911CF" w:rsidRDefault="00B911CF">
            <w:pPr>
              <w:jc w:val="right"/>
              <w:rPr>
                <w:rFonts w:cs="Arial"/>
                <w:color w:val="000000"/>
              </w:rPr>
            </w:pPr>
            <w:r>
              <w:rPr>
                <w:rFonts w:cs="Arial"/>
                <w:color w:val="000000"/>
              </w:rPr>
              <w:t xml:space="preserve">65,415 </w:t>
            </w:r>
          </w:p>
        </w:tc>
      </w:tr>
      <w:tr w:rsidR="00B911CF" w14:paraId="30F979BE" w14:textId="77777777" w:rsidTr="00B911CF">
        <w:trPr>
          <w:trHeight w:val="510"/>
        </w:trPr>
        <w:tc>
          <w:tcPr>
            <w:tcW w:w="3254" w:type="dxa"/>
            <w:tcBorders>
              <w:top w:val="nil"/>
              <w:left w:val="single" w:sz="4" w:space="0" w:color="auto"/>
              <w:bottom w:val="single" w:sz="4" w:space="0" w:color="BFBFBF"/>
              <w:right w:val="single" w:sz="4" w:space="0" w:color="BFBFBF"/>
            </w:tcBorders>
            <w:vAlign w:val="center"/>
            <w:hideMark/>
          </w:tcPr>
          <w:p w14:paraId="4EDBA399" w14:textId="77777777" w:rsidR="00B911CF" w:rsidRDefault="00B911CF">
            <w:pPr>
              <w:jc w:val="left"/>
              <w:rPr>
                <w:rFonts w:cs="Arial"/>
                <w:color w:val="000000"/>
              </w:rPr>
            </w:pPr>
            <w:r>
              <w:rPr>
                <w:rFonts w:cs="Arial"/>
                <w:color w:val="000000"/>
              </w:rPr>
              <w:t>Deputy Chief Executive - Resources and Transformation</w:t>
            </w:r>
          </w:p>
        </w:tc>
        <w:tc>
          <w:tcPr>
            <w:tcW w:w="482" w:type="dxa"/>
            <w:tcBorders>
              <w:top w:val="nil"/>
              <w:left w:val="nil"/>
              <w:bottom w:val="single" w:sz="4" w:space="0" w:color="BFBFBF"/>
              <w:right w:val="single" w:sz="4" w:space="0" w:color="BFBFBF"/>
            </w:tcBorders>
            <w:noWrap/>
            <w:vAlign w:val="center"/>
            <w:hideMark/>
          </w:tcPr>
          <w:p w14:paraId="5B1FF641" w14:textId="77777777" w:rsidR="00B911CF" w:rsidRDefault="00B911CF">
            <w:pPr>
              <w:jc w:val="center"/>
              <w:rPr>
                <w:rFonts w:cs="Arial"/>
                <w:color w:val="000000"/>
              </w:rPr>
            </w:pPr>
            <w:r>
              <w:rPr>
                <w:rFonts w:cs="Arial"/>
                <w:color w:val="000000"/>
              </w:rPr>
              <w:t>B</w:t>
            </w:r>
          </w:p>
        </w:tc>
        <w:tc>
          <w:tcPr>
            <w:tcW w:w="1012" w:type="dxa"/>
            <w:tcBorders>
              <w:top w:val="nil"/>
              <w:left w:val="nil"/>
              <w:bottom w:val="single" w:sz="4" w:space="0" w:color="BFBFBF"/>
              <w:right w:val="single" w:sz="4" w:space="0" w:color="BFBFBF"/>
            </w:tcBorders>
            <w:noWrap/>
            <w:vAlign w:val="center"/>
            <w:hideMark/>
          </w:tcPr>
          <w:p w14:paraId="7436F500" w14:textId="77777777" w:rsidR="00B911CF" w:rsidRDefault="00B911CF">
            <w:pPr>
              <w:jc w:val="right"/>
              <w:rPr>
                <w:rFonts w:cs="Arial"/>
                <w:color w:val="000000"/>
              </w:rPr>
            </w:pPr>
            <w:r>
              <w:rPr>
                <w:rFonts w:cs="Arial"/>
                <w:color w:val="000000"/>
              </w:rPr>
              <w:t xml:space="preserve">25,098 </w:t>
            </w:r>
          </w:p>
        </w:tc>
        <w:tc>
          <w:tcPr>
            <w:tcW w:w="960" w:type="dxa"/>
            <w:tcBorders>
              <w:top w:val="nil"/>
              <w:left w:val="nil"/>
              <w:bottom w:val="single" w:sz="4" w:space="0" w:color="BFBFBF"/>
              <w:right w:val="single" w:sz="4" w:space="0" w:color="BFBFBF"/>
            </w:tcBorders>
            <w:noWrap/>
            <w:vAlign w:val="center"/>
            <w:hideMark/>
          </w:tcPr>
          <w:p w14:paraId="7B61F596" w14:textId="77777777" w:rsidR="00B911CF" w:rsidRDefault="00B911CF">
            <w:pPr>
              <w:jc w:val="right"/>
              <w:rPr>
                <w:rFonts w:cs="Arial"/>
                <w:color w:val="000000"/>
              </w:rPr>
            </w:pPr>
            <w:r>
              <w:rPr>
                <w:rFonts w:cs="Arial"/>
                <w:color w:val="000000"/>
              </w:rPr>
              <w:t xml:space="preserve">310 </w:t>
            </w:r>
          </w:p>
        </w:tc>
        <w:tc>
          <w:tcPr>
            <w:tcW w:w="960" w:type="dxa"/>
            <w:tcBorders>
              <w:top w:val="nil"/>
              <w:left w:val="nil"/>
              <w:bottom w:val="single" w:sz="4" w:space="0" w:color="BFBFBF"/>
              <w:right w:val="single" w:sz="4" w:space="0" w:color="BFBFBF"/>
            </w:tcBorders>
            <w:noWrap/>
            <w:vAlign w:val="center"/>
            <w:hideMark/>
          </w:tcPr>
          <w:p w14:paraId="78176D9B" w14:textId="77777777" w:rsidR="00B911CF" w:rsidRDefault="00B911CF">
            <w:pPr>
              <w:jc w:val="right"/>
              <w:rPr>
                <w:rFonts w:cs="Arial"/>
                <w:color w:val="000000"/>
              </w:rPr>
            </w:pPr>
            <w:r>
              <w:rPr>
                <w:rFonts w:cs="Arial"/>
                <w:color w:val="000000"/>
              </w:rPr>
              <w:t xml:space="preserve">36,125 </w:t>
            </w:r>
          </w:p>
        </w:tc>
        <w:tc>
          <w:tcPr>
            <w:tcW w:w="960" w:type="dxa"/>
            <w:tcBorders>
              <w:top w:val="nil"/>
              <w:left w:val="nil"/>
              <w:bottom w:val="single" w:sz="4" w:space="0" w:color="BFBFBF"/>
              <w:right w:val="single" w:sz="4" w:space="0" w:color="BFBFBF"/>
            </w:tcBorders>
            <w:noWrap/>
            <w:vAlign w:val="center"/>
            <w:hideMark/>
          </w:tcPr>
          <w:p w14:paraId="35D4C5BA" w14:textId="77777777" w:rsidR="00B911CF" w:rsidRDefault="00B911CF">
            <w:pPr>
              <w:jc w:val="right"/>
              <w:rPr>
                <w:rFonts w:cs="Arial"/>
                <w:color w:val="000000"/>
              </w:rPr>
            </w:pPr>
            <w:r>
              <w:rPr>
                <w:rFonts w:cs="Arial"/>
                <w:color w:val="000000"/>
              </w:rPr>
              <w:t xml:space="preserve">-  </w:t>
            </w:r>
          </w:p>
        </w:tc>
        <w:tc>
          <w:tcPr>
            <w:tcW w:w="960" w:type="dxa"/>
            <w:tcBorders>
              <w:top w:val="nil"/>
              <w:left w:val="nil"/>
              <w:bottom w:val="single" w:sz="4" w:space="0" w:color="BFBFBF"/>
              <w:right w:val="single" w:sz="4" w:space="0" w:color="BFBFBF"/>
            </w:tcBorders>
            <w:noWrap/>
            <w:vAlign w:val="center"/>
            <w:hideMark/>
          </w:tcPr>
          <w:p w14:paraId="3EB23222" w14:textId="77777777" w:rsidR="00B911CF" w:rsidRDefault="00B911CF">
            <w:pPr>
              <w:jc w:val="right"/>
              <w:rPr>
                <w:rFonts w:cs="Arial"/>
                <w:color w:val="000000"/>
              </w:rPr>
            </w:pPr>
            <w:r>
              <w:rPr>
                <w:rFonts w:cs="Arial"/>
                <w:color w:val="000000"/>
              </w:rPr>
              <w:t xml:space="preserve">3,230 </w:t>
            </w:r>
          </w:p>
        </w:tc>
        <w:tc>
          <w:tcPr>
            <w:tcW w:w="1012" w:type="dxa"/>
            <w:tcBorders>
              <w:top w:val="nil"/>
              <w:left w:val="nil"/>
              <w:bottom w:val="single" w:sz="4" w:space="0" w:color="BFBFBF"/>
              <w:right w:val="single" w:sz="4" w:space="0" w:color="auto"/>
            </w:tcBorders>
            <w:noWrap/>
            <w:vAlign w:val="center"/>
            <w:hideMark/>
          </w:tcPr>
          <w:p w14:paraId="553A19B8" w14:textId="77777777" w:rsidR="00B911CF" w:rsidRDefault="00B911CF">
            <w:pPr>
              <w:jc w:val="right"/>
              <w:rPr>
                <w:rFonts w:cs="Arial"/>
                <w:color w:val="000000"/>
              </w:rPr>
            </w:pPr>
            <w:r>
              <w:rPr>
                <w:rFonts w:cs="Arial"/>
                <w:color w:val="000000"/>
              </w:rPr>
              <w:t xml:space="preserve">64,763 </w:t>
            </w:r>
          </w:p>
        </w:tc>
      </w:tr>
      <w:tr w:rsidR="00B911CF" w14:paraId="254CC28A" w14:textId="77777777" w:rsidTr="00B911CF">
        <w:trPr>
          <w:trHeight w:val="510"/>
        </w:trPr>
        <w:tc>
          <w:tcPr>
            <w:tcW w:w="3254" w:type="dxa"/>
            <w:tcBorders>
              <w:top w:val="nil"/>
              <w:left w:val="single" w:sz="4" w:space="0" w:color="auto"/>
              <w:bottom w:val="single" w:sz="4" w:space="0" w:color="BFBFBF"/>
              <w:right w:val="single" w:sz="4" w:space="0" w:color="BFBFBF"/>
            </w:tcBorders>
            <w:vAlign w:val="center"/>
            <w:hideMark/>
          </w:tcPr>
          <w:p w14:paraId="6DC035F4" w14:textId="77777777" w:rsidR="00B911CF" w:rsidRDefault="00B911CF">
            <w:pPr>
              <w:jc w:val="left"/>
              <w:rPr>
                <w:rFonts w:cs="Arial"/>
                <w:color w:val="000000"/>
              </w:rPr>
            </w:pPr>
            <w:r>
              <w:rPr>
                <w:rFonts w:cs="Arial"/>
                <w:color w:val="000000"/>
              </w:rPr>
              <w:t>Director of Neighbourhoods and Development</w:t>
            </w:r>
          </w:p>
        </w:tc>
        <w:tc>
          <w:tcPr>
            <w:tcW w:w="482" w:type="dxa"/>
            <w:tcBorders>
              <w:top w:val="nil"/>
              <w:left w:val="nil"/>
              <w:bottom w:val="single" w:sz="4" w:space="0" w:color="BFBFBF"/>
              <w:right w:val="single" w:sz="4" w:space="0" w:color="BFBFBF"/>
            </w:tcBorders>
            <w:noWrap/>
            <w:vAlign w:val="center"/>
            <w:hideMark/>
          </w:tcPr>
          <w:p w14:paraId="01E2B9DF" w14:textId="77777777" w:rsidR="00B911CF" w:rsidRDefault="00B911CF">
            <w:pPr>
              <w:jc w:val="center"/>
              <w:rPr>
                <w:rFonts w:cs="Arial"/>
                <w:color w:val="000000"/>
              </w:rPr>
            </w:pPr>
            <w:r>
              <w:rPr>
                <w:rFonts w:cs="Arial"/>
                <w:color w:val="000000"/>
              </w:rPr>
              <w:t> </w:t>
            </w:r>
          </w:p>
        </w:tc>
        <w:tc>
          <w:tcPr>
            <w:tcW w:w="1012" w:type="dxa"/>
            <w:tcBorders>
              <w:top w:val="nil"/>
              <w:left w:val="nil"/>
              <w:bottom w:val="single" w:sz="4" w:space="0" w:color="BFBFBF"/>
              <w:right w:val="single" w:sz="4" w:space="0" w:color="BFBFBF"/>
            </w:tcBorders>
            <w:noWrap/>
            <w:vAlign w:val="center"/>
            <w:hideMark/>
          </w:tcPr>
          <w:p w14:paraId="72014699" w14:textId="77777777" w:rsidR="00B911CF" w:rsidRDefault="00B911CF">
            <w:pPr>
              <w:jc w:val="right"/>
              <w:rPr>
                <w:rFonts w:cs="Arial"/>
                <w:color w:val="000000"/>
              </w:rPr>
            </w:pPr>
            <w:r>
              <w:rPr>
                <w:rFonts w:cs="Arial"/>
                <w:color w:val="000000"/>
              </w:rPr>
              <w:t xml:space="preserve">63,361 </w:t>
            </w:r>
          </w:p>
        </w:tc>
        <w:tc>
          <w:tcPr>
            <w:tcW w:w="960" w:type="dxa"/>
            <w:tcBorders>
              <w:top w:val="nil"/>
              <w:left w:val="nil"/>
              <w:bottom w:val="single" w:sz="4" w:space="0" w:color="BFBFBF"/>
              <w:right w:val="single" w:sz="4" w:space="0" w:color="BFBFBF"/>
            </w:tcBorders>
            <w:noWrap/>
            <w:vAlign w:val="center"/>
            <w:hideMark/>
          </w:tcPr>
          <w:p w14:paraId="35FE4A54" w14:textId="77777777" w:rsidR="00B911CF" w:rsidRDefault="00B911CF">
            <w:pPr>
              <w:jc w:val="right"/>
              <w:rPr>
                <w:rFonts w:cs="Arial"/>
                <w:color w:val="000000"/>
              </w:rPr>
            </w:pPr>
            <w:r>
              <w:rPr>
                <w:rFonts w:cs="Arial"/>
                <w:color w:val="000000"/>
              </w:rPr>
              <w:t xml:space="preserve">1,239 </w:t>
            </w:r>
          </w:p>
        </w:tc>
        <w:tc>
          <w:tcPr>
            <w:tcW w:w="960" w:type="dxa"/>
            <w:tcBorders>
              <w:top w:val="nil"/>
              <w:left w:val="nil"/>
              <w:bottom w:val="single" w:sz="4" w:space="0" w:color="BFBFBF"/>
              <w:right w:val="single" w:sz="4" w:space="0" w:color="BFBFBF"/>
            </w:tcBorders>
            <w:noWrap/>
            <w:vAlign w:val="center"/>
            <w:hideMark/>
          </w:tcPr>
          <w:p w14:paraId="777654E6" w14:textId="77777777" w:rsidR="00B911CF" w:rsidRDefault="00B911CF">
            <w:pPr>
              <w:jc w:val="right"/>
              <w:rPr>
                <w:rFonts w:cs="Arial"/>
                <w:color w:val="000000"/>
              </w:rPr>
            </w:pPr>
            <w:r>
              <w:rPr>
                <w:rFonts w:cs="Arial"/>
                <w:color w:val="000000"/>
              </w:rPr>
              <w:t xml:space="preserve">-  </w:t>
            </w:r>
          </w:p>
        </w:tc>
        <w:tc>
          <w:tcPr>
            <w:tcW w:w="960" w:type="dxa"/>
            <w:tcBorders>
              <w:top w:val="nil"/>
              <w:left w:val="nil"/>
              <w:bottom w:val="single" w:sz="4" w:space="0" w:color="BFBFBF"/>
              <w:right w:val="single" w:sz="4" w:space="0" w:color="BFBFBF"/>
            </w:tcBorders>
            <w:noWrap/>
            <w:vAlign w:val="center"/>
            <w:hideMark/>
          </w:tcPr>
          <w:p w14:paraId="11A3FA56" w14:textId="77777777" w:rsidR="00B911CF" w:rsidRDefault="00B911CF">
            <w:pPr>
              <w:jc w:val="right"/>
              <w:rPr>
                <w:rFonts w:cs="Arial"/>
                <w:color w:val="000000"/>
              </w:rPr>
            </w:pPr>
            <w:r>
              <w:rPr>
                <w:rFonts w:cs="Arial"/>
                <w:color w:val="000000"/>
              </w:rPr>
              <w:t xml:space="preserve">-  </w:t>
            </w:r>
          </w:p>
        </w:tc>
        <w:tc>
          <w:tcPr>
            <w:tcW w:w="960" w:type="dxa"/>
            <w:tcBorders>
              <w:top w:val="nil"/>
              <w:left w:val="nil"/>
              <w:bottom w:val="single" w:sz="4" w:space="0" w:color="BFBFBF"/>
              <w:right w:val="single" w:sz="4" w:space="0" w:color="BFBFBF"/>
            </w:tcBorders>
            <w:noWrap/>
            <w:vAlign w:val="center"/>
            <w:hideMark/>
          </w:tcPr>
          <w:p w14:paraId="5AC7759B" w14:textId="77777777" w:rsidR="00B911CF" w:rsidRDefault="00B911CF">
            <w:pPr>
              <w:jc w:val="right"/>
              <w:rPr>
                <w:rFonts w:cs="Arial"/>
                <w:color w:val="000000"/>
              </w:rPr>
            </w:pPr>
            <w:r>
              <w:rPr>
                <w:rFonts w:cs="Arial"/>
                <w:color w:val="000000"/>
              </w:rPr>
              <w:t xml:space="preserve">9,441 </w:t>
            </w:r>
          </w:p>
        </w:tc>
        <w:tc>
          <w:tcPr>
            <w:tcW w:w="1012" w:type="dxa"/>
            <w:tcBorders>
              <w:top w:val="nil"/>
              <w:left w:val="nil"/>
              <w:bottom w:val="single" w:sz="4" w:space="0" w:color="BFBFBF"/>
              <w:right w:val="single" w:sz="4" w:space="0" w:color="auto"/>
            </w:tcBorders>
            <w:noWrap/>
            <w:vAlign w:val="center"/>
            <w:hideMark/>
          </w:tcPr>
          <w:p w14:paraId="30F79646" w14:textId="77777777" w:rsidR="00B911CF" w:rsidRDefault="00B911CF">
            <w:pPr>
              <w:jc w:val="right"/>
              <w:rPr>
                <w:rFonts w:cs="Arial"/>
                <w:color w:val="000000"/>
              </w:rPr>
            </w:pPr>
            <w:r>
              <w:rPr>
                <w:rFonts w:cs="Arial"/>
                <w:color w:val="000000"/>
              </w:rPr>
              <w:t xml:space="preserve">74,041 </w:t>
            </w:r>
          </w:p>
        </w:tc>
      </w:tr>
      <w:tr w:rsidR="00B911CF" w14:paraId="7954C083" w14:textId="77777777" w:rsidTr="00B911CF">
        <w:trPr>
          <w:trHeight w:val="300"/>
        </w:trPr>
        <w:tc>
          <w:tcPr>
            <w:tcW w:w="3254" w:type="dxa"/>
            <w:tcBorders>
              <w:top w:val="nil"/>
              <w:left w:val="single" w:sz="4" w:space="0" w:color="auto"/>
              <w:bottom w:val="single" w:sz="4" w:space="0" w:color="BFBFBF"/>
              <w:right w:val="single" w:sz="4" w:space="0" w:color="BFBFBF"/>
            </w:tcBorders>
            <w:vAlign w:val="center"/>
            <w:hideMark/>
          </w:tcPr>
          <w:p w14:paraId="0CCFEA13" w14:textId="77777777" w:rsidR="00B911CF" w:rsidRDefault="00B911CF">
            <w:pPr>
              <w:jc w:val="left"/>
              <w:rPr>
                <w:rFonts w:cs="Arial"/>
                <w:color w:val="000000"/>
              </w:rPr>
            </w:pPr>
            <w:r>
              <w:rPr>
                <w:rFonts w:cs="Arial"/>
                <w:color w:val="000000"/>
              </w:rPr>
              <w:t>Director of Planning and Property</w:t>
            </w:r>
          </w:p>
        </w:tc>
        <w:tc>
          <w:tcPr>
            <w:tcW w:w="482" w:type="dxa"/>
            <w:tcBorders>
              <w:top w:val="nil"/>
              <w:left w:val="nil"/>
              <w:bottom w:val="single" w:sz="4" w:space="0" w:color="BFBFBF"/>
              <w:right w:val="single" w:sz="4" w:space="0" w:color="BFBFBF"/>
            </w:tcBorders>
            <w:noWrap/>
            <w:vAlign w:val="center"/>
            <w:hideMark/>
          </w:tcPr>
          <w:p w14:paraId="1F538863" w14:textId="77777777" w:rsidR="00B911CF" w:rsidRDefault="00B911CF">
            <w:pPr>
              <w:jc w:val="center"/>
              <w:rPr>
                <w:rFonts w:cs="Arial"/>
                <w:color w:val="000000"/>
              </w:rPr>
            </w:pPr>
            <w:r>
              <w:rPr>
                <w:rFonts w:cs="Arial"/>
                <w:color w:val="000000"/>
              </w:rPr>
              <w:t> </w:t>
            </w:r>
          </w:p>
        </w:tc>
        <w:tc>
          <w:tcPr>
            <w:tcW w:w="1012" w:type="dxa"/>
            <w:tcBorders>
              <w:top w:val="nil"/>
              <w:left w:val="nil"/>
              <w:bottom w:val="single" w:sz="4" w:space="0" w:color="BFBFBF"/>
              <w:right w:val="single" w:sz="4" w:space="0" w:color="BFBFBF"/>
            </w:tcBorders>
            <w:noWrap/>
            <w:vAlign w:val="center"/>
            <w:hideMark/>
          </w:tcPr>
          <w:p w14:paraId="62A3FB41" w14:textId="77777777" w:rsidR="00B911CF" w:rsidRDefault="00B911CF">
            <w:pPr>
              <w:jc w:val="right"/>
              <w:rPr>
                <w:rFonts w:cs="Arial"/>
                <w:color w:val="000000"/>
              </w:rPr>
            </w:pPr>
            <w:r>
              <w:rPr>
                <w:rFonts w:cs="Arial"/>
                <w:color w:val="000000"/>
              </w:rPr>
              <w:t xml:space="preserve">63,361 </w:t>
            </w:r>
          </w:p>
        </w:tc>
        <w:tc>
          <w:tcPr>
            <w:tcW w:w="960" w:type="dxa"/>
            <w:tcBorders>
              <w:top w:val="nil"/>
              <w:left w:val="nil"/>
              <w:bottom w:val="single" w:sz="4" w:space="0" w:color="BFBFBF"/>
              <w:right w:val="single" w:sz="4" w:space="0" w:color="BFBFBF"/>
            </w:tcBorders>
            <w:noWrap/>
            <w:vAlign w:val="center"/>
            <w:hideMark/>
          </w:tcPr>
          <w:p w14:paraId="47EADCC8" w14:textId="77777777" w:rsidR="00B911CF" w:rsidRDefault="00B911CF">
            <w:pPr>
              <w:jc w:val="right"/>
              <w:rPr>
                <w:rFonts w:cs="Arial"/>
                <w:color w:val="000000"/>
              </w:rPr>
            </w:pPr>
            <w:r>
              <w:rPr>
                <w:rFonts w:cs="Arial"/>
                <w:color w:val="000000"/>
              </w:rPr>
              <w:t xml:space="preserve">1,239 </w:t>
            </w:r>
          </w:p>
        </w:tc>
        <w:tc>
          <w:tcPr>
            <w:tcW w:w="960" w:type="dxa"/>
            <w:tcBorders>
              <w:top w:val="nil"/>
              <w:left w:val="nil"/>
              <w:bottom w:val="single" w:sz="4" w:space="0" w:color="BFBFBF"/>
              <w:right w:val="single" w:sz="4" w:space="0" w:color="BFBFBF"/>
            </w:tcBorders>
            <w:noWrap/>
            <w:vAlign w:val="center"/>
            <w:hideMark/>
          </w:tcPr>
          <w:p w14:paraId="1824BB47" w14:textId="77777777" w:rsidR="00B911CF" w:rsidRDefault="00B911CF">
            <w:pPr>
              <w:jc w:val="right"/>
              <w:rPr>
                <w:rFonts w:cs="Arial"/>
                <w:color w:val="000000"/>
              </w:rPr>
            </w:pPr>
            <w:r>
              <w:rPr>
                <w:rFonts w:cs="Arial"/>
                <w:color w:val="000000"/>
              </w:rPr>
              <w:t xml:space="preserve">-  </w:t>
            </w:r>
          </w:p>
        </w:tc>
        <w:tc>
          <w:tcPr>
            <w:tcW w:w="960" w:type="dxa"/>
            <w:tcBorders>
              <w:top w:val="nil"/>
              <w:left w:val="nil"/>
              <w:bottom w:val="single" w:sz="4" w:space="0" w:color="BFBFBF"/>
              <w:right w:val="single" w:sz="4" w:space="0" w:color="BFBFBF"/>
            </w:tcBorders>
            <w:noWrap/>
            <w:vAlign w:val="center"/>
            <w:hideMark/>
          </w:tcPr>
          <w:p w14:paraId="5431455E" w14:textId="77777777" w:rsidR="00B911CF" w:rsidRDefault="00B911CF">
            <w:pPr>
              <w:jc w:val="right"/>
              <w:rPr>
                <w:rFonts w:cs="Arial"/>
                <w:color w:val="000000"/>
              </w:rPr>
            </w:pPr>
            <w:r>
              <w:rPr>
                <w:rFonts w:cs="Arial"/>
                <w:color w:val="000000"/>
              </w:rPr>
              <w:t xml:space="preserve">-  </w:t>
            </w:r>
          </w:p>
        </w:tc>
        <w:tc>
          <w:tcPr>
            <w:tcW w:w="960" w:type="dxa"/>
            <w:tcBorders>
              <w:top w:val="nil"/>
              <w:left w:val="nil"/>
              <w:bottom w:val="single" w:sz="4" w:space="0" w:color="BFBFBF"/>
              <w:right w:val="single" w:sz="4" w:space="0" w:color="BFBFBF"/>
            </w:tcBorders>
            <w:noWrap/>
            <w:vAlign w:val="center"/>
            <w:hideMark/>
          </w:tcPr>
          <w:p w14:paraId="013F184B" w14:textId="77777777" w:rsidR="00B911CF" w:rsidRDefault="00B911CF">
            <w:pPr>
              <w:jc w:val="right"/>
              <w:rPr>
                <w:rFonts w:cs="Arial"/>
                <w:color w:val="000000"/>
              </w:rPr>
            </w:pPr>
            <w:r>
              <w:rPr>
                <w:rFonts w:cs="Arial"/>
                <w:color w:val="000000"/>
              </w:rPr>
              <w:t xml:space="preserve">9,441 </w:t>
            </w:r>
          </w:p>
        </w:tc>
        <w:tc>
          <w:tcPr>
            <w:tcW w:w="1012" w:type="dxa"/>
            <w:tcBorders>
              <w:top w:val="nil"/>
              <w:left w:val="nil"/>
              <w:bottom w:val="single" w:sz="4" w:space="0" w:color="BFBFBF"/>
              <w:right w:val="single" w:sz="4" w:space="0" w:color="auto"/>
            </w:tcBorders>
            <w:noWrap/>
            <w:vAlign w:val="center"/>
            <w:hideMark/>
          </w:tcPr>
          <w:p w14:paraId="6C93B35C" w14:textId="77777777" w:rsidR="00B911CF" w:rsidRDefault="00B911CF">
            <w:pPr>
              <w:jc w:val="right"/>
              <w:rPr>
                <w:rFonts w:cs="Arial"/>
                <w:color w:val="000000"/>
              </w:rPr>
            </w:pPr>
            <w:r>
              <w:rPr>
                <w:rFonts w:cs="Arial"/>
                <w:color w:val="000000"/>
              </w:rPr>
              <w:t xml:space="preserve">74,041 </w:t>
            </w:r>
          </w:p>
        </w:tc>
      </w:tr>
      <w:tr w:rsidR="00B911CF" w14:paraId="334139BF" w14:textId="77777777" w:rsidTr="00B911CF">
        <w:trPr>
          <w:trHeight w:val="510"/>
        </w:trPr>
        <w:tc>
          <w:tcPr>
            <w:tcW w:w="3254" w:type="dxa"/>
            <w:tcBorders>
              <w:top w:val="nil"/>
              <w:left w:val="single" w:sz="4" w:space="0" w:color="auto"/>
              <w:bottom w:val="single" w:sz="4" w:space="0" w:color="BFBFBF"/>
              <w:right w:val="single" w:sz="4" w:space="0" w:color="BFBFBF"/>
            </w:tcBorders>
            <w:vAlign w:val="center"/>
            <w:hideMark/>
          </w:tcPr>
          <w:p w14:paraId="436A6324" w14:textId="77777777" w:rsidR="00B911CF" w:rsidRDefault="00B911CF">
            <w:pPr>
              <w:jc w:val="left"/>
              <w:rPr>
                <w:rFonts w:cs="Arial"/>
                <w:color w:val="000000"/>
              </w:rPr>
            </w:pPr>
            <w:r>
              <w:rPr>
                <w:rFonts w:cs="Arial"/>
                <w:color w:val="000000"/>
              </w:rPr>
              <w:t>Director of Customer Experience and Operations</w:t>
            </w:r>
          </w:p>
        </w:tc>
        <w:tc>
          <w:tcPr>
            <w:tcW w:w="482" w:type="dxa"/>
            <w:tcBorders>
              <w:top w:val="nil"/>
              <w:left w:val="nil"/>
              <w:bottom w:val="single" w:sz="4" w:space="0" w:color="BFBFBF"/>
              <w:right w:val="single" w:sz="4" w:space="0" w:color="BFBFBF"/>
            </w:tcBorders>
            <w:noWrap/>
            <w:vAlign w:val="center"/>
            <w:hideMark/>
          </w:tcPr>
          <w:p w14:paraId="636A382A" w14:textId="77777777" w:rsidR="00B911CF" w:rsidRDefault="00B911CF">
            <w:pPr>
              <w:jc w:val="center"/>
              <w:rPr>
                <w:rFonts w:cs="Arial"/>
                <w:color w:val="000000"/>
              </w:rPr>
            </w:pPr>
            <w:r>
              <w:rPr>
                <w:rFonts w:cs="Arial"/>
                <w:color w:val="000000"/>
              </w:rPr>
              <w:t> </w:t>
            </w:r>
          </w:p>
        </w:tc>
        <w:tc>
          <w:tcPr>
            <w:tcW w:w="1012" w:type="dxa"/>
            <w:tcBorders>
              <w:top w:val="nil"/>
              <w:left w:val="nil"/>
              <w:bottom w:val="single" w:sz="4" w:space="0" w:color="BFBFBF"/>
              <w:right w:val="single" w:sz="4" w:space="0" w:color="BFBFBF"/>
            </w:tcBorders>
            <w:noWrap/>
            <w:vAlign w:val="center"/>
            <w:hideMark/>
          </w:tcPr>
          <w:p w14:paraId="7CF98629" w14:textId="77777777" w:rsidR="00B911CF" w:rsidRDefault="00B911CF">
            <w:pPr>
              <w:jc w:val="right"/>
              <w:rPr>
                <w:rFonts w:cs="Arial"/>
                <w:color w:val="000000"/>
              </w:rPr>
            </w:pPr>
            <w:r>
              <w:rPr>
                <w:rFonts w:cs="Arial"/>
                <w:color w:val="000000"/>
              </w:rPr>
              <w:t xml:space="preserve">66,300 </w:t>
            </w:r>
          </w:p>
        </w:tc>
        <w:tc>
          <w:tcPr>
            <w:tcW w:w="960" w:type="dxa"/>
            <w:tcBorders>
              <w:top w:val="nil"/>
              <w:left w:val="nil"/>
              <w:bottom w:val="single" w:sz="4" w:space="0" w:color="BFBFBF"/>
              <w:right w:val="single" w:sz="4" w:space="0" w:color="BFBFBF"/>
            </w:tcBorders>
            <w:noWrap/>
            <w:vAlign w:val="center"/>
            <w:hideMark/>
          </w:tcPr>
          <w:p w14:paraId="0B9CCA1C" w14:textId="77777777" w:rsidR="00B911CF" w:rsidRDefault="00B911CF">
            <w:pPr>
              <w:jc w:val="right"/>
              <w:rPr>
                <w:rFonts w:cs="Arial"/>
                <w:color w:val="000000"/>
              </w:rPr>
            </w:pPr>
            <w:r>
              <w:rPr>
                <w:rFonts w:cs="Arial"/>
                <w:color w:val="000000"/>
              </w:rPr>
              <w:t xml:space="preserve">1,239 </w:t>
            </w:r>
          </w:p>
        </w:tc>
        <w:tc>
          <w:tcPr>
            <w:tcW w:w="960" w:type="dxa"/>
            <w:tcBorders>
              <w:top w:val="nil"/>
              <w:left w:val="nil"/>
              <w:bottom w:val="single" w:sz="4" w:space="0" w:color="BFBFBF"/>
              <w:right w:val="single" w:sz="4" w:space="0" w:color="BFBFBF"/>
            </w:tcBorders>
            <w:noWrap/>
            <w:vAlign w:val="center"/>
            <w:hideMark/>
          </w:tcPr>
          <w:p w14:paraId="1902475A" w14:textId="77777777" w:rsidR="00B911CF" w:rsidRDefault="00B911CF">
            <w:pPr>
              <w:jc w:val="right"/>
              <w:rPr>
                <w:rFonts w:cs="Arial"/>
                <w:color w:val="000000"/>
              </w:rPr>
            </w:pPr>
            <w:r>
              <w:rPr>
                <w:rFonts w:cs="Arial"/>
                <w:color w:val="000000"/>
              </w:rPr>
              <w:t xml:space="preserve">-  </w:t>
            </w:r>
          </w:p>
        </w:tc>
        <w:tc>
          <w:tcPr>
            <w:tcW w:w="960" w:type="dxa"/>
            <w:tcBorders>
              <w:top w:val="nil"/>
              <w:left w:val="nil"/>
              <w:bottom w:val="single" w:sz="4" w:space="0" w:color="BFBFBF"/>
              <w:right w:val="single" w:sz="4" w:space="0" w:color="BFBFBF"/>
            </w:tcBorders>
            <w:noWrap/>
            <w:vAlign w:val="center"/>
            <w:hideMark/>
          </w:tcPr>
          <w:p w14:paraId="0777FD7F" w14:textId="77777777" w:rsidR="00B911CF" w:rsidRDefault="00B911CF">
            <w:pPr>
              <w:jc w:val="right"/>
              <w:rPr>
                <w:rFonts w:cs="Arial"/>
                <w:color w:val="000000"/>
              </w:rPr>
            </w:pPr>
            <w:r>
              <w:rPr>
                <w:rFonts w:cs="Arial"/>
                <w:color w:val="000000"/>
              </w:rPr>
              <w:t xml:space="preserve">-  </w:t>
            </w:r>
          </w:p>
        </w:tc>
        <w:tc>
          <w:tcPr>
            <w:tcW w:w="960" w:type="dxa"/>
            <w:tcBorders>
              <w:top w:val="nil"/>
              <w:left w:val="nil"/>
              <w:bottom w:val="single" w:sz="4" w:space="0" w:color="BFBFBF"/>
              <w:right w:val="single" w:sz="4" w:space="0" w:color="BFBFBF"/>
            </w:tcBorders>
            <w:noWrap/>
            <w:vAlign w:val="center"/>
            <w:hideMark/>
          </w:tcPr>
          <w:p w14:paraId="2144B4A6" w14:textId="77777777" w:rsidR="00B911CF" w:rsidRDefault="00B911CF">
            <w:pPr>
              <w:jc w:val="right"/>
              <w:rPr>
                <w:rFonts w:cs="Arial"/>
                <w:color w:val="000000"/>
              </w:rPr>
            </w:pPr>
            <w:r>
              <w:rPr>
                <w:rFonts w:cs="Arial"/>
                <w:color w:val="000000"/>
              </w:rPr>
              <w:t xml:space="preserve">9,879 </w:t>
            </w:r>
          </w:p>
        </w:tc>
        <w:tc>
          <w:tcPr>
            <w:tcW w:w="1012" w:type="dxa"/>
            <w:tcBorders>
              <w:top w:val="nil"/>
              <w:left w:val="nil"/>
              <w:bottom w:val="single" w:sz="4" w:space="0" w:color="BFBFBF"/>
              <w:right w:val="single" w:sz="4" w:space="0" w:color="auto"/>
            </w:tcBorders>
            <w:noWrap/>
            <w:vAlign w:val="center"/>
            <w:hideMark/>
          </w:tcPr>
          <w:p w14:paraId="63D31108" w14:textId="77777777" w:rsidR="00B911CF" w:rsidRDefault="00B911CF">
            <w:pPr>
              <w:jc w:val="right"/>
              <w:rPr>
                <w:rFonts w:cs="Arial"/>
                <w:color w:val="000000"/>
              </w:rPr>
            </w:pPr>
            <w:r>
              <w:rPr>
                <w:rFonts w:cs="Arial"/>
                <w:color w:val="000000"/>
              </w:rPr>
              <w:t xml:space="preserve">77,418 </w:t>
            </w:r>
          </w:p>
        </w:tc>
      </w:tr>
      <w:tr w:rsidR="00B911CF" w14:paraId="2EFC58D4" w14:textId="77777777" w:rsidTr="00B911CF">
        <w:trPr>
          <w:trHeight w:val="300"/>
        </w:trPr>
        <w:tc>
          <w:tcPr>
            <w:tcW w:w="3254" w:type="dxa"/>
            <w:tcBorders>
              <w:top w:val="nil"/>
              <w:left w:val="single" w:sz="4" w:space="0" w:color="auto"/>
              <w:bottom w:val="single" w:sz="4" w:space="0" w:color="BFBFBF"/>
              <w:right w:val="single" w:sz="4" w:space="0" w:color="BFBFBF"/>
            </w:tcBorders>
            <w:vAlign w:val="center"/>
            <w:hideMark/>
          </w:tcPr>
          <w:p w14:paraId="6851260E" w14:textId="77777777" w:rsidR="00B911CF" w:rsidRDefault="00B911CF">
            <w:pPr>
              <w:jc w:val="left"/>
              <w:rPr>
                <w:rFonts w:cs="Arial"/>
                <w:color w:val="000000"/>
              </w:rPr>
            </w:pPr>
            <w:r>
              <w:rPr>
                <w:rFonts w:cs="Arial"/>
                <w:color w:val="000000"/>
              </w:rPr>
              <w:t>Shared Services Lead – Legal (and Monitoring Officer)</w:t>
            </w:r>
          </w:p>
        </w:tc>
        <w:tc>
          <w:tcPr>
            <w:tcW w:w="482" w:type="dxa"/>
            <w:tcBorders>
              <w:top w:val="nil"/>
              <w:left w:val="nil"/>
              <w:bottom w:val="single" w:sz="4" w:space="0" w:color="BFBFBF"/>
              <w:right w:val="single" w:sz="4" w:space="0" w:color="BFBFBF"/>
            </w:tcBorders>
            <w:noWrap/>
            <w:vAlign w:val="center"/>
            <w:hideMark/>
          </w:tcPr>
          <w:p w14:paraId="0C2DE6D8" w14:textId="77777777" w:rsidR="00B911CF" w:rsidRDefault="00B911CF">
            <w:pPr>
              <w:jc w:val="center"/>
              <w:rPr>
                <w:rFonts w:cs="Arial"/>
                <w:color w:val="000000"/>
              </w:rPr>
            </w:pPr>
            <w:r>
              <w:rPr>
                <w:rFonts w:cs="Arial"/>
                <w:color w:val="000000"/>
              </w:rPr>
              <w:t>C</w:t>
            </w:r>
          </w:p>
        </w:tc>
        <w:tc>
          <w:tcPr>
            <w:tcW w:w="1012" w:type="dxa"/>
            <w:tcBorders>
              <w:top w:val="nil"/>
              <w:left w:val="nil"/>
              <w:bottom w:val="single" w:sz="4" w:space="0" w:color="BFBFBF"/>
              <w:right w:val="single" w:sz="4" w:space="0" w:color="BFBFBF"/>
            </w:tcBorders>
            <w:noWrap/>
            <w:vAlign w:val="center"/>
            <w:hideMark/>
          </w:tcPr>
          <w:p w14:paraId="57FD9454" w14:textId="77777777" w:rsidR="00B911CF" w:rsidRDefault="00B911CF">
            <w:pPr>
              <w:jc w:val="right"/>
              <w:rPr>
                <w:rFonts w:cs="Arial"/>
                <w:color w:val="000000"/>
              </w:rPr>
            </w:pPr>
            <w:r>
              <w:rPr>
                <w:rFonts w:cs="Arial"/>
                <w:color w:val="000000"/>
              </w:rPr>
              <w:t xml:space="preserve">20,000 </w:t>
            </w:r>
          </w:p>
        </w:tc>
        <w:tc>
          <w:tcPr>
            <w:tcW w:w="960" w:type="dxa"/>
            <w:tcBorders>
              <w:top w:val="nil"/>
              <w:left w:val="nil"/>
              <w:bottom w:val="single" w:sz="4" w:space="0" w:color="BFBFBF"/>
              <w:right w:val="single" w:sz="4" w:space="0" w:color="BFBFBF"/>
            </w:tcBorders>
            <w:noWrap/>
            <w:vAlign w:val="center"/>
            <w:hideMark/>
          </w:tcPr>
          <w:p w14:paraId="36304CA2" w14:textId="77777777" w:rsidR="00B911CF" w:rsidRDefault="00B911CF">
            <w:pPr>
              <w:jc w:val="right"/>
              <w:rPr>
                <w:rFonts w:cs="Arial"/>
                <w:color w:val="000000"/>
              </w:rPr>
            </w:pPr>
            <w:r>
              <w:rPr>
                <w:rFonts w:cs="Arial"/>
                <w:color w:val="000000"/>
              </w:rPr>
              <w:t xml:space="preserve">-  </w:t>
            </w:r>
          </w:p>
        </w:tc>
        <w:tc>
          <w:tcPr>
            <w:tcW w:w="960" w:type="dxa"/>
            <w:tcBorders>
              <w:top w:val="nil"/>
              <w:left w:val="nil"/>
              <w:bottom w:val="single" w:sz="4" w:space="0" w:color="BFBFBF"/>
              <w:right w:val="single" w:sz="4" w:space="0" w:color="BFBFBF"/>
            </w:tcBorders>
            <w:noWrap/>
            <w:vAlign w:val="center"/>
            <w:hideMark/>
          </w:tcPr>
          <w:p w14:paraId="75F8AED3" w14:textId="77777777" w:rsidR="00B911CF" w:rsidRDefault="00B911CF">
            <w:pPr>
              <w:jc w:val="right"/>
              <w:rPr>
                <w:rFonts w:cs="Arial"/>
                <w:color w:val="000000"/>
              </w:rPr>
            </w:pPr>
            <w:r>
              <w:rPr>
                <w:rFonts w:cs="Arial"/>
                <w:color w:val="000000"/>
              </w:rPr>
              <w:t xml:space="preserve">-  </w:t>
            </w:r>
          </w:p>
        </w:tc>
        <w:tc>
          <w:tcPr>
            <w:tcW w:w="960" w:type="dxa"/>
            <w:tcBorders>
              <w:top w:val="nil"/>
              <w:left w:val="nil"/>
              <w:bottom w:val="single" w:sz="4" w:space="0" w:color="BFBFBF"/>
              <w:right w:val="single" w:sz="4" w:space="0" w:color="BFBFBF"/>
            </w:tcBorders>
            <w:noWrap/>
            <w:vAlign w:val="center"/>
            <w:hideMark/>
          </w:tcPr>
          <w:p w14:paraId="6057DBE5" w14:textId="77777777" w:rsidR="00B911CF" w:rsidRDefault="00B911CF">
            <w:pPr>
              <w:jc w:val="right"/>
              <w:rPr>
                <w:rFonts w:cs="Arial"/>
                <w:color w:val="000000"/>
              </w:rPr>
            </w:pPr>
            <w:r>
              <w:rPr>
                <w:rFonts w:cs="Arial"/>
                <w:color w:val="000000"/>
              </w:rPr>
              <w:t xml:space="preserve">-  </w:t>
            </w:r>
          </w:p>
        </w:tc>
        <w:tc>
          <w:tcPr>
            <w:tcW w:w="960" w:type="dxa"/>
            <w:tcBorders>
              <w:top w:val="nil"/>
              <w:left w:val="nil"/>
              <w:bottom w:val="single" w:sz="4" w:space="0" w:color="BFBFBF"/>
              <w:right w:val="single" w:sz="4" w:space="0" w:color="BFBFBF"/>
            </w:tcBorders>
            <w:noWrap/>
            <w:vAlign w:val="center"/>
            <w:hideMark/>
          </w:tcPr>
          <w:p w14:paraId="259BDB27" w14:textId="77777777" w:rsidR="00B911CF" w:rsidRDefault="00B911CF">
            <w:pPr>
              <w:jc w:val="right"/>
              <w:rPr>
                <w:rFonts w:cs="Arial"/>
                <w:color w:val="000000"/>
              </w:rPr>
            </w:pPr>
            <w:r>
              <w:rPr>
                <w:rFonts w:cs="Arial"/>
                <w:color w:val="000000"/>
              </w:rPr>
              <w:t xml:space="preserve">2,980 </w:t>
            </w:r>
          </w:p>
        </w:tc>
        <w:tc>
          <w:tcPr>
            <w:tcW w:w="1012" w:type="dxa"/>
            <w:tcBorders>
              <w:top w:val="nil"/>
              <w:left w:val="nil"/>
              <w:bottom w:val="single" w:sz="4" w:space="0" w:color="BFBFBF"/>
              <w:right w:val="single" w:sz="4" w:space="0" w:color="auto"/>
            </w:tcBorders>
            <w:noWrap/>
            <w:vAlign w:val="center"/>
            <w:hideMark/>
          </w:tcPr>
          <w:p w14:paraId="67331D6A" w14:textId="77777777" w:rsidR="00B911CF" w:rsidRDefault="00B911CF">
            <w:pPr>
              <w:jc w:val="right"/>
              <w:rPr>
                <w:rFonts w:cs="Arial"/>
                <w:color w:val="000000"/>
              </w:rPr>
            </w:pPr>
            <w:r>
              <w:rPr>
                <w:rFonts w:cs="Arial"/>
                <w:color w:val="000000"/>
              </w:rPr>
              <w:t xml:space="preserve">22,980 </w:t>
            </w:r>
          </w:p>
        </w:tc>
      </w:tr>
      <w:tr w:rsidR="00B911CF" w14:paraId="2247B4BE" w14:textId="77777777" w:rsidTr="00B911CF">
        <w:trPr>
          <w:trHeight w:val="510"/>
        </w:trPr>
        <w:tc>
          <w:tcPr>
            <w:tcW w:w="3254" w:type="dxa"/>
            <w:tcBorders>
              <w:top w:val="nil"/>
              <w:left w:val="single" w:sz="4" w:space="0" w:color="auto"/>
              <w:bottom w:val="single" w:sz="4" w:space="0" w:color="BFBFBF"/>
              <w:right w:val="single" w:sz="4" w:space="0" w:color="BFBFBF"/>
            </w:tcBorders>
            <w:vAlign w:val="center"/>
            <w:hideMark/>
          </w:tcPr>
          <w:p w14:paraId="21E89762" w14:textId="77777777" w:rsidR="00B911CF" w:rsidRDefault="00B911CF">
            <w:pPr>
              <w:jc w:val="left"/>
              <w:rPr>
                <w:rFonts w:cs="Arial"/>
                <w:color w:val="000000"/>
              </w:rPr>
            </w:pPr>
            <w:r>
              <w:rPr>
                <w:rFonts w:cs="Arial"/>
                <w:color w:val="000000"/>
              </w:rPr>
              <w:t>Legal Services Manager (and Monitoring Officer)</w:t>
            </w:r>
          </w:p>
        </w:tc>
        <w:tc>
          <w:tcPr>
            <w:tcW w:w="482" w:type="dxa"/>
            <w:tcBorders>
              <w:top w:val="nil"/>
              <w:left w:val="nil"/>
              <w:bottom w:val="single" w:sz="4" w:space="0" w:color="BFBFBF"/>
              <w:right w:val="single" w:sz="4" w:space="0" w:color="BFBFBF"/>
            </w:tcBorders>
            <w:noWrap/>
            <w:vAlign w:val="center"/>
            <w:hideMark/>
          </w:tcPr>
          <w:p w14:paraId="73044053" w14:textId="77777777" w:rsidR="00B911CF" w:rsidRDefault="00B911CF">
            <w:pPr>
              <w:jc w:val="center"/>
              <w:rPr>
                <w:rFonts w:cs="Arial"/>
                <w:color w:val="000000"/>
              </w:rPr>
            </w:pPr>
            <w:r>
              <w:rPr>
                <w:rFonts w:cs="Arial"/>
                <w:color w:val="000000"/>
              </w:rPr>
              <w:t>D</w:t>
            </w:r>
          </w:p>
        </w:tc>
        <w:tc>
          <w:tcPr>
            <w:tcW w:w="1012" w:type="dxa"/>
            <w:tcBorders>
              <w:top w:val="nil"/>
              <w:left w:val="nil"/>
              <w:bottom w:val="single" w:sz="4" w:space="0" w:color="BFBFBF"/>
              <w:right w:val="single" w:sz="4" w:space="0" w:color="BFBFBF"/>
            </w:tcBorders>
            <w:noWrap/>
            <w:vAlign w:val="center"/>
            <w:hideMark/>
          </w:tcPr>
          <w:p w14:paraId="05249310" w14:textId="77777777" w:rsidR="00B911CF" w:rsidRDefault="00B911CF">
            <w:pPr>
              <w:jc w:val="right"/>
              <w:rPr>
                <w:rFonts w:cs="Arial"/>
                <w:color w:val="000000"/>
              </w:rPr>
            </w:pPr>
            <w:r>
              <w:rPr>
                <w:rFonts w:cs="Arial"/>
                <w:color w:val="000000"/>
              </w:rPr>
              <w:t xml:space="preserve">35,757 </w:t>
            </w:r>
          </w:p>
        </w:tc>
        <w:tc>
          <w:tcPr>
            <w:tcW w:w="960" w:type="dxa"/>
            <w:tcBorders>
              <w:top w:val="nil"/>
              <w:left w:val="nil"/>
              <w:bottom w:val="single" w:sz="4" w:space="0" w:color="BFBFBF"/>
              <w:right w:val="single" w:sz="4" w:space="0" w:color="BFBFBF"/>
            </w:tcBorders>
            <w:noWrap/>
            <w:vAlign w:val="center"/>
            <w:hideMark/>
          </w:tcPr>
          <w:p w14:paraId="672A774B" w14:textId="77777777" w:rsidR="00B911CF" w:rsidRDefault="00B911CF">
            <w:pPr>
              <w:jc w:val="right"/>
              <w:rPr>
                <w:rFonts w:cs="Arial"/>
                <w:color w:val="000000"/>
              </w:rPr>
            </w:pPr>
            <w:r>
              <w:rPr>
                <w:rFonts w:cs="Arial"/>
                <w:color w:val="000000"/>
              </w:rPr>
              <w:t xml:space="preserve">-  </w:t>
            </w:r>
          </w:p>
        </w:tc>
        <w:tc>
          <w:tcPr>
            <w:tcW w:w="960" w:type="dxa"/>
            <w:tcBorders>
              <w:top w:val="nil"/>
              <w:left w:val="nil"/>
              <w:bottom w:val="single" w:sz="4" w:space="0" w:color="BFBFBF"/>
              <w:right w:val="single" w:sz="4" w:space="0" w:color="BFBFBF"/>
            </w:tcBorders>
            <w:noWrap/>
            <w:vAlign w:val="center"/>
            <w:hideMark/>
          </w:tcPr>
          <w:p w14:paraId="632F7812" w14:textId="77777777" w:rsidR="00B911CF" w:rsidRDefault="00B911CF">
            <w:pPr>
              <w:jc w:val="right"/>
              <w:rPr>
                <w:rFonts w:cs="Arial"/>
                <w:color w:val="000000"/>
              </w:rPr>
            </w:pPr>
            <w:r>
              <w:rPr>
                <w:rFonts w:cs="Arial"/>
                <w:color w:val="000000"/>
              </w:rPr>
              <w:t xml:space="preserve">-  </w:t>
            </w:r>
          </w:p>
        </w:tc>
        <w:tc>
          <w:tcPr>
            <w:tcW w:w="960" w:type="dxa"/>
            <w:tcBorders>
              <w:top w:val="nil"/>
              <w:left w:val="nil"/>
              <w:bottom w:val="single" w:sz="4" w:space="0" w:color="BFBFBF"/>
              <w:right w:val="single" w:sz="4" w:space="0" w:color="BFBFBF"/>
            </w:tcBorders>
            <w:noWrap/>
            <w:vAlign w:val="center"/>
            <w:hideMark/>
          </w:tcPr>
          <w:p w14:paraId="2F1E4619" w14:textId="77777777" w:rsidR="00B911CF" w:rsidRDefault="00B911CF">
            <w:pPr>
              <w:jc w:val="right"/>
              <w:rPr>
                <w:rFonts w:cs="Arial"/>
                <w:color w:val="000000"/>
              </w:rPr>
            </w:pPr>
            <w:r>
              <w:rPr>
                <w:rFonts w:cs="Arial"/>
                <w:color w:val="000000"/>
              </w:rPr>
              <w:t xml:space="preserve">-  </w:t>
            </w:r>
          </w:p>
        </w:tc>
        <w:tc>
          <w:tcPr>
            <w:tcW w:w="960" w:type="dxa"/>
            <w:tcBorders>
              <w:top w:val="nil"/>
              <w:left w:val="nil"/>
              <w:bottom w:val="single" w:sz="4" w:space="0" w:color="BFBFBF"/>
              <w:right w:val="single" w:sz="4" w:space="0" w:color="BFBFBF"/>
            </w:tcBorders>
            <w:noWrap/>
            <w:vAlign w:val="center"/>
            <w:hideMark/>
          </w:tcPr>
          <w:p w14:paraId="3773F4B7" w14:textId="77777777" w:rsidR="00B911CF" w:rsidRDefault="00B911CF">
            <w:pPr>
              <w:jc w:val="right"/>
              <w:rPr>
                <w:rFonts w:cs="Arial"/>
                <w:color w:val="000000"/>
              </w:rPr>
            </w:pPr>
            <w:r>
              <w:rPr>
                <w:rFonts w:cs="Arial"/>
                <w:color w:val="000000"/>
              </w:rPr>
              <w:t xml:space="preserve">5,328 </w:t>
            </w:r>
          </w:p>
        </w:tc>
        <w:tc>
          <w:tcPr>
            <w:tcW w:w="1012" w:type="dxa"/>
            <w:tcBorders>
              <w:top w:val="nil"/>
              <w:left w:val="nil"/>
              <w:bottom w:val="single" w:sz="4" w:space="0" w:color="BFBFBF"/>
              <w:right w:val="single" w:sz="4" w:space="0" w:color="auto"/>
            </w:tcBorders>
            <w:noWrap/>
            <w:vAlign w:val="center"/>
            <w:hideMark/>
          </w:tcPr>
          <w:p w14:paraId="767FDCD4" w14:textId="77777777" w:rsidR="00B911CF" w:rsidRDefault="00B911CF">
            <w:pPr>
              <w:jc w:val="right"/>
              <w:rPr>
                <w:rFonts w:cs="Arial"/>
                <w:color w:val="000000"/>
              </w:rPr>
            </w:pPr>
            <w:r>
              <w:rPr>
                <w:rFonts w:cs="Arial"/>
                <w:color w:val="000000"/>
              </w:rPr>
              <w:t xml:space="preserve">41,084 </w:t>
            </w:r>
          </w:p>
        </w:tc>
      </w:tr>
      <w:tr w:rsidR="00B911CF" w14:paraId="41D572F6" w14:textId="77777777" w:rsidTr="00B911CF">
        <w:trPr>
          <w:trHeight w:val="300"/>
        </w:trPr>
        <w:tc>
          <w:tcPr>
            <w:tcW w:w="3254" w:type="dxa"/>
            <w:tcBorders>
              <w:top w:val="nil"/>
              <w:left w:val="single" w:sz="4" w:space="0" w:color="auto"/>
              <w:bottom w:val="single" w:sz="4" w:space="0" w:color="BFBFBF"/>
              <w:right w:val="single" w:sz="4" w:space="0" w:color="BFBFBF"/>
            </w:tcBorders>
            <w:vAlign w:val="center"/>
            <w:hideMark/>
          </w:tcPr>
          <w:p w14:paraId="33ED9D17" w14:textId="77777777" w:rsidR="00B911CF" w:rsidRDefault="00B911CF">
            <w:pPr>
              <w:jc w:val="left"/>
              <w:rPr>
                <w:rFonts w:cs="Arial"/>
                <w:color w:val="000000"/>
              </w:rPr>
            </w:pPr>
            <w:r>
              <w:rPr>
                <w:rFonts w:cs="Arial"/>
                <w:color w:val="000000"/>
              </w:rPr>
              <w:t>Assistant Director of Neighbourhoods</w:t>
            </w:r>
          </w:p>
        </w:tc>
        <w:tc>
          <w:tcPr>
            <w:tcW w:w="482" w:type="dxa"/>
            <w:tcBorders>
              <w:top w:val="nil"/>
              <w:left w:val="nil"/>
              <w:bottom w:val="single" w:sz="4" w:space="0" w:color="BFBFBF"/>
              <w:right w:val="single" w:sz="4" w:space="0" w:color="BFBFBF"/>
            </w:tcBorders>
            <w:noWrap/>
            <w:vAlign w:val="center"/>
            <w:hideMark/>
          </w:tcPr>
          <w:p w14:paraId="3DB03A72" w14:textId="77777777" w:rsidR="00B911CF" w:rsidRDefault="00B911CF">
            <w:pPr>
              <w:jc w:val="center"/>
              <w:rPr>
                <w:rFonts w:cs="Arial"/>
                <w:color w:val="000000"/>
              </w:rPr>
            </w:pPr>
            <w:r>
              <w:rPr>
                <w:rFonts w:cs="Arial"/>
                <w:color w:val="000000"/>
              </w:rPr>
              <w:t> </w:t>
            </w:r>
          </w:p>
        </w:tc>
        <w:tc>
          <w:tcPr>
            <w:tcW w:w="1012" w:type="dxa"/>
            <w:tcBorders>
              <w:top w:val="nil"/>
              <w:left w:val="nil"/>
              <w:bottom w:val="single" w:sz="4" w:space="0" w:color="BFBFBF"/>
              <w:right w:val="single" w:sz="4" w:space="0" w:color="BFBFBF"/>
            </w:tcBorders>
            <w:noWrap/>
            <w:vAlign w:val="center"/>
            <w:hideMark/>
          </w:tcPr>
          <w:p w14:paraId="2CBEFF02" w14:textId="77777777" w:rsidR="00B911CF" w:rsidRDefault="00B911CF">
            <w:pPr>
              <w:jc w:val="right"/>
              <w:rPr>
                <w:rFonts w:cs="Arial"/>
                <w:color w:val="000000"/>
              </w:rPr>
            </w:pPr>
            <w:r>
              <w:rPr>
                <w:rFonts w:cs="Arial"/>
                <w:color w:val="000000"/>
              </w:rPr>
              <w:t xml:space="preserve">51,000 </w:t>
            </w:r>
          </w:p>
        </w:tc>
        <w:tc>
          <w:tcPr>
            <w:tcW w:w="960" w:type="dxa"/>
            <w:tcBorders>
              <w:top w:val="nil"/>
              <w:left w:val="nil"/>
              <w:bottom w:val="single" w:sz="4" w:space="0" w:color="BFBFBF"/>
              <w:right w:val="single" w:sz="4" w:space="0" w:color="BFBFBF"/>
            </w:tcBorders>
            <w:noWrap/>
            <w:vAlign w:val="center"/>
            <w:hideMark/>
          </w:tcPr>
          <w:p w14:paraId="3649B02A" w14:textId="77777777" w:rsidR="00B911CF" w:rsidRDefault="00B911CF">
            <w:pPr>
              <w:jc w:val="right"/>
              <w:rPr>
                <w:rFonts w:cs="Arial"/>
                <w:color w:val="000000"/>
              </w:rPr>
            </w:pPr>
            <w:r>
              <w:rPr>
                <w:rFonts w:cs="Arial"/>
                <w:color w:val="000000"/>
              </w:rPr>
              <w:t xml:space="preserve">1,239 </w:t>
            </w:r>
          </w:p>
        </w:tc>
        <w:tc>
          <w:tcPr>
            <w:tcW w:w="960" w:type="dxa"/>
            <w:tcBorders>
              <w:top w:val="nil"/>
              <w:left w:val="nil"/>
              <w:bottom w:val="single" w:sz="4" w:space="0" w:color="BFBFBF"/>
              <w:right w:val="single" w:sz="4" w:space="0" w:color="BFBFBF"/>
            </w:tcBorders>
            <w:noWrap/>
            <w:vAlign w:val="center"/>
            <w:hideMark/>
          </w:tcPr>
          <w:p w14:paraId="43F81D30" w14:textId="77777777" w:rsidR="00B911CF" w:rsidRDefault="00B911CF">
            <w:pPr>
              <w:jc w:val="right"/>
              <w:rPr>
                <w:rFonts w:cs="Arial"/>
                <w:color w:val="000000"/>
              </w:rPr>
            </w:pPr>
            <w:r>
              <w:rPr>
                <w:rFonts w:cs="Arial"/>
                <w:color w:val="000000"/>
              </w:rPr>
              <w:t xml:space="preserve">-  </w:t>
            </w:r>
          </w:p>
        </w:tc>
        <w:tc>
          <w:tcPr>
            <w:tcW w:w="960" w:type="dxa"/>
            <w:tcBorders>
              <w:top w:val="nil"/>
              <w:left w:val="nil"/>
              <w:bottom w:val="single" w:sz="4" w:space="0" w:color="BFBFBF"/>
              <w:right w:val="single" w:sz="4" w:space="0" w:color="BFBFBF"/>
            </w:tcBorders>
            <w:noWrap/>
            <w:vAlign w:val="center"/>
            <w:hideMark/>
          </w:tcPr>
          <w:p w14:paraId="2084A3CA" w14:textId="77777777" w:rsidR="00B911CF" w:rsidRDefault="00B911CF">
            <w:pPr>
              <w:jc w:val="right"/>
              <w:rPr>
                <w:rFonts w:cs="Arial"/>
                <w:color w:val="000000"/>
              </w:rPr>
            </w:pPr>
            <w:r>
              <w:rPr>
                <w:rFonts w:cs="Arial"/>
                <w:color w:val="000000"/>
              </w:rPr>
              <w:t xml:space="preserve">48 </w:t>
            </w:r>
          </w:p>
        </w:tc>
        <w:tc>
          <w:tcPr>
            <w:tcW w:w="960" w:type="dxa"/>
            <w:tcBorders>
              <w:top w:val="nil"/>
              <w:left w:val="nil"/>
              <w:bottom w:val="single" w:sz="4" w:space="0" w:color="BFBFBF"/>
              <w:right w:val="single" w:sz="4" w:space="0" w:color="BFBFBF"/>
            </w:tcBorders>
            <w:noWrap/>
            <w:vAlign w:val="center"/>
            <w:hideMark/>
          </w:tcPr>
          <w:p w14:paraId="1B8C3EB2" w14:textId="77777777" w:rsidR="00B911CF" w:rsidRDefault="00B911CF">
            <w:pPr>
              <w:jc w:val="right"/>
              <w:rPr>
                <w:rFonts w:cs="Arial"/>
                <w:color w:val="000000"/>
              </w:rPr>
            </w:pPr>
            <w:r>
              <w:rPr>
                <w:rFonts w:cs="Arial"/>
                <w:color w:val="000000"/>
              </w:rPr>
              <w:t xml:space="preserve">7,599 </w:t>
            </w:r>
          </w:p>
        </w:tc>
        <w:tc>
          <w:tcPr>
            <w:tcW w:w="1012" w:type="dxa"/>
            <w:tcBorders>
              <w:top w:val="nil"/>
              <w:left w:val="nil"/>
              <w:bottom w:val="single" w:sz="4" w:space="0" w:color="BFBFBF"/>
              <w:right w:val="single" w:sz="4" w:space="0" w:color="auto"/>
            </w:tcBorders>
            <w:noWrap/>
            <w:vAlign w:val="center"/>
            <w:hideMark/>
          </w:tcPr>
          <w:p w14:paraId="6E4E02FC" w14:textId="77777777" w:rsidR="00B911CF" w:rsidRDefault="00B911CF">
            <w:pPr>
              <w:jc w:val="right"/>
              <w:rPr>
                <w:rFonts w:cs="Arial"/>
                <w:color w:val="000000"/>
              </w:rPr>
            </w:pPr>
            <w:r>
              <w:rPr>
                <w:rFonts w:cs="Arial"/>
                <w:color w:val="000000"/>
              </w:rPr>
              <w:t xml:space="preserve">59,886 </w:t>
            </w:r>
          </w:p>
        </w:tc>
      </w:tr>
      <w:tr w:rsidR="00B911CF" w14:paraId="7A037CA2" w14:textId="77777777" w:rsidTr="00B911CF">
        <w:trPr>
          <w:trHeight w:val="510"/>
        </w:trPr>
        <w:tc>
          <w:tcPr>
            <w:tcW w:w="3254" w:type="dxa"/>
            <w:tcBorders>
              <w:top w:val="nil"/>
              <w:left w:val="single" w:sz="4" w:space="0" w:color="auto"/>
              <w:bottom w:val="single" w:sz="4" w:space="0" w:color="BFBFBF"/>
              <w:right w:val="single" w:sz="4" w:space="0" w:color="BFBFBF"/>
            </w:tcBorders>
            <w:vAlign w:val="center"/>
            <w:hideMark/>
          </w:tcPr>
          <w:p w14:paraId="34A8131F" w14:textId="77777777" w:rsidR="00B911CF" w:rsidRDefault="00B911CF">
            <w:pPr>
              <w:jc w:val="left"/>
              <w:rPr>
                <w:rFonts w:cs="Arial"/>
                <w:color w:val="000000"/>
              </w:rPr>
            </w:pPr>
            <w:r>
              <w:rPr>
                <w:rFonts w:cs="Arial"/>
                <w:color w:val="000000"/>
              </w:rPr>
              <w:t>Assistant Director of Projects and Development</w:t>
            </w:r>
          </w:p>
        </w:tc>
        <w:tc>
          <w:tcPr>
            <w:tcW w:w="482" w:type="dxa"/>
            <w:tcBorders>
              <w:top w:val="nil"/>
              <w:left w:val="nil"/>
              <w:bottom w:val="single" w:sz="4" w:space="0" w:color="BFBFBF"/>
              <w:right w:val="single" w:sz="4" w:space="0" w:color="BFBFBF"/>
            </w:tcBorders>
            <w:noWrap/>
            <w:vAlign w:val="center"/>
            <w:hideMark/>
          </w:tcPr>
          <w:p w14:paraId="2EF2583E" w14:textId="77777777" w:rsidR="00B911CF" w:rsidRDefault="00B911CF">
            <w:pPr>
              <w:jc w:val="center"/>
              <w:rPr>
                <w:rFonts w:cs="Arial"/>
                <w:color w:val="000000"/>
              </w:rPr>
            </w:pPr>
            <w:r>
              <w:rPr>
                <w:rFonts w:cs="Arial"/>
                <w:color w:val="000000"/>
              </w:rPr>
              <w:t> </w:t>
            </w:r>
          </w:p>
        </w:tc>
        <w:tc>
          <w:tcPr>
            <w:tcW w:w="1012" w:type="dxa"/>
            <w:tcBorders>
              <w:top w:val="nil"/>
              <w:left w:val="nil"/>
              <w:bottom w:val="single" w:sz="4" w:space="0" w:color="BFBFBF"/>
              <w:right w:val="single" w:sz="4" w:space="0" w:color="BFBFBF"/>
            </w:tcBorders>
            <w:noWrap/>
            <w:vAlign w:val="center"/>
            <w:hideMark/>
          </w:tcPr>
          <w:p w14:paraId="222FFD0B" w14:textId="77777777" w:rsidR="00B911CF" w:rsidRDefault="00B911CF">
            <w:pPr>
              <w:jc w:val="right"/>
              <w:rPr>
                <w:rFonts w:cs="Arial"/>
                <w:color w:val="000000"/>
              </w:rPr>
            </w:pPr>
            <w:r>
              <w:rPr>
                <w:rFonts w:cs="Arial"/>
                <w:color w:val="000000"/>
              </w:rPr>
              <w:t xml:space="preserve">51,000 </w:t>
            </w:r>
          </w:p>
        </w:tc>
        <w:tc>
          <w:tcPr>
            <w:tcW w:w="960" w:type="dxa"/>
            <w:tcBorders>
              <w:top w:val="nil"/>
              <w:left w:val="nil"/>
              <w:bottom w:val="single" w:sz="4" w:space="0" w:color="BFBFBF"/>
              <w:right w:val="single" w:sz="4" w:space="0" w:color="BFBFBF"/>
            </w:tcBorders>
            <w:noWrap/>
            <w:vAlign w:val="center"/>
            <w:hideMark/>
          </w:tcPr>
          <w:p w14:paraId="260B6384" w14:textId="77777777" w:rsidR="00B911CF" w:rsidRDefault="00B911CF">
            <w:pPr>
              <w:jc w:val="right"/>
              <w:rPr>
                <w:rFonts w:cs="Arial"/>
                <w:color w:val="000000"/>
              </w:rPr>
            </w:pPr>
            <w:r>
              <w:rPr>
                <w:rFonts w:cs="Arial"/>
                <w:color w:val="000000"/>
              </w:rPr>
              <w:t xml:space="preserve">1,239 </w:t>
            </w:r>
          </w:p>
        </w:tc>
        <w:tc>
          <w:tcPr>
            <w:tcW w:w="960" w:type="dxa"/>
            <w:tcBorders>
              <w:top w:val="nil"/>
              <w:left w:val="nil"/>
              <w:bottom w:val="single" w:sz="4" w:space="0" w:color="BFBFBF"/>
              <w:right w:val="single" w:sz="4" w:space="0" w:color="BFBFBF"/>
            </w:tcBorders>
            <w:noWrap/>
            <w:vAlign w:val="center"/>
            <w:hideMark/>
          </w:tcPr>
          <w:p w14:paraId="1DF59499" w14:textId="77777777" w:rsidR="00B911CF" w:rsidRDefault="00B911CF">
            <w:pPr>
              <w:jc w:val="right"/>
              <w:rPr>
                <w:rFonts w:cs="Arial"/>
                <w:color w:val="000000"/>
              </w:rPr>
            </w:pPr>
            <w:r>
              <w:rPr>
                <w:rFonts w:cs="Arial"/>
                <w:color w:val="000000"/>
              </w:rPr>
              <w:t xml:space="preserve">-  </w:t>
            </w:r>
          </w:p>
        </w:tc>
        <w:tc>
          <w:tcPr>
            <w:tcW w:w="960" w:type="dxa"/>
            <w:tcBorders>
              <w:top w:val="nil"/>
              <w:left w:val="nil"/>
              <w:bottom w:val="single" w:sz="4" w:space="0" w:color="BFBFBF"/>
              <w:right w:val="single" w:sz="4" w:space="0" w:color="BFBFBF"/>
            </w:tcBorders>
            <w:noWrap/>
            <w:vAlign w:val="center"/>
            <w:hideMark/>
          </w:tcPr>
          <w:p w14:paraId="71527CA8" w14:textId="77777777" w:rsidR="00B911CF" w:rsidRDefault="00B911CF">
            <w:pPr>
              <w:jc w:val="right"/>
              <w:rPr>
                <w:rFonts w:cs="Arial"/>
                <w:color w:val="000000"/>
              </w:rPr>
            </w:pPr>
            <w:r>
              <w:rPr>
                <w:rFonts w:cs="Arial"/>
                <w:color w:val="000000"/>
              </w:rPr>
              <w:t xml:space="preserve">-  </w:t>
            </w:r>
          </w:p>
        </w:tc>
        <w:tc>
          <w:tcPr>
            <w:tcW w:w="960" w:type="dxa"/>
            <w:tcBorders>
              <w:top w:val="nil"/>
              <w:left w:val="nil"/>
              <w:bottom w:val="single" w:sz="4" w:space="0" w:color="BFBFBF"/>
              <w:right w:val="single" w:sz="4" w:space="0" w:color="BFBFBF"/>
            </w:tcBorders>
            <w:noWrap/>
            <w:vAlign w:val="center"/>
            <w:hideMark/>
          </w:tcPr>
          <w:p w14:paraId="04853963" w14:textId="77777777" w:rsidR="00B911CF" w:rsidRDefault="00B911CF">
            <w:pPr>
              <w:jc w:val="right"/>
              <w:rPr>
                <w:rFonts w:cs="Arial"/>
                <w:color w:val="000000"/>
              </w:rPr>
            </w:pPr>
            <w:r>
              <w:rPr>
                <w:rFonts w:cs="Arial"/>
                <w:color w:val="000000"/>
              </w:rPr>
              <w:t xml:space="preserve">7,599 </w:t>
            </w:r>
          </w:p>
        </w:tc>
        <w:tc>
          <w:tcPr>
            <w:tcW w:w="1012" w:type="dxa"/>
            <w:tcBorders>
              <w:top w:val="nil"/>
              <w:left w:val="nil"/>
              <w:bottom w:val="single" w:sz="4" w:space="0" w:color="BFBFBF"/>
              <w:right w:val="single" w:sz="4" w:space="0" w:color="auto"/>
            </w:tcBorders>
            <w:noWrap/>
            <w:vAlign w:val="center"/>
            <w:hideMark/>
          </w:tcPr>
          <w:p w14:paraId="05F7444A" w14:textId="77777777" w:rsidR="00B911CF" w:rsidRDefault="00B911CF">
            <w:pPr>
              <w:jc w:val="right"/>
              <w:rPr>
                <w:rFonts w:cs="Arial"/>
                <w:color w:val="000000"/>
              </w:rPr>
            </w:pPr>
            <w:r>
              <w:rPr>
                <w:rFonts w:cs="Arial"/>
                <w:color w:val="000000"/>
              </w:rPr>
              <w:t xml:space="preserve">59,838 </w:t>
            </w:r>
          </w:p>
        </w:tc>
      </w:tr>
      <w:tr w:rsidR="00B911CF" w14:paraId="1132B5E5" w14:textId="77777777" w:rsidTr="00B911CF">
        <w:trPr>
          <w:trHeight w:val="510"/>
        </w:trPr>
        <w:tc>
          <w:tcPr>
            <w:tcW w:w="3254" w:type="dxa"/>
            <w:tcBorders>
              <w:top w:val="nil"/>
              <w:left w:val="single" w:sz="4" w:space="0" w:color="auto"/>
              <w:bottom w:val="single" w:sz="4" w:space="0" w:color="BFBFBF"/>
              <w:right w:val="single" w:sz="4" w:space="0" w:color="BFBFBF"/>
            </w:tcBorders>
            <w:vAlign w:val="center"/>
            <w:hideMark/>
          </w:tcPr>
          <w:p w14:paraId="72D14411" w14:textId="77777777" w:rsidR="00B911CF" w:rsidRDefault="00B911CF">
            <w:pPr>
              <w:jc w:val="left"/>
              <w:rPr>
                <w:rFonts w:cs="Arial"/>
                <w:color w:val="000000"/>
              </w:rPr>
            </w:pPr>
            <w:r>
              <w:rPr>
                <w:rFonts w:cs="Arial"/>
                <w:color w:val="000000"/>
              </w:rPr>
              <w:t>Assistant Director of Housing and Environmental Services</w:t>
            </w:r>
          </w:p>
        </w:tc>
        <w:tc>
          <w:tcPr>
            <w:tcW w:w="482" w:type="dxa"/>
            <w:tcBorders>
              <w:top w:val="nil"/>
              <w:left w:val="nil"/>
              <w:bottom w:val="single" w:sz="4" w:space="0" w:color="BFBFBF"/>
              <w:right w:val="single" w:sz="4" w:space="0" w:color="BFBFBF"/>
            </w:tcBorders>
            <w:noWrap/>
            <w:vAlign w:val="center"/>
            <w:hideMark/>
          </w:tcPr>
          <w:p w14:paraId="612D2BB2" w14:textId="77777777" w:rsidR="00B911CF" w:rsidRDefault="00B911CF">
            <w:pPr>
              <w:jc w:val="center"/>
              <w:rPr>
                <w:rFonts w:cs="Arial"/>
                <w:color w:val="000000"/>
              </w:rPr>
            </w:pPr>
            <w:r>
              <w:rPr>
                <w:rFonts w:cs="Arial"/>
                <w:color w:val="000000"/>
              </w:rPr>
              <w:t> </w:t>
            </w:r>
          </w:p>
        </w:tc>
        <w:tc>
          <w:tcPr>
            <w:tcW w:w="1012" w:type="dxa"/>
            <w:tcBorders>
              <w:top w:val="nil"/>
              <w:left w:val="nil"/>
              <w:bottom w:val="single" w:sz="4" w:space="0" w:color="BFBFBF"/>
              <w:right w:val="single" w:sz="4" w:space="0" w:color="BFBFBF"/>
            </w:tcBorders>
            <w:noWrap/>
            <w:vAlign w:val="center"/>
            <w:hideMark/>
          </w:tcPr>
          <w:p w14:paraId="1CF23EAE" w14:textId="77777777" w:rsidR="00B911CF" w:rsidRDefault="00B911CF">
            <w:pPr>
              <w:jc w:val="right"/>
              <w:rPr>
                <w:rFonts w:cs="Arial"/>
                <w:color w:val="000000"/>
              </w:rPr>
            </w:pPr>
            <w:r>
              <w:rPr>
                <w:rFonts w:cs="Arial"/>
                <w:color w:val="000000"/>
              </w:rPr>
              <w:t xml:space="preserve">48,284 </w:t>
            </w:r>
          </w:p>
        </w:tc>
        <w:tc>
          <w:tcPr>
            <w:tcW w:w="960" w:type="dxa"/>
            <w:tcBorders>
              <w:top w:val="nil"/>
              <w:left w:val="nil"/>
              <w:bottom w:val="single" w:sz="4" w:space="0" w:color="BFBFBF"/>
              <w:right w:val="single" w:sz="4" w:space="0" w:color="BFBFBF"/>
            </w:tcBorders>
            <w:noWrap/>
            <w:vAlign w:val="center"/>
            <w:hideMark/>
          </w:tcPr>
          <w:p w14:paraId="145B6C16" w14:textId="77777777" w:rsidR="00B911CF" w:rsidRDefault="00B911CF">
            <w:pPr>
              <w:jc w:val="right"/>
              <w:rPr>
                <w:rFonts w:cs="Arial"/>
                <w:color w:val="000000"/>
              </w:rPr>
            </w:pPr>
            <w:r>
              <w:rPr>
                <w:rFonts w:cs="Arial"/>
                <w:color w:val="000000"/>
              </w:rPr>
              <w:t xml:space="preserve">1,239 </w:t>
            </w:r>
          </w:p>
        </w:tc>
        <w:tc>
          <w:tcPr>
            <w:tcW w:w="960" w:type="dxa"/>
            <w:tcBorders>
              <w:top w:val="nil"/>
              <w:left w:val="nil"/>
              <w:bottom w:val="single" w:sz="4" w:space="0" w:color="BFBFBF"/>
              <w:right w:val="single" w:sz="4" w:space="0" w:color="BFBFBF"/>
            </w:tcBorders>
            <w:noWrap/>
            <w:vAlign w:val="center"/>
            <w:hideMark/>
          </w:tcPr>
          <w:p w14:paraId="124E376D" w14:textId="77777777" w:rsidR="00B911CF" w:rsidRDefault="00B911CF">
            <w:pPr>
              <w:jc w:val="right"/>
              <w:rPr>
                <w:rFonts w:cs="Arial"/>
                <w:color w:val="000000"/>
              </w:rPr>
            </w:pPr>
            <w:r>
              <w:rPr>
                <w:rFonts w:cs="Arial"/>
                <w:color w:val="000000"/>
              </w:rPr>
              <w:t xml:space="preserve">-  </w:t>
            </w:r>
          </w:p>
        </w:tc>
        <w:tc>
          <w:tcPr>
            <w:tcW w:w="960" w:type="dxa"/>
            <w:tcBorders>
              <w:top w:val="nil"/>
              <w:left w:val="nil"/>
              <w:bottom w:val="single" w:sz="4" w:space="0" w:color="BFBFBF"/>
              <w:right w:val="single" w:sz="4" w:space="0" w:color="BFBFBF"/>
            </w:tcBorders>
            <w:noWrap/>
            <w:vAlign w:val="center"/>
            <w:hideMark/>
          </w:tcPr>
          <w:p w14:paraId="5DB1033F" w14:textId="77777777" w:rsidR="00B911CF" w:rsidRDefault="00B911CF">
            <w:pPr>
              <w:jc w:val="right"/>
              <w:rPr>
                <w:rFonts w:cs="Arial"/>
                <w:color w:val="000000"/>
              </w:rPr>
            </w:pPr>
            <w:r>
              <w:rPr>
                <w:rFonts w:cs="Arial"/>
                <w:color w:val="000000"/>
              </w:rPr>
              <w:t xml:space="preserve">-  </w:t>
            </w:r>
          </w:p>
        </w:tc>
        <w:tc>
          <w:tcPr>
            <w:tcW w:w="960" w:type="dxa"/>
            <w:tcBorders>
              <w:top w:val="nil"/>
              <w:left w:val="nil"/>
              <w:bottom w:val="single" w:sz="4" w:space="0" w:color="BFBFBF"/>
              <w:right w:val="single" w:sz="4" w:space="0" w:color="BFBFBF"/>
            </w:tcBorders>
            <w:noWrap/>
            <w:vAlign w:val="center"/>
            <w:hideMark/>
          </w:tcPr>
          <w:p w14:paraId="6AD67FFF" w14:textId="77777777" w:rsidR="00B911CF" w:rsidRDefault="00B911CF">
            <w:pPr>
              <w:jc w:val="right"/>
              <w:rPr>
                <w:rFonts w:cs="Arial"/>
                <w:color w:val="000000"/>
              </w:rPr>
            </w:pPr>
            <w:r>
              <w:rPr>
                <w:rFonts w:cs="Arial"/>
                <w:color w:val="000000"/>
              </w:rPr>
              <w:t xml:space="preserve">7,194 </w:t>
            </w:r>
          </w:p>
        </w:tc>
        <w:tc>
          <w:tcPr>
            <w:tcW w:w="1012" w:type="dxa"/>
            <w:tcBorders>
              <w:top w:val="nil"/>
              <w:left w:val="nil"/>
              <w:bottom w:val="single" w:sz="4" w:space="0" w:color="BFBFBF"/>
              <w:right w:val="single" w:sz="4" w:space="0" w:color="auto"/>
            </w:tcBorders>
            <w:noWrap/>
            <w:vAlign w:val="center"/>
            <w:hideMark/>
          </w:tcPr>
          <w:p w14:paraId="41F939FF" w14:textId="77777777" w:rsidR="00B911CF" w:rsidRDefault="00B911CF">
            <w:pPr>
              <w:jc w:val="right"/>
              <w:rPr>
                <w:rFonts w:cs="Arial"/>
                <w:color w:val="000000"/>
              </w:rPr>
            </w:pPr>
            <w:r>
              <w:rPr>
                <w:rFonts w:cs="Arial"/>
                <w:color w:val="000000"/>
              </w:rPr>
              <w:t xml:space="preserve">56,717 </w:t>
            </w:r>
          </w:p>
        </w:tc>
      </w:tr>
      <w:tr w:rsidR="00B911CF" w14:paraId="46977840" w14:textId="77777777" w:rsidTr="00B911CF">
        <w:trPr>
          <w:trHeight w:val="510"/>
        </w:trPr>
        <w:tc>
          <w:tcPr>
            <w:tcW w:w="3254" w:type="dxa"/>
            <w:tcBorders>
              <w:top w:val="nil"/>
              <w:left w:val="single" w:sz="4" w:space="0" w:color="auto"/>
              <w:bottom w:val="single" w:sz="4" w:space="0" w:color="BFBFBF"/>
              <w:right w:val="single" w:sz="4" w:space="0" w:color="BFBFBF"/>
            </w:tcBorders>
            <w:vAlign w:val="center"/>
            <w:hideMark/>
          </w:tcPr>
          <w:p w14:paraId="6178C5E4" w14:textId="77777777" w:rsidR="00B911CF" w:rsidRDefault="00B911CF">
            <w:pPr>
              <w:jc w:val="left"/>
              <w:rPr>
                <w:rFonts w:cs="Arial"/>
                <w:color w:val="000000"/>
              </w:rPr>
            </w:pPr>
            <w:r>
              <w:rPr>
                <w:rFonts w:cs="Arial"/>
                <w:color w:val="000000"/>
              </w:rPr>
              <w:t>Assistant Director of Scrutiny and Democratic Services</w:t>
            </w:r>
          </w:p>
        </w:tc>
        <w:tc>
          <w:tcPr>
            <w:tcW w:w="482" w:type="dxa"/>
            <w:tcBorders>
              <w:top w:val="nil"/>
              <w:left w:val="nil"/>
              <w:bottom w:val="single" w:sz="4" w:space="0" w:color="BFBFBF"/>
              <w:right w:val="single" w:sz="4" w:space="0" w:color="BFBFBF"/>
            </w:tcBorders>
            <w:noWrap/>
            <w:vAlign w:val="center"/>
            <w:hideMark/>
          </w:tcPr>
          <w:p w14:paraId="714CA267" w14:textId="77777777" w:rsidR="00B911CF" w:rsidRDefault="00B911CF">
            <w:pPr>
              <w:jc w:val="center"/>
              <w:rPr>
                <w:rFonts w:cs="Arial"/>
                <w:color w:val="000000"/>
              </w:rPr>
            </w:pPr>
            <w:r>
              <w:rPr>
                <w:rFonts w:cs="Arial"/>
                <w:color w:val="000000"/>
              </w:rPr>
              <w:t> </w:t>
            </w:r>
          </w:p>
        </w:tc>
        <w:tc>
          <w:tcPr>
            <w:tcW w:w="1012" w:type="dxa"/>
            <w:tcBorders>
              <w:top w:val="nil"/>
              <w:left w:val="nil"/>
              <w:bottom w:val="single" w:sz="4" w:space="0" w:color="BFBFBF"/>
              <w:right w:val="single" w:sz="4" w:space="0" w:color="BFBFBF"/>
            </w:tcBorders>
            <w:noWrap/>
            <w:vAlign w:val="center"/>
            <w:hideMark/>
          </w:tcPr>
          <w:p w14:paraId="23FF3CCF" w14:textId="77777777" w:rsidR="00B911CF" w:rsidRDefault="00B911CF">
            <w:pPr>
              <w:jc w:val="right"/>
              <w:rPr>
                <w:rFonts w:cs="Arial"/>
                <w:color w:val="000000"/>
              </w:rPr>
            </w:pPr>
            <w:r>
              <w:rPr>
                <w:rFonts w:cs="Arial"/>
                <w:color w:val="000000"/>
              </w:rPr>
              <w:t xml:space="preserve">48,739 </w:t>
            </w:r>
          </w:p>
        </w:tc>
        <w:tc>
          <w:tcPr>
            <w:tcW w:w="960" w:type="dxa"/>
            <w:tcBorders>
              <w:top w:val="nil"/>
              <w:left w:val="nil"/>
              <w:bottom w:val="single" w:sz="4" w:space="0" w:color="BFBFBF"/>
              <w:right w:val="single" w:sz="4" w:space="0" w:color="BFBFBF"/>
            </w:tcBorders>
            <w:noWrap/>
            <w:vAlign w:val="center"/>
            <w:hideMark/>
          </w:tcPr>
          <w:p w14:paraId="11CCA08D" w14:textId="77777777" w:rsidR="00B911CF" w:rsidRDefault="00B911CF">
            <w:pPr>
              <w:jc w:val="right"/>
              <w:rPr>
                <w:rFonts w:cs="Arial"/>
                <w:color w:val="000000"/>
              </w:rPr>
            </w:pPr>
            <w:r>
              <w:rPr>
                <w:rFonts w:cs="Arial"/>
                <w:color w:val="000000"/>
              </w:rPr>
              <w:t xml:space="preserve">1,239 </w:t>
            </w:r>
          </w:p>
        </w:tc>
        <w:tc>
          <w:tcPr>
            <w:tcW w:w="960" w:type="dxa"/>
            <w:tcBorders>
              <w:top w:val="nil"/>
              <w:left w:val="nil"/>
              <w:bottom w:val="single" w:sz="4" w:space="0" w:color="BFBFBF"/>
              <w:right w:val="single" w:sz="4" w:space="0" w:color="BFBFBF"/>
            </w:tcBorders>
            <w:noWrap/>
            <w:vAlign w:val="center"/>
            <w:hideMark/>
          </w:tcPr>
          <w:p w14:paraId="72380268" w14:textId="77777777" w:rsidR="00B911CF" w:rsidRDefault="00B911CF">
            <w:pPr>
              <w:jc w:val="right"/>
              <w:rPr>
                <w:rFonts w:cs="Arial"/>
                <w:color w:val="000000"/>
              </w:rPr>
            </w:pPr>
            <w:r>
              <w:rPr>
                <w:rFonts w:cs="Arial"/>
                <w:color w:val="000000"/>
              </w:rPr>
              <w:t xml:space="preserve">-  </w:t>
            </w:r>
          </w:p>
        </w:tc>
        <w:tc>
          <w:tcPr>
            <w:tcW w:w="960" w:type="dxa"/>
            <w:tcBorders>
              <w:top w:val="nil"/>
              <w:left w:val="nil"/>
              <w:bottom w:val="single" w:sz="4" w:space="0" w:color="BFBFBF"/>
              <w:right w:val="single" w:sz="4" w:space="0" w:color="BFBFBF"/>
            </w:tcBorders>
            <w:noWrap/>
            <w:vAlign w:val="center"/>
            <w:hideMark/>
          </w:tcPr>
          <w:p w14:paraId="69C15108" w14:textId="77777777" w:rsidR="00B911CF" w:rsidRDefault="00B911CF">
            <w:pPr>
              <w:jc w:val="right"/>
              <w:rPr>
                <w:rFonts w:cs="Arial"/>
                <w:color w:val="000000"/>
              </w:rPr>
            </w:pPr>
            <w:r>
              <w:rPr>
                <w:rFonts w:cs="Arial"/>
                <w:color w:val="000000"/>
              </w:rPr>
              <w:t xml:space="preserve">-  </w:t>
            </w:r>
          </w:p>
        </w:tc>
        <w:tc>
          <w:tcPr>
            <w:tcW w:w="960" w:type="dxa"/>
            <w:tcBorders>
              <w:top w:val="nil"/>
              <w:left w:val="nil"/>
              <w:bottom w:val="single" w:sz="4" w:space="0" w:color="BFBFBF"/>
              <w:right w:val="single" w:sz="4" w:space="0" w:color="BFBFBF"/>
            </w:tcBorders>
            <w:noWrap/>
            <w:vAlign w:val="center"/>
            <w:hideMark/>
          </w:tcPr>
          <w:p w14:paraId="384E867C" w14:textId="77777777" w:rsidR="00B911CF" w:rsidRDefault="00B911CF">
            <w:pPr>
              <w:jc w:val="right"/>
              <w:rPr>
                <w:rFonts w:cs="Arial"/>
                <w:color w:val="000000"/>
              </w:rPr>
            </w:pPr>
            <w:r>
              <w:rPr>
                <w:rFonts w:cs="Arial"/>
                <w:color w:val="000000"/>
              </w:rPr>
              <w:t xml:space="preserve">7,262 </w:t>
            </w:r>
          </w:p>
        </w:tc>
        <w:tc>
          <w:tcPr>
            <w:tcW w:w="1012" w:type="dxa"/>
            <w:tcBorders>
              <w:top w:val="nil"/>
              <w:left w:val="nil"/>
              <w:bottom w:val="single" w:sz="4" w:space="0" w:color="BFBFBF"/>
              <w:right w:val="single" w:sz="4" w:space="0" w:color="auto"/>
            </w:tcBorders>
            <w:noWrap/>
            <w:vAlign w:val="center"/>
            <w:hideMark/>
          </w:tcPr>
          <w:p w14:paraId="378A1013" w14:textId="77777777" w:rsidR="00B911CF" w:rsidRDefault="00B911CF">
            <w:pPr>
              <w:jc w:val="right"/>
              <w:rPr>
                <w:rFonts w:cs="Arial"/>
                <w:color w:val="000000"/>
              </w:rPr>
            </w:pPr>
            <w:r>
              <w:rPr>
                <w:rFonts w:cs="Arial"/>
                <w:color w:val="000000"/>
              </w:rPr>
              <w:t xml:space="preserve">57,240 </w:t>
            </w:r>
          </w:p>
        </w:tc>
      </w:tr>
      <w:tr w:rsidR="00B911CF" w14:paraId="5D5DD40A" w14:textId="77777777" w:rsidTr="00B911CF">
        <w:trPr>
          <w:trHeight w:val="300"/>
        </w:trPr>
        <w:tc>
          <w:tcPr>
            <w:tcW w:w="3254" w:type="dxa"/>
            <w:tcBorders>
              <w:top w:val="nil"/>
              <w:left w:val="single" w:sz="4" w:space="0" w:color="auto"/>
              <w:bottom w:val="single" w:sz="4" w:space="0" w:color="auto"/>
              <w:right w:val="single" w:sz="4" w:space="0" w:color="BFBFBF"/>
            </w:tcBorders>
            <w:vAlign w:val="center"/>
            <w:hideMark/>
          </w:tcPr>
          <w:p w14:paraId="3BED16CD" w14:textId="77777777" w:rsidR="00B911CF" w:rsidRDefault="00B911CF">
            <w:pPr>
              <w:jc w:val="left"/>
              <w:rPr>
                <w:rFonts w:cs="Arial"/>
                <w:color w:val="000000"/>
              </w:rPr>
            </w:pPr>
            <w:r>
              <w:rPr>
                <w:rFonts w:cs="Arial"/>
                <w:color w:val="000000"/>
              </w:rPr>
              <w:t>Interim Head of Shared Assurance</w:t>
            </w:r>
          </w:p>
        </w:tc>
        <w:tc>
          <w:tcPr>
            <w:tcW w:w="482" w:type="dxa"/>
            <w:tcBorders>
              <w:top w:val="nil"/>
              <w:left w:val="nil"/>
              <w:bottom w:val="single" w:sz="4" w:space="0" w:color="auto"/>
              <w:right w:val="single" w:sz="4" w:space="0" w:color="BFBFBF"/>
            </w:tcBorders>
            <w:noWrap/>
            <w:vAlign w:val="center"/>
            <w:hideMark/>
          </w:tcPr>
          <w:p w14:paraId="1190915D" w14:textId="77777777" w:rsidR="00B911CF" w:rsidRDefault="00B911CF">
            <w:pPr>
              <w:jc w:val="center"/>
              <w:rPr>
                <w:rFonts w:cs="Arial"/>
                <w:color w:val="000000"/>
              </w:rPr>
            </w:pPr>
            <w:r>
              <w:rPr>
                <w:rFonts w:cs="Arial"/>
                <w:color w:val="000000"/>
              </w:rPr>
              <w:t>E</w:t>
            </w:r>
          </w:p>
        </w:tc>
        <w:tc>
          <w:tcPr>
            <w:tcW w:w="1012" w:type="dxa"/>
            <w:tcBorders>
              <w:top w:val="nil"/>
              <w:left w:val="nil"/>
              <w:bottom w:val="single" w:sz="4" w:space="0" w:color="auto"/>
              <w:right w:val="single" w:sz="4" w:space="0" w:color="BFBFBF"/>
            </w:tcBorders>
            <w:noWrap/>
            <w:vAlign w:val="center"/>
            <w:hideMark/>
          </w:tcPr>
          <w:p w14:paraId="72255CEC" w14:textId="77777777" w:rsidR="00B911CF" w:rsidRDefault="00B911CF">
            <w:pPr>
              <w:jc w:val="right"/>
              <w:rPr>
                <w:rFonts w:cs="Arial"/>
                <w:color w:val="000000"/>
              </w:rPr>
            </w:pPr>
            <w:r>
              <w:rPr>
                <w:rFonts w:cs="Arial"/>
                <w:color w:val="000000"/>
              </w:rPr>
              <w:t xml:space="preserve">92,776 </w:t>
            </w:r>
          </w:p>
        </w:tc>
        <w:tc>
          <w:tcPr>
            <w:tcW w:w="960" w:type="dxa"/>
            <w:tcBorders>
              <w:top w:val="nil"/>
              <w:left w:val="nil"/>
              <w:bottom w:val="single" w:sz="4" w:space="0" w:color="auto"/>
              <w:right w:val="single" w:sz="4" w:space="0" w:color="BFBFBF"/>
            </w:tcBorders>
            <w:noWrap/>
            <w:vAlign w:val="center"/>
            <w:hideMark/>
          </w:tcPr>
          <w:p w14:paraId="1E6AB628" w14:textId="77777777" w:rsidR="00B911CF" w:rsidRDefault="00B911CF">
            <w:pPr>
              <w:jc w:val="right"/>
              <w:rPr>
                <w:rFonts w:cs="Arial"/>
                <w:color w:val="000000"/>
              </w:rPr>
            </w:pPr>
            <w:r>
              <w:rPr>
                <w:rFonts w:cs="Arial"/>
                <w:color w:val="000000"/>
              </w:rPr>
              <w:t xml:space="preserve">-  </w:t>
            </w:r>
          </w:p>
        </w:tc>
        <w:tc>
          <w:tcPr>
            <w:tcW w:w="960" w:type="dxa"/>
            <w:tcBorders>
              <w:top w:val="nil"/>
              <w:left w:val="nil"/>
              <w:bottom w:val="single" w:sz="4" w:space="0" w:color="auto"/>
              <w:right w:val="single" w:sz="4" w:space="0" w:color="BFBFBF"/>
            </w:tcBorders>
            <w:noWrap/>
            <w:vAlign w:val="center"/>
            <w:hideMark/>
          </w:tcPr>
          <w:p w14:paraId="7EDAF013" w14:textId="77777777" w:rsidR="00B911CF" w:rsidRDefault="00B911CF">
            <w:pPr>
              <w:jc w:val="right"/>
              <w:rPr>
                <w:rFonts w:cs="Arial"/>
                <w:color w:val="000000"/>
              </w:rPr>
            </w:pPr>
            <w:r>
              <w:rPr>
                <w:rFonts w:cs="Arial"/>
                <w:color w:val="000000"/>
              </w:rPr>
              <w:t xml:space="preserve">-  </w:t>
            </w:r>
          </w:p>
        </w:tc>
        <w:tc>
          <w:tcPr>
            <w:tcW w:w="960" w:type="dxa"/>
            <w:tcBorders>
              <w:top w:val="nil"/>
              <w:left w:val="nil"/>
              <w:bottom w:val="single" w:sz="4" w:space="0" w:color="auto"/>
              <w:right w:val="single" w:sz="4" w:space="0" w:color="BFBFBF"/>
            </w:tcBorders>
            <w:noWrap/>
            <w:vAlign w:val="center"/>
            <w:hideMark/>
          </w:tcPr>
          <w:p w14:paraId="3038F70C" w14:textId="77777777" w:rsidR="00B911CF" w:rsidRDefault="00B911CF">
            <w:pPr>
              <w:jc w:val="right"/>
              <w:rPr>
                <w:rFonts w:cs="Arial"/>
                <w:color w:val="000000"/>
              </w:rPr>
            </w:pPr>
            <w:r>
              <w:rPr>
                <w:rFonts w:cs="Arial"/>
                <w:color w:val="000000"/>
              </w:rPr>
              <w:t xml:space="preserve">-  </w:t>
            </w:r>
          </w:p>
        </w:tc>
        <w:tc>
          <w:tcPr>
            <w:tcW w:w="960" w:type="dxa"/>
            <w:tcBorders>
              <w:top w:val="nil"/>
              <w:left w:val="nil"/>
              <w:bottom w:val="single" w:sz="4" w:space="0" w:color="auto"/>
              <w:right w:val="single" w:sz="4" w:space="0" w:color="BFBFBF"/>
            </w:tcBorders>
            <w:noWrap/>
            <w:vAlign w:val="center"/>
            <w:hideMark/>
          </w:tcPr>
          <w:p w14:paraId="146A61CD" w14:textId="77777777" w:rsidR="00B911CF" w:rsidRDefault="00B911CF">
            <w:pPr>
              <w:jc w:val="right"/>
              <w:rPr>
                <w:rFonts w:cs="Arial"/>
                <w:color w:val="000000"/>
              </w:rPr>
            </w:pPr>
            <w:r>
              <w:rPr>
                <w:rFonts w:cs="Arial"/>
                <w:color w:val="000000"/>
              </w:rPr>
              <w:t xml:space="preserve">-  </w:t>
            </w:r>
          </w:p>
        </w:tc>
        <w:tc>
          <w:tcPr>
            <w:tcW w:w="1012" w:type="dxa"/>
            <w:tcBorders>
              <w:top w:val="nil"/>
              <w:left w:val="nil"/>
              <w:bottom w:val="single" w:sz="4" w:space="0" w:color="auto"/>
              <w:right w:val="single" w:sz="4" w:space="0" w:color="auto"/>
            </w:tcBorders>
            <w:noWrap/>
            <w:vAlign w:val="center"/>
            <w:hideMark/>
          </w:tcPr>
          <w:p w14:paraId="5036B22A" w14:textId="77777777" w:rsidR="00B911CF" w:rsidRDefault="00B911CF">
            <w:pPr>
              <w:jc w:val="right"/>
              <w:rPr>
                <w:rFonts w:cs="Arial"/>
                <w:color w:val="000000"/>
              </w:rPr>
            </w:pPr>
            <w:r>
              <w:rPr>
                <w:rFonts w:cs="Arial"/>
                <w:color w:val="000000"/>
              </w:rPr>
              <w:t xml:space="preserve">92,776 </w:t>
            </w:r>
          </w:p>
        </w:tc>
      </w:tr>
    </w:tbl>
    <w:p w14:paraId="739C7B37" w14:textId="77777777" w:rsidR="0071689A" w:rsidRDefault="0071689A" w:rsidP="0071689A"/>
    <w:p w14:paraId="552FE949" w14:textId="77777777" w:rsidR="0071689A" w:rsidRPr="003364EC" w:rsidRDefault="0071689A" w:rsidP="0071689A"/>
    <w:p w14:paraId="2A157C8C" w14:textId="74A50974" w:rsidR="0071689A" w:rsidRPr="006143C4" w:rsidRDefault="0071689A" w:rsidP="00E948BF">
      <w:pPr>
        <w:pStyle w:val="ListParagraph"/>
        <w:numPr>
          <w:ilvl w:val="0"/>
          <w:numId w:val="37"/>
        </w:numPr>
        <w:spacing w:line="288" w:lineRule="auto"/>
        <w:ind w:left="357" w:hanging="357"/>
        <w:contextualSpacing/>
        <w:rPr>
          <w:rFonts w:cs="Arial"/>
          <w:szCs w:val="22"/>
        </w:rPr>
      </w:pPr>
      <w:r w:rsidRPr="006143C4">
        <w:rPr>
          <w:rFonts w:cs="Arial"/>
          <w:szCs w:val="22"/>
        </w:rPr>
        <w:t xml:space="preserve">The </w:t>
      </w:r>
      <w:r w:rsidRPr="006143C4">
        <w:rPr>
          <w:rFonts w:cs="Arial"/>
          <w:i/>
          <w:szCs w:val="22"/>
        </w:rPr>
        <w:t xml:space="preserve">Interim Chief Executive </w:t>
      </w:r>
      <w:r w:rsidRPr="006143C4">
        <w:rPr>
          <w:rFonts w:cs="Arial"/>
          <w:szCs w:val="22"/>
        </w:rPr>
        <w:t>was appointed on 1</w:t>
      </w:r>
      <w:r w:rsidRPr="006143C4">
        <w:rPr>
          <w:rFonts w:cs="Arial"/>
          <w:szCs w:val="22"/>
          <w:vertAlign w:val="superscript"/>
        </w:rPr>
        <w:t>st</w:t>
      </w:r>
      <w:r w:rsidRPr="006143C4">
        <w:rPr>
          <w:rFonts w:cs="Arial"/>
          <w:szCs w:val="22"/>
        </w:rPr>
        <w:t xml:space="preserve"> June 2019.  The post-holder is a Chorley Borough Council employee and SRBC has paid 50% of the staffing costs, which are all shown in the ‘salary and allowances’ category.</w:t>
      </w:r>
    </w:p>
    <w:p w14:paraId="1557D756" w14:textId="77777777" w:rsidR="0071689A" w:rsidRPr="003364EC" w:rsidRDefault="0071689A" w:rsidP="00E948BF">
      <w:pPr>
        <w:pStyle w:val="ListParagraph"/>
        <w:numPr>
          <w:ilvl w:val="0"/>
          <w:numId w:val="37"/>
        </w:numPr>
        <w:spacing w:line="288" w:lineRule="auto"/>
        <w:ind w:left="357" w:hanging="357"/>
        <w:contextualSpacing/>
        <w:rPr>
          <w:rFonts w:cs="Arial"/>
          <w:szCs w:val="22"/>
        </w:rPr>
      </w:pPr>
      <w:r w:rsidRPr="003364EC">
        <w:rPr>
          <w:rFonts w:cs="Arial"/>
          <w:szCs w:val="22"/>
        </w:rPr>
        <w:t xml:space="preserve">The </w:t>
      </w:r>
      <w:r>
        <w:rPr>
          <w:rFonts w:cs="Arial"/>
          <w:szCs w:val="22"/>
        </w:rPr>
        <w:t xml:space="preserve">two </w:t>
      </w:r>
      <w:r w:rsidRPr="003364EC">
        <w:rPr>
          <w:rFonts w:cs="Arial"/>
          <w:i/>
          <w:szCs w:val="22"/>
        </w:rPr>
        <w:t>Deputy Chief Executive</w:t>
      </w:r>
      <w:r>
        <w:rPr>
          <w:rFonts w:cs="Arial"/>
          <w:i/>
          <w:szCs w:val="22"/>
        </w:rPr>
        <w:t>s</w:t>
      </w:r>
      <w:r w:rsidRPr="003364EC">
        <w:rPr>
          <w:rFonts w:cs="Arial"/>
          <w:i/>
          <w:szCs w:val="22"/>
        </w:rPr>
        <w:t xml:space="preserve"> </w:t>
      </w:r>
      <w:r>
        <w:rPr>
          <w:rFonts w:cs="Arial"/>
          <w:szCs w:val="22"/>
        </w:rPr>
        <w:t xml:space="preserve">left </w:t>
      </w:r>
      <w:r w:rsidRPr="003364EC">
        <w:rPr>
          <w:rFonts w:cs="Arial"/>
          <w:szCs w:val="22"/>
        </w:rPr>
        <w:t xml:space="preserve">on </w:t>
      </w:r>
      <w:r>
        <w:rPr>
          <w:rFonts w:cs="Arial"/>
          <w:szCs w:val="22"/>
        </w:rPr>
        <w:t>30</w:t>
      </w:r>
      <w:r w:rsidRPr="00FC7AD0">
        <w:rPr>
          <w:rFonts w:cs="Arial"/>
          <w:szCs w:val="22"/>
          <w:vertAlign w:val="superscript"/>
        </w:rPr>
        <w:t>th</w:t>
      </w:r>
      <w:r>
        <w:rPr>
          <w:rFonts w:cs="Arial"/>
          <w:szCs w:val="22"/>
        </w:rPr>
        <w:t xml:space="preserve"> June</w:t>
      </w:r>
      <w:r w:rsidRPr="003364EC">
        <w:rPr>
          <w:rFonts w:cs="Arial"/>
          <w:szCs w:val="22"/>
        </w:rPr>
        <w:t xml:space="preserve"> 201</w:t>
      </w:r>
      <w:r>
        <w:rPr>
          <w:rFonts w:cs="Arial"/>
          <w:szCs w:val="22"/>
        </w:rPr>
        <w:t>9</w:t>
      </w:r>
      <w:r w:rsidRPr="003364EC">
        <w:rPr>
          <w:rFonts w:cs="Arial"/>
          <w:szCs w:val="22"/>
        </w:rPr>
        <w:t>.</w:t>
      </w:r>
      <w:r>
        <w:rPr>
          <w:rFonts w:cs="Arial"/>
          <w:szCs w:val="22"/>
        </w:rPr>
        <w:t xml:space="preserve">  The roles were disestablished on 31</w:t>
      </w:r>
      <w:r w:rsidRPr="00C25DD1">
        <w:rPr>
          <w:rFonts w:cs="Arial"/>
          <w:szCs w:val="22"/>
          <w:vertAlign w:val="superscript"/>
        </w:rPr>
        <w:t>st</w:t>
      </w:r>
      <w:r>
        <w:rPr>
          <w:rFonts w:cs="Arial"/>
          <w:szCs w:val="22"/>
        </w:rPr>
        <w:t xml:space="preserve"> March 2020.</w:t>
      </w:r>
    </w:p>
    <w:p w14:paraId="65ECB4DD" w14:textId="4F5E6EC4" w:rsidR="0071689A" w:rsidRPr="003364EC" w:rsidRDefault="0071689A" w:rsidP="00E948BF">
      <w:pPr>
        <w:pStyle w:val="ListParagraph"/>
        <w:numPr>
          <w:ilvl w:val="0"/>
          <w:numId w:val="37"/>
        </w:numPr>
        <w:spacing w:line="288" w:lineRule="auto"/>
        <w:ind w:left="357" w:hanging="357"/>
        <w:contextualSpacing/>
        <w:rPr>
          <w:rFonts w:cs="Arial"/>
          <w:szCs w:val="22"/>
        </w:rPr>
      </w:pPr>
      <w:r>
        <w:rPr>
          <w:rFonts w:cs="Arial"/>
          <w:szCs w:val="22"/>
        </w:rPr>
        <w:t xml:space="preserve">The </w:t>
      </w:r>
      <w:r>
        <w:rPr>
          <w:rFonts w:cs="Arial"/>
          <w:i/>
          <w:szCs w:val="22"/>
        </w:rPr>
        <w:t xml:space="preserve">Shared Services Lead – Legal </w:t>
      </w:r>
      <w:r>
        <w:rPr>
          <w:rFonts w:cs="Arial"/>
          <w:szCs w:val="22"/>
        </w:rPr>
        <w:t xml:space="preserve">post </w:t>
      </w:r>
      <w:r w:rsidR="002177FD">
        <w:rPr>
          <w:rFonts w:cs="Arial"/>
          <w:szCs w:val="22"/>
        </w:rPr>
        <w:t>w</w:t>
      </w:r>
      <w:r>
        <w:rPr>
          <w:rFonts w:cs="Arial"/>
          <w:szCs w:val="22"/>
        </w:rPr>
        <w:t>as created and filled from 1</w:t>
      </w:r>
      <w:r w:rsidRPr="00C25DD1">
        <w:rPr>
          <w:rFonts w:cs="Arial"/>
          <w:szCs w:val="22"/>
          <w:vertAlign w:val="superscript"/>
        </w:rPr>
        <w:t>st</w:t>
      </w:r>
      <w:r>
        <w:rPr>
          <w:rFonts w:cs="Arial"/>
          <w:szCs w:val="22"/>
        </w:rPr>
        <w:t xml:space="preserve"> December 2019.</w:t>
      </w:r>
    </w:p>
    <w:p w14:paraId="44E36C15" w14:textId="77777777" w:rsidR="0071689A" w:rsidRPr="003364EC" w:rsidRDefault="0071689A" w:rsidP="00E948BF">
      <w:pPr>
        <w:pStyle w:val="ListParagraph"/>
        <w:numPr>
          <w:ilvl w:val="0"/>
          <w:numId w:val="37"/>
        </w:numPr>
        <w:spacing w:line="288" w:lineRule="auto"/>
        <w:ind w:left="357" w:hanging="357"/>
        <w:contextualSpacing/>
        <w:rPr>
          <w:rFonts w:cs="Arial"/>
          <w:szCs w:val="22"/>
        </w:rPr>
      </w:pPr>
      <w:r w:rsidRPr="003364EC">
        <w:rPr>
          <w:rFonts w:cs="Arial"/>
          <w:szCs w:val="22"/>
        </w:rPr>
        <w:t xml:space="preserve">The </w:t>
      </w:r>
      <w:r w:rsidRPr="00C25DD1">
        <w:rPr>
          <w:rFonts w:cs="Arial"/>
          <w:i/>
          <w:szCs w:val="22"/>
        </w:rPr>
        <w:t xml:space="preserve">Legal Services Manager and Monitoring Officer </w:t>
      </w:r>
      <w:r>
        <w:rPr>
          <w:rFonts w:cs="Arial"/>
          <w:szCs w:val="22"/>
        </w:rPr>
        <w:t>post w</w:t>
      </w:r>
      <w:r w:rsidRPr="003364EC">
        <w:rPr>
          <w:rFonts w:cs="Arial"/>
          <w:szCs w:val="22"/>
        </w:rPr>
        <w:t xml:space="preserve">as </w:t>
      </w:r>
      <w:r>
        <w:rPr>
          <w:rFonts w:cs="Arial"/>
          <w:szCs w:val="22"/>
        </w:rPr>
        <w:t>disestablished on 30</w:t>
      </w:r>
      <w:r w:rsidRPr="00C25DD1">
        <w:rPr>
          <w:rFonts w:cs="Arial"/>
          <w:szCs w:val="22"/>
          <w:vertAlign w:val="superscript"/>
        </w:rPr>
        <w:t>th</w:t>
      </w:r>
      <w:r>
        <w:rPr>
          <w:rFonts w:cs="Arial"/>
          <w:szCs w:val="22"/>
        </w:rPr>
        <w:t xml:space="preserve"> November 2019.</w:t>
      </w:r>
    </w:p>
    <w:p w14:paraId="63B64DC0" w14:textId="77777777" w:rsidR="0071689A" w:rsidRPr="003364EC" w:rsidRDefault="0071689A" w:rsidP="00E948BF">
      <w:pPr>
        <w:pStyle w:val="ListParagraph"/>
        <w:numPr>
          <w:ilvl w:val="0"/>
          <w:numId w:val="37"/>
        </w:numPr>
        <w:spacing w:line="288" w:lineRule="auto"/>
        <w:ind w:left="357" w:hanging="357"/>
        <w:contextualSpacing/>
        <w:rPr>
          <w:rFonts w:cs="Arial"/>
          <w:szCs w:val="22"/>
        </w:rPr>
      </w:pPr>
      <w:r w:rsidRPr="003364EC">
        <w:rPr>
          <w:rFonts w:cs="Arial"/>
          <w:szCs w:val="22"/>
        </w:rPr>
        <w:t xml:space="preserve">The </w:t>
      </w:r>
      <w:r w:rsidRPr="003364EC">
        <w:rPr>
          <w:rFonts w:cs="Arial"/>
          <w:i/>
          <w:szCs w:val="22"/>
        </w:rPr>
        <w:t>Interim</w:t>
      </w:r>
      <w:r>
        <w:rPr>
          <w:rFonts w:cs="Arial"/>
          <w:i/>
          <w:szCs w:val="22"/>
        </w:rPr>
        <w:t xml:space="preserve"> Head of Shared Assurance</w:t>
      </w:r>
      <w:r w:rsidRPr="003364EC">
        <w:rPr>
          <w:rFonts w:cs="Arial"/>
          <w:szCs w:val="22"/>
        </w:rPr>
        <w:t xml:space="preserve"> was paid via a consultancy arrangement </w:t>
      </w:r>
      <w:r>
        <w:rPr>
          <w:rFonts w:cs="Arial"/>
          <w:szCs w:val="22"/>
        </w:rPr>
        <w:t>up to 31</w:t>
      </w:r>
      <w:r w:rsidRPr="00660404">
        <w:rPr>
          <w:rFonts w:cs="Arial"/>
          <w:szCs w:val="22"/>
          <w:vertAlign w:val="superscript"/>
        </w:rPr>
        <w:t>st</w:t>
      </w:r>
      <w:r>
        <w:rPr>
          <w:rFonts w:cs="Arial"/>
          <w:szCs w:val="22"/>
        </w:rPr>
        <w:t xml:space="preserve"> December 2019 and was then brought onto the payroll from 1</w:t>
      </w:r>
      <w:r w:rsidRPr="00C25DD1">
        <w:rPr>
          <w:rFonts w:cs="Arial"/>
          <w:szCs w:val="22"/>
          <w:vertAlign w:val="superscript"/>
        </w:rPr>
        <w:t>st</w:t>
      </w:r>
      <w:r>
        <w:rPr>
          <w:rFonts w:cs="Arial"/>
          <w:szCs w:val="22"/>
        </w:rPr>
        <w:t xml:space="preserve"> January 2020.</w:t>
      </w:r>
    </w:p>
    <w:p w14:paraId="5C4D35ED" w14:textId="108DE072" w:rsidR="006143C4" w:rsidRDefault="006143C4" w:rsidP="006143C4"/>
    <w:p w14:paraId="2DE82D9D" w14:textId="77777777" w:rsidR="006143C4" w:rsidRDefault="006143C4" w:rsidP="006143C4"/>
    <w:p w14:paraId="191AB305" w14:textId="77777777" w:rsidR="006143C4" w:rsidRDefault="006143C4" w:rsidP="006143C4">
      <w:r>
        <w:t xml:space="preserve">The table below shows the number of employees, other than senior officers listed above, that has a total </w:t>
      </w:r>
      <w:r w:rsidRPr="007406BB">
        <w:t xml:space="preserve">remuneration of </w:t>
      </w:r>
      <w:r>
        <w:t>£50,000 or more</w:t>
      </w:r>
      <w:r w:rsidRPr="007406BB">
        <w:t>, excluding pension contributions</w:t>
      </w:r>
      <w:r>
        <w:t>.</w:t>
      </w:r>
    </w:p>
    <w:p w14:paraId="30528C34" w14:textId="77777777" w:rsidR="006143C4" w:rsidRDefault="006143C4" w:rsidP="006143C4"/>
    <w:tbl>
      <w:tblPr>
        <w:tblW w:w="6640" w:type="dxa"/>
        <w:tblLook w:val="04A0" w:firstRow="1" w:lastRow="0" w:firstColumn="1" w:lastColumn="0" w:noHBand="0" w:noVBand="1"/>
      </w:tblPr>
      <w:tblGrid>
        <w:gridCol w:w="2280"/>
        <w:gridCol w:w="2180"/>
        <w:gridCol w:w="2180"/>
      </w:tblGrid>
      <w:tr w:rsidR="006143C4" w:rsidRPr="002316D9" w14:paraId="69E7641E" w14:textId="77777777" w:rsidTr="006143C4">
        <w:trPr>
          <w:trHeight w:val="900"/>
        </w:trPr>
        <w:tc>
          <w:tcPr>
            <w:tcW w:w="228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69D96202" w14:textId="77777777" w:rsidR="006143C4" w:rsidRPr="002316D9" w:rsidRDefault="006143C4" w:rsidP="006143C4">
            <w:pPr>
              <w:jc w:val="left"/>
              <w:rPr>
                <w:rFonts w:cs="Arial"/>
                <w:b/>
                <w:bCs/>
                <w:color w:val="000000"/>
              </w:rPr>
            </w:pPr>
            <w:r w:rsidRPr="002316D9">
              <w:rPr>
                <w:rFonts w:cs="Arial"/>
                <w:b/>
                <w:bCs/>
                <w:color w:val="000000"/>
              </w:rPr>
              <w:t>Total Remuneration Banding</w:t>
            </w:r>
          </w:p>
        </w:tc>
        <w:tc>
          <w:tcPr>
            <w:tcW w:w="2180" w:type="dxa"/>
            <w:tcBorders>
              <w:top w:val="single" w:sz="4" w:space="0" w:color="auto"/>
              <w:left w:val="nil"/>
              <w:bottom w:val="single" w:sz="4" w:space="0" w:color="auto"/>
              <w:right w:val="single" w:sz="4" w:space="0" w:color="auto"/>
            </w:tcBorders>
            <w:shd w:val="clear" w:color="000000" w:fill="B8CCE4"/>
            <w:vAlign w:val="center"/>
            <w:hideMark/>
          </w:tcPr>
          <w:p w14:paraId="5391CCA1" w14:textId="77777777" w:rsidR="006143C4" w:rsidRPr="002316D9" w:rsidRDefault="006143C4" w:rsidP="006143C4">
            <w:pPr>
              <w:jc w:val="center"/>
              <w:rPr>
                <w:rFonts w:cs="Arial"/>
                <w:b/>
                <w:bCs/>
                <w:color w:val="000000"/>
              </w:rPr>
            </w:pPr>
            <w:r w:rsidRPr="002316D9">
              <w:rPr>
                <w:rFonts w:cs="Arial"/>
                <w:b/>
                <w:bCs/>
                <w:color w:val="000000"/>
              </w:rPr>
              <w:t>Number of</w:t>
            </w:r>
            <w:r w:rsidRPr="002316D9">
              <w:rPr>
                <w:rFonts w:cs="Arial"/>
                <w:b/>
                <w:bCs/>
                <w:color w:val="000000"/>
              </w:rPr>
              <w:br/>
              <w:t>employees</w:t>
            </w:r>
            <w:r w:rsidRPr="002316D9">
              <w:rPr>
                <w:rFonts w:cs="Arial"/>
                <w:b/>
                <w:bCs/>
                <w:color w:val="000000"/>
              </w:rPr>
              <w:br/>
              <w:t>20</w:t>
            </w:r>
            <w:r>
              <w:rPr>
                <w:rFonts w:cs="Arial"/>
                <w:b/>
                <w:bCs/>
                <w:color w:val="000000"/>
              </w:rPr>
              <w:t>19</w:t>
            </w:r>
            <w:r w:rsidRPr="002316D9">
              <w:rPr>
                <w:rFonts w:cs="Arial"/>
                <w:b/>
                <w:bCs/>
                <w:color w:val="000000"/>
              </w:rPr>
              <w:t>-</w:t>
            </w:r>
            <w:r>
              <w:rPr>
                <w:rFonts w:cs="Arial"/>
                <w:b/>
                <w:bCs/>
                <w:color w:val="000000"/>
              </w:rPr>
              <w:t>20</w:t>
            </w:r>
          </w:p>
        </w:tc>
        <w:tc>
          <w:tcPr>
            <w:tcW w:w="2180" w:type="dxa"/>
            <w:tcBorders>
              <w:top w:val="single" w:sz="4" w:space="0" w:color="auto"/>
              <w:left w:val="nil"/>
              <w:bottom w:val="single" w:sz="4" w:space="0" w:color="auto"/>
              <w:right w:val="single" w:sz="4" w:space="0" w:color="auto"/>
            </w:tcBorders>
            <w:shd w:val="clear" w:color="000000" w:fill="B8CCE4"/>
            <w:vAlign w:val="center"/>
            <w:hideMark/>
          </w:tcPr>
          <w:p w14:paraId="1B641787" w14:textId="77777777" w:rsidR="006143C4" w:rsidRPr="002316D9" w:rsidRDefault="006143C4" w:rsidP="006143C4">
            <w:pPr>
              <w:jc w:val="center"/>
              <w:rPr>
                <w:rFonts w:cs="Arial"/>
                <w:b/>
                <w:bCs/>
                <w:color w:val="000000"/>
              </w:rPr>
            </w:pPr>
            <w:r w:rsidRPr="002316D9">
              <w:rPr>
                <w:rFonts w:cs="Arial"/>
                <w:b/>
                <w:bCs/>
                <w:color w:val="000000"/>
              </w:rPr>
              <w:t>Number of</w:t>
            </w:r>
            <w:r w:rsidRPr="002316D9">
              <w:rPr>
                <w:rFonts w:cs="Arial"/>
                <w:b/>
                <w:bCs/>
                <w:color w:val="000000"/>
              </w:rPr>
              <w:br/>
              <w:t>employees</w:t>
            </w:r>
            <w:r w:rsidRPr="002316D9">
              <w:rPr>
                <w:rFonts w:cs="Arial"/>
                <w:b/>
                <w:bCs/>
                <w:color w:val="000000"/>
              </w:rPr>
              <w:br/>
              <w:t>20</w:t>
            </w:r>
            <w:r>
              <w:rPr>
                <w:rFonts w:cs="Arial"/>
                <w:b/>
                <w:bCs/>
                <w:color w:val="000000"/>
              </w:rPr>
              <w:t>20</w:t>
            </w:r>
            <w:r w:rsidRPr="002316D9">
              <w:rPr>
                <w:rFonts w:cs="Arial"/>
                <w:b/>
                <w:bCs/>
                <w:color w:val="000000"/>
              </w:rPr>
              <w:t>-2</w:t>
            </w:r>
            <w:r>
              <w:rPr>
                <w:rFonts w:cs="Arial"/>
                <w:b/>
                <w:bCs/>
                <w:color w:val="000000"/>
              </w:rPr>
              <w:t>1</w:t>
            </w:r>
          </w:p>
        </w:tc>
      </w:tr>
      <w:tr w:rsidR="006143C4" w:rsidRPr="002316D9" w14:paraId="40E67F46" w14:textId="77777777" w:rsidTr="006143C4">
        <w:trPr>
          <w:trHeight w:val="405"/>
        </w:trPr>
        <w:tc>
          <w:tcPr>
            <w:tcW w:w="2280" w:type="dxa"/>
            <w:tcBorders>
              <w:top w:val="nil"/>
              <w:left w:val="single" w:sz="4" w:space="0" w:color="auto"/>
              <w:bottom w:val="single" w:sz="4" w:space="0" w:color="BFBFBF"/>
              <w:right w:val="nil"/>
            </w:tcBorders>
            <w:shd w:val="clear" w:color="auto" w:fill="auto"/>
            <w:vAlign w:val="center"/>
            <w:hideMark/>
          </w:tcPr>
          <w:p w14:paraId="6CF8B713" w14:textId="77777777" w:rsidR="006143C4" w:rsidRPr="002316D9" w:rsidRDefault="006143C4" w:rsidP="006143C4">
            <w:pPr>
              <w:jc w:val="left"/>
              <w:rPr>
                <w:rFonts w:cs="Arial"/>
                <w:color w:val="000000"/>
              </w:rPr>
            </w:pPr>
            <w:r w:rsidRPr="002316D9">
              <w:rPr>
                <w:rFonts w:cs="Arial"/>
                <w:color w:val="000000"/>
              </w:rPr>
              <w:t>£50,000 to £55,000</w:t>
            </w:r>
          </w:p>
        </w:tc>
        <w:tc>
          <w:tcPr>
            <w:tcW w:w="2180" w:type="dxa"/>
            <w:tcBorders>
              <w:top w:val="nil"/>
              <w:left w:val="single" w:sz="4" w:space="0" w:color="auto"/>
              <w:bottom w:val="single" w:sz="4" w:space="0" w:color="BFBFBF"/>
              <w:right w:val="single" w:sz="4" w:space="0" w:color="BFBFBF"/>
            </w:tcBorders>
            <w:shd w:val="clear" w:color="auto" w:fill="auto"/>
            <w:noWrap/>
            <w:vAlign w:val="center"/>
            <w:hideMark/>
          </w:tcPr>
          <w:p w14:paraId="1C944E7D" w14:textId="77777777" w:rsidR="006143C4" w:rsidRPr="002316D9" w:rsidRDefault="006143C4" w:rsidP="006143C4">
            <w:pPr>
              <w:jc w:val="center"/>
              <w:rPr>
                <w:rFonts w:cs="Arial"/>
                <w:color w:val="000000"/>
              </w:rPr>
            </w:pPr>
            <w:r w:rsidRPr="002316D9">
              <w:rPr>
                <w:rFonts w:cs="Arial"/>
                <w:color w:val="000000"/>
              </w:rPr>
              <w:t>0</w:t>
            </w:r>
          </w:p>
        </w:tc>
        <w:tc>
          <w:tcPr>
            <w:tcW w:w="2180" w:type="dxa"/>
            <w:tcBorders>
              <w:top w:val="nil"/>
              <w:left w:val="nil"/>
              <w:bottom w:val="single" w:sz="4" w:space="0" w:color="BFBFBF"/>
              <w:right w:val="single" w:sz="4" w:space="0" w:color="auto"/>
            </w:tcBorders>
            <w:shd w:val="clear" w:color="auto" w:fill="auto"/>
            <w:noWrap/>
            <w:vAlign w:val="center"/>
          </w:tcPr>
          <w:p w14:paraId="0093CB2F" w14:textId="77777777" w:rsidR="006143C4" w:rsidRPr="002316D9" w:rsidRDefault="006143C4" w:rsidP="006143C4">
            <w:pPr>
              <w:jc w:val="center"/>
              <w:rPr>
                <w:rFonts w:cs="Arial"/>
                <w:color w:val="000000"/>
              </w:rPr>
            </w:pPr>
            <w:r>
              <w:rPr>
                <w:rFonts w:cs="Arial"/>
                <w:color w:val="000000"/>
              </w:rPr>
              <w:t>4</w:t>
            </w:r>
          </w:p>
        </w:tc>
      </w:tr>
      <w:tr w:rsidR="006143C4" w:rsidRPr="002316D9" w14:paraId="09AD2C93" w14:textId="77777777" w:rsidTr="006143C4">
        <w:trPr>
          <w:trHeight w:val="405"/>
        </w:trPr>
        <w:tc>
          <w:tcPr>
            <w:tcW w:w="2280" w:type="dxa"/>
            <w:tcBorders>
              <w:top w:val="nil"/>
              <w:left w:val="single" w:sz="4" w:space="0" w:color="auto"/>
              <w:bottom w:val="single" w:sz="4" w:space="0" w:color="BFBFBF"/>
              <w:right w:val="nil"/>
            </w:tcBorders>
            <w:shd w:val="clear" w:color="auto" w:fill="auto"/>
            <w:vAlign w:val="center"/>
            <w:hideMark/>
          </w:tcPr>
          <w:p w14:paraId="65AD78EB" w14:textId="77777777" w:rsidR="006143C4" w:rsidRPr="002316D9" w:rsidRDefault="006143C4" w:rsidP="006143C4">
            <w:pPr>
              <w:jc w:val="left"/>
              <w:rPr>
                <w:rFonts w:cs="Arial"/>
                <w:color w:val="000000"/>
              </w:rPr>
            </w:pPr>
            <w:r w:rsidRPr="002316D9">
              <w:rPr>
                <w:rFonts w:cs="Arial"/>
                <w:color w:val="000000"/>
              </w:rPr>
              <w:t>£55,001 to £60,000</w:t>
            </w:r>
          </w:p>
        </w:tc>
        <w:tc>
          <w:tcPr>
            <w:tcW w:w="2180" w:type="dxa"/>
            <w:tcBorders>
              <w:top w:val="nil"/>
              <w:left w:val="single" w:sz="4" w:space="0" w:color="auto"/>
              <w:bottom w:val="single" w:sz="4" w:space="0" w:color="BFBFBF"/>
              <w:right w:val="single" w:sz="4" w:space="0" w:color="BFBFBF"/>
            </w:tcBorders>
            <w:shd w:val="clear" w:color="auto" w:fill="auto"/>
            <w:noWrap/>
            <w:vAlign w:val="center"/>
            <w:hideMark/>
          </w:tcPr>
          <w:p w14:paraId="4B04C888" w14:textId="77777777" w:rsidR="006143C4" w:rsidRPr="002316D9" w:rsidRDefault="006143C4" w:rsidP="006143C4">
            <w:pPr>
              <w:jc w:val="center"/>
              <w:rPr>
                <w:rFonts w:cs="Arial"/>
                <w:color w:val="000000"/>
              </w:rPr>
            </w:pPr>
            <w:r>
              <w:rPr>
                <w:rFonts w:cs="Arial"/>
                <w:color w:val="000000"/>
              </w:rPr>
              <w:t>0</w:t>
            </w:r>
          </w:p>
        </w:tc>
        <w:tc>
          <w:tcPr>
            <w:tcW w:w="2180" w:type="dxa"/>
            <w:tcBorders>
              <w:top w:val="nil"/>
              <w:left w:val="nil"/>
              <w:bottom w:val="single" w:sz="4" w:space="0" w:color="BFBFBF"/>
              <w:right w:val="single" w:sz="4" w:space="0" w:color="auto"/>
            </w:tcBorders>
            <w:shd w:val="clear" w:color="auto" w:fill="auto"/>
            <w:noWrap/>
            <w:vAlign w:val="center"/>
          </w:tcPr>
          <w:p w14:paraId="118DD83C" w14:textId="77777777" w:rsidR="006143C4" w:rsidRPr="002316D9" w:rsidRDefault="006143C4" w:rsidP="006143C4">
            <w:pPr>
              <w:jc w:val="center"/>
              <w:rPr>
                <w:rFonts w:cs="Arial"/>
                <w:color w:val="000000"/>
              </w:rPr>
            </w:pPr>
            <w:r>
              <w:rPr>
                <w:rFonts w:cs="Arial"/>
                <w:color w:val="000000"/>
              </w:rPr>
              <w:t>0</w:t>
            </w:r>
          </w:p>
        </w:tc>
      </w:tr>
      <w:tr w:rsidR="006143C4" w:rsidRPr="002316D9" w14:paraId="31B32F15" w14:textId="77777777" w:rsidTr="006143C4">
        <w:trPr>
          <w:trHeight w:val="405"/>
        </w:trPr>
        <w:tc>
          <w:tcPr>
            <w:tcW w:w="2280" w:type="dxa"/>
            <w:tcBorders>
              <w:top w:val="nil"/>
              <w:left w:val="single" w:sz="4" w:space="0" w:color="auto"/>
              <w:bottom w:val="single" w:sz="4" w:space="0" w:color="BFBFBF"/>
              <w:right w:val="nil"/>
            </w:tcBorders>
            <w:shd w:val="clear" w:color="auto" w:fill="auto"/>
            <w:vAlign w:val="center"/>
            <w:hideMark/>
          </w:tcPr>
          <w:p w14:paraId="5393AE69" w14:textId="77777777" w:rsidR="006143C4" w:rsidRPr="002316D9" w:rsidRDefault="006143C4" w:rsidP="006143C4">
            <w:pPr>
              <w:jc w:val="left"/>
              <w:rPr>
                <w:rFonts w:cs="Arial"/>
                <w:color w:val="000000"/>
              </w:rPr>
            </w:pPr>
            <w:r w:rsidRPr="002316D9">
              <w:rPr>
                <w:rFonts w:cs="Arial"/>
                <w:color w:val="000000"/>
              </w:rPr>
              <w:t>£60,001 to £65,000</w:t>
            </w:r>
          </w:p>
        </w:tc>
        <w:tc>
          <w:tcPr>
            <w:tcW w:w="2180" w:type="dxa"/>
            <w:tcBorders>
              <w:top w:val="nil"/>
              <w:left w:val="single" w:sz="4" w:space="0" w:color="auto"/>
              <w:bottom w:val="single" w:sz="4" w:space="0" w:color="BFBFBF"/>
              <w:right w:val="single" w:sz="4" w:space="0" w:color="BFBFBF"/>
            </w:tcBorders>
            <w:shd w:val="clear" w:color="auto" w:fill="auto"/>
            <w:noWrap/>
            <w:vAlign w:val="center"/>
            <w:hideMark/>
          </w:tcPr>
          <w:p w14:paraId="6396D606" w14:textId="77777777" w:rsidR="006143C4" w:rsidRPr="002316D9" w:rsidRDefault="006143C4" w:rsidP="006143C4">
            <w:pPr>
              <w:jc w:val="center"/>
              <w:rPr>
                <w:rFonts w:cs="Arial"/>
                <w:color w:val="000000"/>
              </w:rPr>
            </w:pPr>
            <w:r w:rsidRPr="002316D9">
              <w:rPr>
                <w:rFonts w:cs="Arial"/>
                <w:color w:val="000000"/>
              </w:rPr>
              <w:t>0</w:t>
            </w:r>
          </w:p>
        </w:tc>
        <w:tc>
          <w:tcPr>
            <w:tcW w:w="2180" w:type="dxa"/>
            <w:tcBorders>
              <w:top w:val="nil"/>
              <w:left w:val="nil"/>
              <w:bottom w:val="single" w:sz="4" w:space="0" w:color="BFBFBF"/>
              <w:right w:val="single" w:sz="4" w:space="0" w:color="auto"/>
            </w:tcBorders>
            <w:shd w:val="clear" w:color="auto" w:fill="auto"/>
            <w:noWrap/>
            <w:vAlign w:val="center"/>
          </w:tcPr>
          <w:p w14:paraId="2C9D82E4" w14:textId="77777777" w:rsidR="006143C4" w:rsidRPr="002316D9" w:rsidRDefault="006143C4" w:rsidP="006143C4">
            <w:pPr>
              <w:jc w:val="center"/>
              <w:rPr>
                <w:rFonts w:cs="Arial"/>
                <w:color w:val="000000"/>
              </w:rPr>
            </w:pPr>
            <w:r>
              <w:rPr>
                <w:rFonts w:cs="Arial"/>
                <w:color w:val="000000"/>
              </w:rPr>
              <w:t>2</w:t>
            </w:r>
          </w:p>
        </w:tc>
      </w:tr>
      <w:tr w:rsidR="006143C4" w:rsidRPr="002316D9" w14:paraId="2212488E" w14:textId="77777777" w:rsidTr="006143C4">
        <w:trPr>
          <w:trHeight w:val="405"/>
        </w:trPr>
        <w:tc>
          <w:tcPr>
            <w:tcW w:w="2280" w:type="dxa"/>
            <w:tcBorders>
              <w:top w:val="single" w:sz="4" w:space="0" w:color="auto"/>
              <w:left w:val="single" w:sz="4" w:space="0" w:color="auto"/>
              <w:bottom w:val="single" w:sz="4" w:space="0" w:color="auto"/>
              <w:right w:val="nil"/>
            </w:tcBorders>
            <w:shd w:val="clear" w:color="000000" w:fill="D9D9D9"/>
            <w:vAlign w:val="center"/>
            <w:hideMark/>
          </w:tcPr>
          <w:p w14:paraId="422212B1" w14:textId="77777777" w:rsidR="006143C4" w:rsidRPr="002316D9" w:rsidRDefault="006143C4" w:rsidP="006143C4">
            <w:pPr>
              <w:jc w:val="left"/>
              <w:rPr>
                <w:rFonts w:cs="Arial"/>
                <w:b/>
                <w:bCs/>
                <w:color w:val="000000"/>
              </w:rPr>
            </w:pPr>
            <w:r w:rsidRPr="002316D9">
              <w:rPr>
                <w:rFonts w:cs="Arial"/>
                <w:b/>
                <w:bCs/>
                <w:color w:val="000000"/>
              </w:rPr>
              <w:t>Total</w:t>
            </w:r>
          </w:p>
        </w:tc>
        <w:tc>
          <w:tcPr>
            <w:tcW w:w="2180" w:type="dxa"/>
            <w:tcBorders>
              <w:top w:val="single" w:sz="4" w:space="0" w:color="auto"/>
              <w:left w:val="single" w:sz="4" w:space="0" w:color="auto"/>
              <w:bottom w:val="single" w:sz="4" w:space="0" w:color="auto"/>
              <w:right w:val="single" w:sz="4" w:space="0" w:color="BFBFBF"/>
            </w:tcBorders>
            <w:shd w:val="clear" w:color="000000" w:fill="D9D9D9"/>
            <w:noWrap/>
            <w:vAlign w:val="center"/>
            <w:hideMark/>
          </w:tcPr>
          <w:p w14:paraId="3033F6E1" w14:textId="77777777" w:rsidR="006143C4" w:rsidRPr="002316D9" w:rsidRDefault="006143C4" w:rsidP="006143C4">
            <w:pPr>
              <w:jc w:val="center"/>
              <w:rPr>
                <w:rFonts w:cs="Arial"/>
                <w:b/>
                <w:bCs/>
                <w:color w:val="000000"/>
              </w:rPr>
            </w:pPr>
            <w:r>
              <w:rPr>
                <w:rFonts w:cs="Arial"/>
                <w:b/>
                <w:bCs/>
                <w:color w:val="000000"/>
              </w:rPr>
              <w:t>0</w:t>
            </w:r>
          </w:p>
        </w:tc>
        <w:tc>
          <w:tcPr>
            <w:tcW w:w="2180" w:type="dxa"/>
            <w:tcBorders>
              <w:top w:val="single" w:sz="4" w:space="0" w:color="auto"/>
              <w:left w:val="nil"/>
              <w:bottom w:val="single" w:sz="4" w:space="0" w:color="auto"/>
              <w:right w:val="single" w:sz="4" w:space="0" w:color="auto"/>
            </w:tcBorders>
            <w:shd w:val="clear" w:color="000000" w:fill="D9D9D9"/>
            <w:noWrap/>
            <w:vAlign w:val="center"/>
          </w:tcPr>
          <w:p w14:paraId="5492E2C3" w14:textId="77777777" w:rsidR="006143C4" w:rsidRPr="002316D9" w:rsidRDefault="006143C4" w:rsidP="006143C4">
            <w:pPr>
              <w:jc w:val="center"/>
              <w:rPr>
                <w:rFonts w:cs="Arial"/>
                <w:b/>
                <w:bCs/>
                <w:color w:val="000000"/>
              </w:rPr>
            </w:pPr>
            <w:r>
              <w:rPr>
                <w:rFonts w:cs="Arial"/>
                <w:b/>
                <w:bCs/>
                <w:color w:val="000000"/>
              </w:rPr>
              <w:t>6</w:t>
            </w:r>
          </w:p>
        </w:tc>
      </w:tr>
    </w:tbl>
    <w:p w14:paraId="327630C6" w14:textId="77777777" w:rsidR="006143C4" w:rsidRDefault="006143C4" w:rsidP="006143C4"/>
    <w:p w14:paraId="7B39F6D0" w14:textId="77777777" w:rsidR="006143C4" w:rsidRDefault="006143C4" w:rsidP="006143C4"/>
    <w:p w14:paraId="79BE966D" w14:textId="77777777" w:rsidR="006143C4" w:rsidRDefault="006143C4" w:rsidP="006143C4">
      <w:r>
        <w:t>The following table gives details of employee exit packages in 2019-20 and 2020-21.</w:t>
      </w:r>
    </w:p>
    <w:p w14:paraId="1F9DC005" w14:textId="77777777" w:rsidR="006143C4" w:rsidRDefault="006143C4" w:rsidP="006143C4">
      <w:pPr>
        <w:rPr>
          <w:rFonts w:cs="Arial"/>
          <w:b/>
          <w:bCs/>
          <w:color w:val="000000"/>
          <w:sz w:val="20"/>
          <w:szCs w:val="20"/>
        </w:rPr>
      </w:pPr>
    </w:p>
    <w:tbl>
      <w:tblPr>
        <w:tblW w:w="9640" w:type="dxa"/>
        <w:tblLook w:val="04A0" w:firstRow="1" w:lastRow="0" w:firstColumn="1" w:lastColumn="0" w:noHBand="0" w:noVBand="1"/>
      </w:tblPr>
      <w:tblGrid>
        <w:gridCol w:w="2080"/>
        <w:gridCol w:w="920"/>
        <w:gridCol w:w="920"/>
        <w:gridCol w:w="920"/>
        <w:gridCol w:w="920"/>
        <w:gridCol w:w="920"/>
        <w:gridCol w:w="920"/>
        <w:gridCol w:w="1091"/>
        <w:gridCol w:w="949"/>
      </w:tblGrid>
      <w:tr w:rsidR="006143C4" w:rsidRPr="00142E01" w14:paraId="7D483DB2" w14:textId="77777777" w:rsidTr="006143C4">
        <w:trPr>
          <w:trHeight w:val="855"/>
        </w:trPr>
        <w:tc>
          <w:tcPr>
            <w:tcW w:w="2080" w:type="dxa"/>
            <w:tcBorders>
              <w:top w:val="single" w:sz="4" w:space="0" w:color="auto"/>
              <w:left w:val="single" w:sz="4" w:space="0" w:color="auto"/>
              <w:bottom w:val="nil"/>
              <w:right w:val="nil"/>
            </w:tcBorders>
            <w:shd w:val="clear" w:color="000000" w:fill="B8CCE4"/>
            <w:vAlign w:val="center"/>
            <w:hideMark/>
          </w:tcPr>
          <w:p w14:paraId="01DC535E" w14:textId="77777777" w:rsidR="006143C4" w:rsidRPr="00142E01" w:rsidRDefault="006143C4" w:rsidP="006143C4">
            <w:pPr>
              <w:jc w:val="left"/>
              <w:rPr>
                <w:rFonts w:cs="Arial"/>
                <w:b/>
                <w:bCs/>
                <w:color w:val="000000"/>
                <w:sz w:val="20"/>
                <w:szCs w:val="20"/>
              </w:rPr>
            </w:pPr>
            <w:r w:rsidRPr="00142E01">
              <w:rPr>
                <w:rFonts w:cs="Arial"/>
                <w:b/>
                <w:bCs/>
                <w:color w:val="000000"/>
                <w:sz w:val="20"/>
                <w:szCs w:val="20"/>
              </w:rPr>
              <w:t>Exit Package cost banding</w:t>
            </w:r>
          </w:p>
        </w:tc>
        <w:tc>
          <w:tcPr>
            <w:tcW w:w="1840" w:type="dxa"/>
            <w:gridSpan w:val="2"/>
            <w:tcBorders>
              <w:top w:val="single" w:sz="4" w:space="0" w:color="auto"/>
              <w:left w:val="single" w:sz="4" w:space="0" w:color="auto"/>
              <w:bottom w:val="single" w:sz="4" w:space="0" w:color="auto"/>
              <w:right w:val="single" w:sz="4" w:space="0" w:color="auto"/>
            </w:tcBorders>
            <w:shd w:val="clear" w:color="000000" w:fill="B8CCE4"/>
            <w:vAlign w:val="center"/>
            <w:hideMark/>
          </w:tcPr>
          <w:p w14:paraId="7C76DE90" w14:textId="77777777" w:rsidR="006143C4" w:rsidRPr="00142E01" w:rsidRDefault="006143C4" w:rsidP="006143C4">
            <w:pPr>
              <w:jc w:val="center"/>
              <w:rPr>
                <w:rFonts w:cs="Arial"/>
                <w:b/>
                <w:bCs/>
                <w:color w:val="000000"/>
                <w:sz w:val="20"/>
                <w:szCs w:val="20"/>
              </w:rPr>
            </w:pPr>
            <w:r w:rsidRPr="00142E01">
              <w:rPr>
                <w:rFonts w:cs="Arial"/>
                <w:b/>
                <w:bCs/>
                <w:color w:val="000000"/>
                <w:sz w:val="20"/>
                <w:szCs w:val="20"/>
              </w:rPr>
              <w:t>Number of compulsory redundancies</w:t>
            </w:r>
          </w:p>
        </w:tc>
        <w:tc>
          <w:tcPr>
            <w:tcW w:w="1840" w:type="dxa"/>
            <w:gridSpan w:val="2"/>
            <w:tcBorders>
              <w:top w:val="single" w:sz="4" w:space="0" w:color="auto"/>
              <w:left w:val="nil"/>
              <w:bottom w:val="single" w:sz="4" w:space="0" w:color="auto"/>
              <w:right w:val="single" w:sz="4" w:space="0" w:color="auto"/>
            </w:tcBorders>
            <w:shd w:val="clear" w:color="000000" w:fill="B8CCE4"/>
            <w:vAlign w:val="center"/>
            <w:hideMark/>
          </w:tcPr>
          <w:p w14:paraId="77453AF7" w14:textId="77777777" w:rsidR="006143C4" w:rsidRPr="00142E01" w:rsidRDefault="006143C4" w:rsidP="006143C4">
            <w:pPr>
              <w:jc w:val="center"/>
              <w:rPr>
                <w:rFonts w:cs="Arial"/>
                <w:b/>
                <w:bCs/>
                <w:color w:val="000000"/>
                <w:sz w:val="20"/>
                <w:szCs w:val="20"/>
              </w:rPr>
            </w:pPr>
            <w:r w:rsidRPr="00142E01">
              <w:rPr>
                <w:rFonts w:cs="Arial"/>
                <w:b/>
                <w:bCs/>
                <w:color w:val="000000"/>
                <w:sz w:val="20"/>
                <w:szCs w:val="20"/>
              </w:rPr>
              <w:t>Number of other agreed departures</w:t>
            </w:r>
          </w:p>
        </w:tc>
        <w:tc>
          <w:tcPr>
            <w:tcW w:w="1840" w:type="dxa"/>
            <w:gridSpan w:val="2"/>
            <w:tcBorders>
              <w:top w:val="single" w:sz="4" w:space="0" w:color="auto"/>
              <w:left w:val="nil"/>
              <w:bottom w:val="single" w:sz="4" w:space="0" w:color="auto"/>
              <w:right w:val="single" w:sz="4" w:space="0" w:color="auto"/>
            </w:tcBorders>
            <w:shd w:val="clear" w:color="000000" w:fill="B8CCE4"/>
            <w:vAlign w:val="center"/>
            <w:hideMark/>
          </w:tcPr>
          <w:p w14:paraId="35F401DA" w14:textId="77777777" w:rsidR="006143C4" w:rsidRPr="00142E01" w:rsidRDefault="006143C4" w:rsidP="006143C4">
            <w:pPr>
              <w:jc w:val="center"/>
              <w:rPr>
                <w:rFonts w:cs="Arial"/>
                <w:b/>
                <w:bCs/>
                <w:color w:val="000000"/>
                <w:sz w:val="20"/>
                <w:szCs w:val="20"/>
              </w:rPr>
            </w:pPr>
            <w:r w:rsidRPr="00142E01">
              <w:rPr>
                <w:rFonts w:cs="Arial"/>
                <w:b/>
                <w:bCs/>
                <w:color w:val="000000"/>
                <w:sz w:val="20"/>
                <w:szCs w:val="20"/>
              </w:rPr>
              <w:t>Total number of exit packages</w:t>
            </w:r>
          </w:p>
        </w:tc>
        <w:tc>
          <w:tcPr>
            <w:tcW w:w="2040" w:type="dxa"/>
            <w:gridSpan w:val="2"/>
            <w:tcBorders>
              <w:top w:val="single" w:sz="4" w:space="0" w:color="auto"/>
              <w:left w:val="nil"/>
              <w:bottom w:val="single" w:sz="4" w:space="0" w:color="auto"/>
              <w:right w:val="single" w:sz="4" w:space="0" w:color="auto"/>
            </w:tcBorders>
            <w:shd w:val="clear" w:color="000000" w:fill="B8CCE4"/>
            <w:vAlign w:val="center"/>
            <w:hideMark/>
          </w:tcPr>
          <w:p w14:paraId="6CF7E63A" w14:textId="77777777" w:rsidR="006143C4" w:rsidRPr="00142E01" w:rsidRDefault="006143C4" w:rsidP="006143C4">
            <w:pPr>
              <w:jc w:val="center"/>
              <w:rPr>
                <w:rFonts w:cs="Arial"/>
                <w:b/>
                <w:bCs/>
                <w:color w:val="000000"/>
                <w:sz w:val="20"/>
                <w:szCs w:val="20"/>
              </w:rPr>
            </w:pPr>
            <w:r w:rsidRPr="00142E01">
              <w:rPr>
                <w:rFonts w:cs="Arial"/>
                <w:b/>
                <w:bCs/>
                <w:color w:val="000000"/>
                <w:sz w:val="20"/>
                <w:szCs w:val="20"/>
              </w:rPr>
              <w:t>Total cost of exit packages</w:t>
            </w:r>
          </w:p>
        </w:tc>
      </w:tr>
      <w:tr w:rsidR="006143C4" w:rsidRPr="00142E01" w14:paraId="17C2E22C" w14:textId="77777777" w:rsidTr="006143C4">
        <w:trPr>
          <w:trHeight w:val="360"/>
        </w:trPr>
        <w:tc>
          <w:tcPr>
            <w:tcW w:w="2080" w:type="dxa"/>
            <w:tcBorders>
              <w:top w:val="nil"/>
              <w:left w:val="single" w:sz="4" w:space="0" w:color="auto"/>
              <w:bottom w:val="single" w:sz="4" w:space="0" w:color="auto"/>
              <w:right w:val="nil"/>
            </w:tcBorders>
            <w:shd w:val="clear" w:color="000000" w:fill="B8CCE4"/>
            <w:vAlign w:val="center"/>
            <w:hideMark/>
          </w:tcPr>
          <w:p w14:paraId="5773D4F7" w14:textId="77777777" w:rsidR="006143C4" w:rsidRPr="00142E01" w:rsidRDefault="006143C4" w:rsidP="006143C4">
            <w:pPr>
              <w:jc w:val="left"/>
              <w:rPr>
                <w:rFonts w:cs="Arial"/>
                <w:b/>
                <w:bCs/>
                <w:color w:val="000000"/>
                <w:sz w:val="20"/>
                <w:szCs w:val="20"/>
              </w:rPr>
            </w:pPr>
            <w:r w:rsidRPr="00142E01">
              <w:rPr>
                <w:rFonts w:cs="Arial"/>
                <w:b/>
                <w:bCs/>
                <w:color w:val="000000"/>
                <w:sz w:val="20"/>
                <w:szCs w:val="20"/>
              </w:rPr>
              <w:t> </w:t>
            </w:r>
          </w:p>
        </w:tc>
        <w:tc>
          <w:tcPr>
            <w:tcW w:w="920" w:type="dxa"/>
            <w:tcBorders>
              <w:top w:val="nil"/>
              <w:left w:val="single" w:sz="4" w:space="0" w:color="auto"/>
              <w:bottom w:val="single" w:sz="4" w:space="0" w:color="auto"/>
              <w:right w:val="single" w:sz="4" w:space="0" w:color="auto"/>
            </w:tcBorders>
            <w:shd w:val="clear" w:color="000000" w:fill="B8CCE4"/>
            <w:noWrap/>
            <w:vAlign w:val="center"/>
            <w:hideMark/>
          </w:tcPr>
          <w:p w14:paraId="11BDF8F3" w14:textId="77777777" w:rsidR="006143C4" w:rsidRPr="00142E01" w:rsidRDefault="006143C4" w:rsidP="006143C4">
            <w:pPr>
              <w:jc w:val="center"/>
              <w:rPr>
                <w:rFonts w:cs="Arial"/>
                <w:b/>
                <w:bCs/>
                <w:color w:val="000000"/>
                <w:sz w:val="20"/>
                <w:szCs w:val="20"/>
              </w:rPr>
            </w:pPr>
            <w:r w:rsidRPr="00142E01">
              <w:rPr>
                <w:rFonts w:cs="Arial"/>
                <w:b/>
                <w:bCs/>
                <w:color w:val="000000"/>
                <w:sz w:val="20"/>
                <w:szCs w:val="20"/>
              </w:rPr>
              <w:t>19-20</w:t>
            </w:r>
          </w:p>
        </w:tc>
        <w:tc>
          <w:tcPr>
            <w:tcW w:w="920" w:type="dxa"/>
            <w:tcBorders>
              <w:top w:val="nil"/>
              <w:left w:val="nil"/>
              <w:bottom w:val="single" w:sz="4" w:space="0" w:color="auto"/>
              <w:right w:val="single" w:sz="4" w:space="0" w:color="auto"/>
            </w:tcBorders>
            <w:shd w:val="clear" w:color="000000" w:fill="B8CCE4"/>
            <w:noWrap/>
            <w:vAlign w:val="center"/>
            <w:hideMark/>
          </w:tcPr>
          <w:p w14:paraId="4004475D" w14:textId="77777777" w:rsidR="006143C4" w:rsidRPr="00142E01" w:rsidRDefault="006143C4" w:rsidP="006143C4">
            <w:pPr>
              <w:jc w:val="center"/>
              <w:rPr>
                <w:rFonts w:cs="Arial"/>
                <w:b/>
                <w:bCs/>
                <w:color w:val="000000"/>
                <w:sz w:val="20"/>
                <w:szCs w:val="20"/>
              </w:rPr>
            </w:pPr>
            <w:r w:rsidRPr="00142E01">
              <w:rPr>
                <w:rFonts w:cs="Arial"/>
                <w:b/>
                <w:bCs/>
                <w:color w:val="000000"/>
                <w:sz w:val="20"/>
                <w:szCs w:val="20"/>
              </w:rPr>
              <w:t>20-21</w:t>
            </w:r>
          </w:p>
        </w:tc>
        <w:tc>
          <w:tcPr>
            <w:tcW w:w="920" w:type="dxa"/>
            <w:tcBorders>
              <w:top w:val="nil"/>
              <w:left w:val="nil"/>
              <w:bottom w:val="single" w:sz="4" w:space="0" w:color="auto"/>
              <w:right w:val="single" w:sz="4" w:space="0" w:color="auto"/>
            </w:tcBorders>
            <w:shd w:val="clear" w:color="000000" w:fill="B8CCE4"/>
            <w:noWrap/>
            <w:vAlign w:val="center"/>
            <w:hideMark/>
          </w:tcPr>
          <w:p w14:paraId="7F328064" w14:textId="77777777" w:rsidR="006143C4" w:rsidRPr="00142E01" w:rsidRDefault="006143C4" w:rsidP="006143C4">
            <w:pPr>
              <w:jc w:val="center"/>
              <w:rPr>
                <w:rFonts w:cs="Arial"/>
                <w:b/>
                <w:bCs/>
                <w:color w:val="000000"/>
                <w:sz w:val="20"/>
                <w:szCs w:val="20"/>
              </w:rPr>
            </w:pPr>
            <w:r w:rsidRPr="00142E01">
              <w:rPr>
                <w:rFonts w:cs="Arial"/>
                <w:b/>
                <w:bCs/>
                <w:color w:val="000000"/>
                <w:sz w:val="20"/>
                <w:szCs w:val="20"/>
              </w:rPr>
              <w:t>19-20</w:t>
            </w:r>
          </w:p>
        </w:tc>
        <w:tc>
          <w:tcPr>
            <w:tcW w:w="920" w:type="dxa"/>
            <w:tcBorders>
              <w:top w:val="nil"/>
              <w:left w:val="nil"/>
              <w:bottom w:val="single" w:sz="4" w:space="0" w:color="auto"/>
              <w:right w:val="single" w:sz="4" w:space="0" w:color="auto"/>
            </w:tcBorders>
            <w:shd w:val="clear" w:color="000000" w:fill="B8CCE4"/>
            <w:noWrap/>
            <w:vAlign w:val="center"/>
            <w:hideMark/>
          </w:tcPr>
          <w:p w14:paraId="4F7472B7" w14:textId="77777777" w:rsidR="006143C4" w:rsidRPr="00142E01" w:rsidRDefault="006143C4" w:rsidP="006143C4">
            <w:pPr>
              <w:jc w:val="center"/>
              <w:rPr>
                <w:rFonts w:cs="Arial"/>
                <w:b/>
                <w:bCs/>
                <w:color w:val="000000"/>
                <w:sz w:val="20"/>
                <w:szCs w:val="20"/>
              </w:rPr>
            </w:pPr>
            <w:r w:rsidRPr="00142E01">
              <w:rPr>
                <w:rFonts w:cs="Arial"/>
                <w:b/>
                <w:bCs/>
                <w:color w:val="000000"/>
                <w:sz w:val="20"/>
                <w:szCs w:val="20"/>
              </w:rPr>
              <w:t>20-21</w:t>
            </w:r>
          </w:p>
        </w:tc>
        <w:tc>
          <w:tcPr>
            <w:tcW w:w="920" w:type="dxa"/>
            <w:tcBorders>
              <w:top w:val="nil"/>
              <w:left w:val="nil"/>
              <w:bottom w:val="single" w:sz="4" w:space="0" w:color="auto"/>
              <w:right w:val="single" w:sz="4" w:space="0" w:color="auto"/>
            </w:tcBorders>
            <w:shd w:val="clear" w:color="000000" w:fill="B8CCE4"/>
            <w:noWrap/>
            <w:vAlign w:val="center"/>
            <w:hideMark/>
          </w:tcPr>
          <w:p w14:paraId="4161B005" w14:textId="77777777" w:rsidR="006143C4" w:rsidRPr="00142E01" w:rsidRDefault="006143C4" w:rsidP="006143C4">
            <w:pPr>
              <w:jc w:val="center"/>
              <w:rPr>
                <w:rFonts w:cs="Arial"/>
                <w:b/>
                <w:bCs/>
                <w:color w:val="000000"/>
                <w:sz w:val="20"/>
                <w:szCs w:val="20"/>
              </w:rPr>
            </w:pPr>
            <w:r w:rsidRPr="00142E01">
              <w:rPr>
                <w:rFonts w:cs="Arial"/>
                <w:b/>
                <w:bCs/>
                <w:color w:val="000000"/>
                <w:sz w:val="20"/>
                <w:szCs w:val="20"/>
              </w:rPr>
              <w:t>19-20</w:t>
            </w:r>
          </w:p>
        </w:tc>
        <w:tc>
          <w:tcPr>
            <w:tcW w:w="920" w:type="dxa"/>
            <w:tcBorders>
              <w:top w:val="nil"/>
              <w:left w:val="nil"/>
              <w:bottom w:val="single" w:sz="4" w:space="0" w:color="auto"/>
              <w:right w:val="single" w:sz="4" w:space="0" w:color="auto"/>
            </w:tcBorders>
            <w:shd w:val="clear" w:color="000000" w:fill="B8CCE4"/>
            <w:noWrap/>
            <w:vAlign w:val="center"/>
            <w:hideMark/>
          </w:tcPr>
          <w:p w14:paraId="5BAA8BFA" w14:textId="77777777" w:rsidR="006143C4" w:rsidRPr="00142E01" w:rsidRDefault="006143C4" w:rsidP="006143C4">
            <w:pPr>
              <w:jc w:val="center"/>
              <w:rPr>
                <w:rFonts w:cs="Arial"/>
                <w:b/>
                <w:bCs/>
                <w:color w:val="000000"/>
                <w:sz w:val="20"/>
                <w:szCs w:val="20"/>
              </w:rPr>
            </w:pPr>
            <w:r w:rsidRPr="00142E01">
              <w:rPr>
                <w:rFonts w:cs="Arial"/>
                <w:b/>
                <w:bCs/>
                <w:color w:val="000000"/>
                <w:sz w:val="20"/>
                <w:szCs w:val="20"/>
              </w:rPr>
              <w:t>20-21</w:t>
            </w:r>
          </w:p>
        </w:tc>
        <w:tc>
          <w:tcPr>
            <w:tcW w:w="1091" w:type="dxa"/>
            <w:tcBorders>
              <w:top w:val="nil"/>
              <w:left w:val="nil"/>
              <w:bottom w:val="single" w:sz="4" w:space="0" w:color="auto"/>
              <w:right w:val="single" w:sz="4" w:space="0" w:color="auto"/>
            </w:tcBorders>
            <w:shd w:val="clear" w:color="000000" w:fill="B8CCE4"/>
            <w:noWrap/>
            <w:vAlign w:val="center"/>
            <w:hideMark/>
          </w:tcPr>
          <w:p w14:paraId="38C8DFB2" w14:textId="77777777" w:rsidR="006143C4" w:rsidRPr="00142E01" w:rsidRDefault="006143C4" w:rsidP="006143C4">
            <w:pPr>
              <w:jc w:val="center"/>
              <w:rPr>
                <w:rFonts w:cs="Arial"/>
                <w:b/>
                <w:bCs/>
                <w:color w:val="000000"/>
                <w:sz w:val="20"/>
                <w:szCs w:val="20"/>
              </w:rPr>
            </w:pPr>
            <w:r w:rsidRPr="00142E01">
              <w:rPr>
                <w:rFonts w:cs="Arial"/>
                <w:b/>
                <w:bCs/>
                <w:color w:val="000000"/>
                <w:sz w:val="20"/>
                <w:szCs w:val="20"/>
              </w:rPr>
              <w:t>19-20</w:t>
            </w:r>
          </w:p>
        </w:tc>
        <w:tc>
          <w:tcPr>
            <w:tcW w:w="949" w:type="dxa"/>
            <w:tcBorders>
              <w:top w:val="nil"/>
              <w:left w:val="nil"/>
              <w:bottom w:val="single" w:sz="4" w:space="0" w:color="auto"/>
              <w:right w:val="single" w:sz="4" w:space="0" w:color="auto"/>
            </w:tcBorders>
            <w:shd w:val="clear" w:color="000000" w:fill="B8CCE4"/>
            <w:noWrap/>
            <w:vAlign w:val="center"/>
            <w:hideMark/>
          </w:tcPr>
          <w:p w14:paraId="0D3A7C65" w14:textId="77777777" w:rsidR="006143C4" w:rsidRPr="00142E01" w:rsidRDefault="006143C4" w:rsidP="006143C4">
            <w:pPr>
              <w:jc w:val="center"/>
              <w:rPr>
                <w:rFonts w:cs="Arial"/>
                <w:b/>
                <w:bCs/>
                <w:color w:val="000000"/>
                <w:sz w:val="20"/>
                <w:szCs w:val="20"/>
              </w:rPr>
            </w:pPr>
            <w:r w:rsidRPr="00142E01">
              <w:rPr>
                <w:rFonts w:cs="Arial"/>
                <w:b/>
                <w:bCs/>
                <w:color w:val="000000"/>
                <w:sz w:val="20"/>
                <w:szCs w:val="20"/>
              </w:rPr>
              <w:t>20-21</w:t>
            </w:r>
          </w:p>
        </w:tc>
      </w:tr>
      <w:tr w:rsidR="006143C4" w:rsidRPr="00142E01" w14:paraId="672F2261" w14:textId="77777777" w:rsidTr="006143C4">
        <w:trPr>
          <w:trHeight w:val="360"/>
        </w:trPr>
        <w:tc>
          <w:tcPr>
            <w:tcW w:w="2080" w:type="dxa"/>
            <w:tcBorders>
              <w:top w:val="nil"/>
              <w:left w:val="single" w:sz="4" w:space="0" w:color="auto"/>
              <w:bottom w:val="single" w:sz="4" w:space="0" w:color="BFBFBF"/>
              <w:right w:val="nil"/>
            </w:tcBorders>
            <w:shd w:val="clear" w:color="auto" w:fill="auto"/>
            <w:vAlign w:val="center"/>
            <w:hideMark/>
          </w:tcPr>
          <w:p w14:paraId="2A6B5D4B" w14:textId="77777777" w:rsidR="006143C4" w:rsidRPr="00142E01" w:rsidRDefault="006143C4" w:rsidP="006143C4">
            <w:pPr>
              <w:jc w:val="left"/>
              <w:rPr>
                <w:rFonts w:cs="Arial"/>
                <w:color w:val="000000"/>
                <w:sz w:val="20"/>
                <w:szCs w:val="20"/>
              </w:rPr>
            </w:pPr>
            <w:r w:rsidRPr="00142E01">
              <w:rPr>
                <w:rFonts w:cs="Arial"/>
                <w:color w:val="000000"/>
                <w:sz w:val="20"/>
                <w:szCs w:val="20"/>
              </w:rPr>
              <w:t>£0 to £20,000</w:t>
            </w:r>
          </w:p>
        </w:tc>
        <w:tc>
          <w:tcPr>
            <w:tcW w:w="920" w:type="dxa"/>
            <w:tcBorders>
              <w:top w:val="nil"/>
              <w:left w:val="single" w:sz="4" w:space="0" w:color="auto"/>
              <w:bottom w:val="single" w:sz="4" w:space="0" w:color="BFBFBF"/>
              <w:right w:val="single" w:sz="4" w:space="0" w:color="BFBFBF"/>
            </w:tcBorders>
            <w:shd w:val="clear" w:color="auto" w:fill="auto"/>
            <w:noWrap/>
            <w:vAlign w:val="center"/>
            <w:hideMark/>
          </w:tcPr>
          <w:p w14:paraId="73E6DFA2" w14:textId="77777777" w:rsidR="006143C4" w:rsidRPr="00142E01" w:rsidRDefault="006143C4" w:rsidP="006143C4">
            <w:pPr>
              <w:jc w:val="right"/>
              <w:rPr>
                <w:rFonts w:cs="Arial"/>
                <w:color w:val="000000"/>
                <w:sz w:val="20"/>
                <w:szCs w:val="20"/>
              </w:rPr>
            </w:pPr>
            <w:r w:rsidRPr="00142E01">
              <w:rPr>
                <w:rFonts w:cs="Arial"/>
                <w:color w:val="000000"/>
                <w:sz w:val="20"/>
                <w:szCs w:val="20"/>
              </w:rPr>
              <w:t xml:space="preserve">0 </w:t>
            </w:r>
          </w:p>
        </w:tc>
        <w:tc>
          <w:tcPr>
            <w:tcW w:w="920" w:type="dxa"/>
            <w:tcBorders>
              <w:top w:val="nil"/>
              <w:left w:val="nil"/>
              <w:bottom w:val="single" w:sz="4" w:space="0" w:color="BFBFBF"/>
              <w:right w:val="single" w:sz="4" w:space="0" w:color="auto"/>
            </w:tcBorders>
            <w:shd w:val="clear" w:color="auto" w:fill="auto"/>
            <w:noWrap/>
            <w:vAlign w:val="center"/>
            <w:hideMark/>
          </w:tcPr>
          <w:p w14:paraId="7B1E3E70" w14:textId="77777777" w:rsidR="006143C4" w:rsidRPr="00142E01" w:rsidRDefault="006143C4" w:rsidP="006143C4">
            <w:pPr>
              <w:jc w:val="right"/>
              <w:rPr>
                <w:rFonts w:cs="Arial"/>
                <w:color w:val="000000"/>
                <w:sz w:val="20"/>
                <w:szCs w:val="20"/>
              </w:rPr>
            </w:pPr>
            <w:r w:rsidRPr="00142E01">
              <w:rPr>
                <w:rFonts w:cs="Arial"/>
                <w:color w:val="000000"/>
                <w:sz w:val="20"/>
                <w:szCs w:val="20"/>
              </w:rPr>
              <w:t xml:space="preserve">0 </w:t>
            </w:r>
          </w:p>
        </w:tc>
        <w:tc>
          <w:tcPr>
            <w:tcW w:w="920" w:type="dxa"/>
            <w:tcBorders>
              <w:top w:val="nil"/>
              <w:left w:val="nil"/>
              <w:bottom w:val="single" w:sz="4" w:space="0" w:color="BFBFBF"/>
              <w:right w:val="single" w:sz="4" w:space="0" w:color="BFBFBF"/>
            </w:tcBorders>
            <w:shd w:val="clear" w:color="auto" w:fill="auto"/>
            <w:noWrap/>
            <w:vAlign w:val="center"/>
            <w:hideMark/>
          </w:tcPr>
          <w:p w14:paraId="524E40CD" w14:textId="77777777" w:rsidR="006143C4" w:rsidRPr="00142E01" w:rsidRDefault="006143C4" w:rsidP="006143C4">
            <w:pPr>
              <w:jc w:val="right"/>
              <w:rPr>
                <w:rFonts w:cs="Arial"/>
                <w:color w:val="000000"/>
                <w:sz w:val="20"/>
                <w:szCs w:val="20"/>
              </w:rPr>
            </w:pPr>
            <w:r w:rsidRPr="00142E01">
              <w:rPr>
                <w:rFonts w:cs="Arial"/>
                <w:color w:val="000000"/>
                <w:sz w:val="20"/>
                <w:szCs w:val="20"/>
              </w:rPr>
              <w:t xml:space="preserve">1 </w:t>
            </w:r>
          </w:p>
        </w:tc>
        <w:tc>
          <w:tcPr>
            <w:tcW w:w="920" w:type="dxa"/>
            <w:tcBorders>
              <w:top w:val="nil"/>
              <w:left w:val="nil"/>
              <w:bottom w:val="single" w:sz="4" w:space="0" w:color="BFBFBF"/>
              <w:right w:val="single" w:sz="4" w:space="0" w:color="auto"/>
            </w:tcBorders>
            <w:shd w:val="clear" w:color="auto" w:fill="auto"/>
            <w:noWrap/>
            <w:vAlign w:val="center"/>
            <w:hideMark/>
          </w:tcPr>
          <w:p w14:paraId="1F18EAE4" w14:textId="77777777" w:rsidR="006143C4" w:rsidRPr="00142E01" w:rsidRDefault="006143C4" w:rsidP="006143C4">
            <w:pPr>
              <w:jc w:val="right"/>
              <w:rPr>
                <w:rFonts w:cs="Arial"/>
                <w:color w:val="000000"/>
                <w:sz w:val="20"/>
                <w:szCs w:val="20"/>
              </w:rPr>
            </w:pPr>
            <w:r>
              <w:rPr>
                <w:rFonts w:cs="Arial"/>
                <w:color w:val="000000"/>
                <w:sz w:val="20"/>
                <w:szCs w:val="20"/>
              </w:rPr>
              <w:t>2</w:t>
            </w:r>
            <w:r w:rsidRPr="00142E01">
              <w:rPr>
                <w:rFonts w:cs="Arial"/>
                <w:color w:val="000000"/>
                <w:sz w:val="20"/>
                <w:szCs w:val="20"/>
              </w:rPr>
              <w:t xml:space="preserve"> </w:t>
            </w:r>
          </w:p>
        </w:tc>
        <w:tc>
          <w:tcPr>
            <w:tcW w:w="920" w:type="dxa"/>
            <w:tcBorders>
              <w:top w:val="nil"/>
              <w:left w:val="nil"/>
              <w:bottom w:val="single" w:sz="4" w:space="0" w:color="BFBFBF"/>
              <w:right w:val="single" w:sz="4" w:space="0" w:color="BFBFBF"/>
            </w:tcBorders>
            <w:shd w:val="clear" w:color="auto" w:fill="auto"/>
            <w:noWrap/>
            <w:vAlign w:val="center"/>
            <w:hideMark/>
          </w:tcPr>
          <w:p w14:paraId="19F7EE51" w14:textId="77777777" w:rsidR="006143C4" w:rsidRPr="00142E01" w:rsidRDefault="006143C4" w:rsidP="006143C4">
            <w:pPr>
              <w:jc w:val="right"/>
              <w:rPr>
                <w:rFonts w:cs="Arial"/>
                <w:color w:val="000000"/>
                <w:sz w:val="20"/>
                <w:szCs w:val="20"/>
              </w:rPr>
            </w:pPr>
            <w:r w:rsidRPr="00142E01">
              <w:rPr>
                <w:rFonts w:cs="Arial"/>
                <w:color w:val="000000"/>
                <w:sz w:val="20"/>
                <w:szCs w:val="20"/>
              </w:rPr>
              <w:t xml:space="preserve">1 </w:t>
            </w:r>
          </w:p>
        </w:tc>
        <w:tc>
          <w:tcPr>
            <w:tcW w:w="920" w:type="dxa"/>
            <w:tcBorders>
              <w:top w:val="single" w:sz="4" w:space="0" w:color="BFBFBF"/>
              <w:left w:val="nil"/>
              <w:bottom w:val="single" w:sz="4" w:space="0" w:color="BFBFBF"/>
              <w:right w:val="single" w:sz="4" w:space="0" w:color="auto"/>
            </w:tcBorders>
            <w:shd w:val="clear" w:color="auto" w:fill="auto"/>
            <w:noWrap/>
            <w:vAlign w:val="center"/>
            <w:hideMark/>
          </w:tcPr>
          <w:p w14:paraId="577E69D3" w14:textId="77777777" w:rsidR="006143C4" w:rsidRPr="00142E01" w:rsidRDefault="006143C4" w:rsidP="006143C4">
            <w:pPr>
              <w:jc w:val="right"/>
              <w:rPr>
                <w:rFonts w:cs="Arial"/>
                <w:color w:val="000000"/>
                <w:sz w:val="20"/>
                <w:szCs w:val="20"/>
              </w:rPr>
            </w:pPr>
            <w:r>
              <w:rPr>
                <w:rFonts w:cs="Arial"/>
                <w:color w:val="000000"/>
                <w:sz w:val="20"/>
                <w:szCs w:val="20"/>
              </w:rPr>
              <w:t>2</w:t>
            </w:r>
            <w:r w:rsidRPr="00142E01">
              <w:rPr>
                <w:rFonts w:cs="Arial"/>
                <w:color w:val="000000"/>
                <w:sz w:val="20"/>
                <w:szCs w:val="20"/>
              </w:rPr>
              <w:t xml:space="preserve"> </w:t>
            </w:r>
          </w:p>
        </w:tc>
        <w:tc>
          <w:tcPr>
            <w:tcW w:w="1091" w:type="dxa"/>
            <w:tcBorders>
              <w:top w:val="nil"/>
              <w:left w:val="nil"/>
              <w:bottom w:val="single" w:sz="4" w:space="0" w:color="BFBFBF"/>
              <w:right w:val="single" w:sz="4" w:space="0" w:color="BFBFBF"/>
            </w:tcBorders>
            <w:shd w:val="clear" w:color="auto" w:fill="auto"/>
            <w:noWrap/>
            <w:vAlign w:val="center"/>
            <w:hideMark/>
          </w:tcPr>
          <w:p w14:paraId="27AE99AC" w14:textId="77777777" w:rsidR="006143C4" w:rsidRPr="00142E01" w:rsidRDefault="006143C4" w:rsidP="006143C4">
            <w:pPr>
              <w:jc w:val="right"/>
              <w:rPr>
                <w:rFonts w:cs="Arial"/>
                <w:color w:val="000000"/>
                <w:sz w:val="20"/>
                <w:szCs w:val="20"/>
              </w:rPr>
            </w:pPr>
            <w:r w:rsidRPr="00142E01">
              <w:rPr>
                <w:rFonts w:cs="Arial"/>
                <w:color w:val="000000"/>
                <w:sz w:val="20"/>
                <w:szCs w:val="20"/>
              </w:rPr>
              <w:t>£19,433</w:t>
            </w:r>
          </w:p>
        </w:tc>
        <w:tc>
          <w:tcPr>
            <w:tcW w:w="949" w:type="dxa"/>
            <w:tcBorders>
              <w:top w:val="nil"/>
              <w:left w:val="nil"/>
              <w:bottom w:val="single" w:sz="4" w:space="0" w:color="BFBFBF"/>
              <w:right w:val="single" w:sz="4" w:space="0" w:color="auto"/>
            </w:tcBorders>
            <w:shd w:val="clear" w:color="auto" w:fill="auto"/>
            <w:noWrap/>
            <w:vAlign w:val="center"/>
            <w:hideMark/>
          </w:tcPr>
          <w:p w14:paraId="704A230A" w14:textId="77777777" w:rsidR="006143C4" w:rsidRPr="00142E01" w:rsidRDefault="006143C4" w:rsidP="006143C4">
            <w:pPr>
              <w:jc w:val="right"/>
              <w:rPr>
                <w:rFonts w:cs="Arial"/>
                <w:color w:val="000000"/>
                <w:sz w:val="20"/>
                <w:szCs w:val="20"/>
              </w:rPr>
            </w:pPr>
            <w:r w:rsidRPr="00142E01">
              <w:rPr>
                <w:rFonts w:cs="Arial"/>
                <w:color w:val="000000"/>
                <w:sz w:val="20"/>
                <w:szCs w:val="20"/>
              </w:rPr>
              <w:t>£</w:t>
            </w:r>
            <w:r>
              <w:rPr>
                <w:rFonts w:cs="Arial"/>
                <w:color w:val="000000"/>
                <w:sz w:val="20"/>
                <w:szCs w:val="20"/>
              </w:rPr>
              <w:t>10</w:t>
            </w:r>
            <w:r w:rsidRPr="00142E01">
              <w:rPr>
                <w:rFonts w:cs="Arial"/>
                <w:color w:val="000000"/>
                <w:sz w:val="20"/>
                <w:szCs w:val="20"/>
              </w:rPr>
              <w:t>,</w:t>
            </w:r>
            <w:r>
              <w:rPr>
                <w:rFonts w:cs="Arial"/>
                <w:color w:val="000000"/>
                <w:sz w:val="20"/>
                <w:szCs w:val="20"/>
              </w:rPr>
              <w:t>934</w:t>
            </w:r>
          </w:p>
        </w:tc>
      </w:tr>
      <w:tr w:rsidR="006143C4" w:rsidRPr="00142E01" w14:paraId="715CE2A5" w14:textId="77777777" w:rsidTr="006143C4">
        <w:trPr>
          <w:trHeight w:val="360"/>
        </w:trPr>
        <w:tc>
          <w:tcPr>
            <w:tcW w:w="2080" w:type="dxa"/>
            <w:tcBorders>
              <w:top w:val="nil"/>
              <w:left w:val="single" w:sz="4" w:space="0" w:color="auto"/>
              <w:bottom w:val="single" w:sz="4" w:space="0" w:color="BFBFBF"/>
              <w:right w:val="nil"/>
            </w:tcBorders>
            <w:shd w:val="clear" w:color="auto" w:fill="auto"/>
            <w:vAlign w:val="center"/>
            <w:hideMark/>
          </w:tcPr>
          <w:p w14:paraId="1646C4DF" w14:textId="77777777" w:rsidR="006143C4" w:rsidRPr="00142E01" w:rsidRDefault="006143C4" w:rsidP="006143C4">
            <w:pPr>
              <w:jc w:val="left"/>
              <w:rPr>
                <w:rFonts w:cs="Arial"/>
                <w:color w:val="000000"/>
                <w:sz w:val="20"/>
                <w:szCs w:val="20"/>
              </w:rPr>
            </w:pPr>
            <w:r w:rsidRPr="00142E01">
              <w:rPr>
                <w:rFonts w:cs="Arial"/>
                <w:color w:val="000000"/>
                <w:sz w:val="20"/>
                <w:szCs w:val="20"/>
              </w:rPr>
              <w:t>£20,001 to £40,000</w:t>
            </w:r>
          </w:p>
        </w:tc>
        <w:tc>
          <w:tcPr>
            <w:tcW w:w="920" w:type="dxa"/>
            <w:tcBorders>
              <w:top w:val="nil"/>
              <w:left w:val="single" w:sz="4" w:space="0" w:color="auto"/>
              <w:bottom w:val="single" w:sz="4" w:space="0" w:color="BFBFBF"/>
              <w:right w:val="single" w:sz="4" w:space="0" w:color="BFBFBF"/>
            </w:tcBorders>
            <w:shd w:val="clear" w:color="auto" w:fill="auto"/>
            <w:noWrap/>
            <w:vAlign w:val="center"/>
            <w:hideMark/>
          </w:tcPr>
          <w:p w14:paraId="33FB6C7D" w14:textId="77777777" w:rsidR="006143C4" w:rsidRPr="00142E01" w:rsidRDefault="006143C4" w:rsidP="006143C4">
            <w:pPr>
              <w:jc w:val="right"/>
              <w:rPr>
                <w:rFonts w:cs="Arial"/>
                <w:color w:val="000000"/>
                <w:sz w:val="20"/>
                <w:szCs w:val="20"/>
              </w:rPr>
            </w:pPr>
            <w:r w:rsidRPr="00142E01">
              <w:rPr>
                <w:rFonts w:cs="Arial"/>
                <w:color w:val="000000"/>
                <w:sz w:val="20"/>
                <w:szCs w:val="20"/>
              </w:rPr>
              <w:t xml:space="preserve">0 </w:t>
            </w:r>
          </w:p>
        </w:tc>
        <w:tc>
          <w:tcPr>
            <w:tcW w:w="920" w:type="dxa"/>
            <w:tcBorders>
              <w:top w:val="nil"/>
              <w:left w:val="nil"/>
              <w:bottom w:val="single" w:sz="4" w:space="0" w:color="BFBFBF"/>
              <w:right w:val="single" w:sz="4" w:space="0" w:color="auto"/>
            </w:tcBorders>
            <w:shd w:val="clear" w:color="auto" w:fill="auto"/>
            <w:noWrap/>
            <w:vAlign w:val="center"/>
            <w:hideMark/>
          </w:tcPr>
          <w:p w14:paraId="4F7DCA35" w14:textId="77777777" w:rsidR="006143C4" w:rsidRPr="00142E01" w:rsidRDefault="006143C4" w:rsidP="006143C4">
            <w:pPr>
              <w:jc w:val="right"/>
              <w:rPr>
                <w:rFonts w:cs="Arial"/>
                <w:color w:val="000000"/>
                <w:sz w:val="20"/>
                <w:szCs w:val="20"/>
              </w:rPr>
            </w:pPr>
            <w:r w:rsidRPr="00142E01">
              <w:rPr>
                <w:rFonts w:cs="Arial"/>
                <w:color w:val="000000"/>
                <w:sz w:val="20"/>
                <w:szCs w:val="20"/>
              </w:rPr>
              <w:t xml:space="preserve">0 </w:t>
            </w:r>
          </w:p>
        </w:tc>
        <w:tc>
          <w:tcPr>
            <w:tcW w:w="920" w:type="dxa"/>
            <w:tcBorders>
              <w:top w:val="nil"/>
              <w:left w:val="nil"/>
              <w:bottom w:val="single" w:sz="4" w:space="0" w:color="BFBFBF"/>
              <w:right w:val="single" w:sz="4" w:space="0" w:color="BFBFBF"/>
            </w:tcBorders>
            <w:shd w:val="clear" w:color="auto" w:fill="auto"/>
            <w:noWrap/>
            <w:vAlign w:val="center"/>
            <w:hideMark/>
          </w:tcPr>
          <w:p w14:paraId="27C32215" w14:textId="77777777" w:rsidR="006143C4" w:rsidRPr="00142E01" w:rsidRDefault="006143C4" w:rsidP="006143C4">
            <w:pPr>
              <w:jc w:val="right"/>
              <w:rPr>
                <w:rFonts w:cs="Arial"/>
                <w:color w:val="000000"/>
                <w:sz w:val="20"/>
                <w:szCs w:val="20"/>
              </w:rPr>
            </w:pPr>
            <w:r w:rsidRPr="00142E01">
              <w:rPr>
                <w:rFonts w:cs="Arial"/>
                <w:color w:val="000000"/>
                <w:sz w:val="20"/>
                <w:szCs w:val="20"/>
              </w:rPr>
              <w:t xml:space="preserve">3 </w:t>
            </w:r>
          </w:p>
        </w:tc>
        <w:tc>
          <w:tcPr>
            <w:tcW w:w="920" w:type="dxa"/>
            <w:tcBorders>
              <w:top w:val="nil"/>
              <w:left w:val="nil"/>
              <w:bottom w:val="single" w:sz="4" w:space="0" w:color="BFBFBF"/>
              <w:right w:val="single" w:sz="4" w:space="0" w:color="auto"/>
            </w:tcBorders>
            <w:shd w:val="clear" w:color="auto" w:fill="auto"/>
            <w:noWrap/>
            <w:vAlign w:val="center"/>
            <w:hideMark/>
          </w:tcPr>
          <w:p w14:paraId="03FF3668" w14:textId="77777777" w:rsidR="006143C4" w:rsidRPr="00142E01" w:rsidRDefault="006143C4" w:rsidP="006143C4">
            <w:pPr>
              <w:jc w:val="right"/>
              <w:rPr>
                <w:rFonts w:cs="Arial"/>
                <w:color w:val="000000"/>
                <w:sz w:val="20"/>
                <w:szCs w:val="20"/>
              </w:rPr>
            </w:pPr>
            <w:r w:rsidRPr="00142E01">
              <w:rPr>
                <w:rFonts w:cs="Arial"/>
                <w:color w:val="000000"/>
                <w:sz w:val="20"/>
                <w:szCs w:val="20"/>
              </w:rPr>
              <w:t xml:space="preserve">1 </w:t>
            </w:r>
          </w:p>
        </w:tc>
        <w:tc>
          <w:tcPr>
            <w:tcW w:w="920" w:type="dxa"/>
            <w:tcBorders>
              <w:top w:val="nil"/>
              <w:left w:val="nil"/>
              <w:bottom w:val="single" w:sz="4" w:space="0" w:color="BFBFBF"/>
              <w:right w:val="single" w:sz="4" w:space="0" w:color="BFBFBF"/>
            </w:tcBorders>
            <w:shd w:val="clear" w:color="auto" w:fill="auto"/>
            <w:noWrap/>
            <w:vAlign w:val="center"/>
            <w:hideMark/>
          </w:tcPr>
          <w:p w14:paraId="70D6DECA" w14:textId="77777777" w:rsidR="006143C4" w:rsidRPr="00142E01" w:rsidRDefault="006143C4" w:rsidP="006143C4">
            <w:pPr>
              <w:jc w:val="right"/>
              <w:rPr>
                <w:rFonts w:cs="Arial"/>
                <w:color w:val="000000"/>
                <w:sz w:val="20"/>
                <w:szCs w:val="20"/>
              </w:rPr>
            </w:pPr>
            <w:r w:rsidRPr="00142E01">
              <w:rPr>
                <w:rFonts w:cs="Arial"/>
                <w:color w:val="000000"/>
                <w:sz w:val="20"/>
                <w:szCs w:val="20"/>
              </w:rPr>
              <w:t xml:space="preserve">3 </w:t>
            </w:r>
          </w:p>
        </w:tc>
        <w:tc>
          <w:tcPr>
            <w:tcW w:w="920" w:type="dxa"/>
            <w:tcBorders>
              <w:top w:val="nil"/>
              <w:left w:val="nil"/>
              <w:bottom w:val="single" w:sz="4" w:space="0" w:color="BFBFBF"/>
              <w:right w:val="single" w:sz="4" w:space="0" w:color="auto"/>
            </w:tcBorders>
            <w:shd w:val="clear" w:color="auto" w:fill="auto"/>
            <w:noWrap/>
            <w:vAlign w:val="center"/>
            <w:hideMark/>
          </w:tcPr>
          <w:p w14:paraId="7E2DCF42" w14:textId="77777777" w:rsidR="006143C4" w:rsidRPr="00142E01" w:rsidRDefault="006143C4" w:rsidP="006143C4">
            <w:pPr>
              <w:jc w:val="right"/>
              <w:rPr>
                <w:rFonts w:cs="Arial"/>
                <w:color w:val="000000"/>
                <w:sz w:val="20"/>
                <w:szCs w:val="20"/>
              </w:rPr>
            </w:pPr>
            <w:r>
              <w:rPr>
                <w:rFonts w:cs="Arial"/>
                <w:color w:val="000000"/>
                <w:sz w:val="20"/>
                <w:szCs w:val="20"/>
              </w:rPr>
              <w:t>1</w:t>
            </w:r>
            <w:r w:rsidRPr="00142E01">
              <w:rPr>
                <w:rFonts w:cs="Arial"/>
                <w:color w:val="000000"/>
                <w:sz w:val="20"/>
                <w:szCs w:val="20"/>
              </w:rPr>
              <w:t xml:space="preserve"> </w:t>
            </w:r>
          </w:p>
        </w:tc>
        <w:tc>
          <w:tcPr>
            <w:tcW w:w="1091" w:type="dxa"/>
            <w:tcBorders>
              <w:top w:val="nil"/>
              <w:left w:val="nil"/>
              <w:bottom w:val="single" w:sz="4" w:space="0" w:color="BFBFBF"/>
              <w:right w:val="single" w:sz="4" w:space="0" w:color="BFBFBF"/>
            </w:tcBorders>
            <w:shd w:val="clear" w:color="auto" w:fill="auto"/>
            <w:noWrap/>
            <w:vAlign w:val="center"/>
            <w:hideMark/>
          </w:tcPr>
          <w:p w14:paraId="3E751C20" w14:textId="77777777" w:rsidR="006143C4" w:rsidRPr="00142E01" w:rsidRDefault="006143C4" w:rsidP="006143C4">
            <w:pPr>
              <w:jc w:val="right"/>
              <w:rPr>
                <w:rFonts w:cs="Arial"/>
                <w:color w:val="000000"/>
                <w:sz w:val="20"/>
                <w:szCs w:val="20"/>
              </w:rPr>
            </w:pPr>
            <w:r w:rsidRPr="00142E01">
              <w:rPr>
                <w:rFonts w:cs="Arial"/>
                <w:color w:val="000000"/>
                <w:sz w:val="20"/>
                <w:szCs w:val="20"/>
              </w:rPr>
              <w:t>£100,432</w:t>
            </w:r>
          </w:p>
        </w:tc>
        <w:tc>
          <w:tcPr>
            <w:tcW w:w="949" w:type="dxa"/>
            <w:tcBorders>
              <w:top w:val="nil"/>
              <w:left w:val="nil"/>
              <w:bottom w:val="single" w:sz="4" w:space="0" w:color="BFBFBF"/>
              <w:right w:val="single" w:sz="4" w:space="0" w:color="auto"/>
            </w:tcBorders>
            <w:shd w:val="clear" w:color="auto" w:fill="auto"/>
            <w:noWrap/>
            <w:vAlign w:val="center"/>
            <w:hideMark/>
          </w:tcPr>
          <w:p w14:paraId="2DC4C8EC" w14:textId="77777777" w:rsidR="006143C4" w:rsidRPr="00142E01" w:rsidRDefault="006143C4" w:rsidP="006143C4">
            <w:pPr>
              <w:jc w:val="right"/>
              <w:rPr>
                <w:rFonts w:cs="Arial"/>
                <w:color w:val="000000"/>
                <w:sz w:val="20"/>
                <w:szCs w:val="20"/>
              </w:rPr>
            </w:pPr>
            <w:r w:rsidRPr="00142E01">
              <w:rPr>
                <w:rFonts w:cs="Arial"/>
                <w:color w:val="000000"/>
                <w:sz w:val="20"/>
                <w:szCs w:val="20"/>
              </w:rPr>
              <w:t>£27,635</w:t>
            </w:r>
          </w:p>
        </w:tc>
      </w:tr>
      <w:tr w:rsidR="006143C4" w:rsidRPr="00142E01" w14:paraId="37D48E20" w14:textId="77777777" w:rsidTr="006143C4">
        <w:trPr>
          <w:trHeight w:val="360"/>
        </w:trPr>
        <w:tc>
          <w:tcPr>
            <w:tcW w:w="2080" w:type="dxa"/>
            <w:tcBorders>
              <w:top w:val="nil"/>
              <w:left w:val="single" w:sz="4" w:space="0" w:color="auto"/>
              <w:bottom w:val="single" w:sz="4" w:space="0" w:color="BFBFBF"/>
              <w:right w:val="nil"/>
            </w:tcBorders>
            <w:shd w:val="clear" w:color="auto" w:fill="auto"/>
            <w:vAlign w:val="center"/>
            <w:hideMark/>
          </w:tcPr>
          <w:p w14:paraId="136FB6C6" w14:textId="77777777" w:rsidR="006143C4" w:rsidRPr="00142E01" w:rsidRDefault="006143C4" w:rsidP="006143C4">
            <w:pPr>
              <w:jc w:val="left"/>
              <w:rPr>
                <w:rFonts w:cs="Arial"/>
                <w:color w:val="000000"/>
                <w:sz w:val="20"/>
                <w:szCs w:val="20"/>
              </w:rPr>
            </w:pPr>
            <w:r w:rsidRPr="00142E01">
              <w:rPr>
                <w:rFonts w:cs="Arial"/>
                <w:color w:val="000000"/>
                <w:sz w:val="20"/>
                <w:szCs w:val="20"/>
              </w:rPr>
              <w:t>£40,001 to £60,000</w:t>
            </w:r>
          </w:p>
        </w:tc>
        <w:tc>
          <w:tcPr>
            <w:tcW w:w="920" w:type="dxa"/>
            <w:tcBorders>
              <w:top w:val="nil"/>
              <w:left w:val="single" w:sz="4" w:space="0" w:color="auto"/>
              <w:bottom w:val="single" w:sz="4" w:space="0" w:color="BFBFBF"/>
              <w:right w:val="single" w:sz="4" w:space="0" w:color="BFBFBF"/>
            </w:tcBorders>
            <w:shd w:val="clear" w:color="auto" w:fill="auto"/>
            <w:noWrap/>
            <w:vAlign w:val="center"/>
            <w:hideMark/>
          </w:tcPr>
          <w:p w14:paraId="3FC393E2" w14:textId="77777777" w:rsidR="006143C4" w:rsidRPr="00142E01" w:rsidRDefault="006143C4" w:rsidP="006143C4">
            <w:pPr>
              <w:jc w:val="right"/>
              <w:rPr>
                <w:rFonts w:cs="Arial"/>
                <w:color w:val="000000"/>
                <w:sz w:val="20"/>
                <w:szCs w:val="20"/>
              </w:rPr>
            </w:pPr>
            <w:r w:rsidRPr="00142E01">
              <w:rPr>
                <w:rFonts w:cs="Arial"/>
                <w:color w:val="000000"/>
                <w:sz w:val="20"/>
                <w:szCs w:val="20"/>
              </w:rPr>
              <w:t xml:space="preserve">0 </w:t>
            </w:r>
          </w:p>
        </w:tc>
        <w:tc>
          <w:tcPr>
            <w:tcW w:w="920" w:type="dxa"/>
            <w:tcBorders>
              <w:top w:val="nil"/>
              <w:left w:val="nil"/>
              <w:bottom w:val="single" w:sz="4" w:space="0" w:color="BFBFBF"/>
              <w:right w:val="single" w:sz="4" w:space="0" w:color="auto"/>
            </w:tcBorders>
            <w:shd w:val="clear" w:color="auto" w:fill="auto"/>
            <w:noWrap/>
            <w:vAlign w:val="center"/>
            <w:hideMark/>
          </w:tcPr>
          <w:p w14:paraId="4D0D29A8" w14:textId="77777777" w:rsidR="006143C4" w:rsidRPr="00142E01" w:rsidRDefault="006143C4" w:rsidP="006143C4">
            <w:pPr>
              <w:jc w:val="right"/>
              <w:rPr>
                <w:rFonts w:cs="Arial"/>
                <w:color w:val="000000"/>
                <w:sz w:val="20"/>
                <w:szCs w:val="20"/>
              </w:rPr>
            </w:pPr>
            <w:r w:rsidRPr="00142E01">
              <w:rPr>
                <w:rFonts w:cs="Arial"/>
                <w:color w:val="000000"/>
                <w:sz w:val="20"/>
                <w:szCs w:val="20"/>
              </w:rPr>
              <w:t xml:space="preserve">0 </w:t>
            </w:r>
          </w:p>
        </w:tc>
        <w:tc>
          <w:tcPr>
            <w:tcW w:w="920" w:type="dxa"/>
            <w:tcBorders>
              <w:top w:val="nil"/>
              <w:left w:val="nil"/>
              <w:bottom w:val="single" w:sz="4" w:space="0" w:color="BFBFBF"/>
              <w:right w:val="single" w:sz="4" w:space="0" w:color="BFBFBF"/>
            </w:tcBorders>
            <w:shd w:val="clear" w:color="auto" w:fill="auto"/>
            <w:noWrap/>
            <w:vAlign w:val="center"/>
            <w:hideMark/>
          </w:tcPr>
          <w:p w14:paraId="0D03E2BC" w14:textId="77777777" w:rsidR="006143C4" w:rsidRPr="00142E01" w:rsidRDefault="006143C4" w:rsidP="006143C4">
            <w:pPr>
              <w:jc w:val="right"/>
              <w:rPr>
                <w:rFonts w:cs="Arial"/>
                <w:color w:val="000000"/>
                <w:sz w:val="20"/>
                <w:szCs w:val="20"/>
              </w:rPr>
            </w:pPr>
            <w:r w:rsidRPr="00142E01">
              <w:rPr>
                <w:rFonts w:cs="Arial"/>
                <w:color w:val="000000"/>
                <w:sz w:val="20"/>
                <w:szCs w:val="20"/>
              </w:rPr>
              <w:t xml:space="preserve">0 </w:t>
            </w:r>
          </w:p>
        </w:tc>
        <w:tc>
          <w:tcPr>
            <w:tcW w:w="920" w:type="dxa"/>
            <w:tcBorders>
              <w:top w:val="nil"/>
              <w:left w:val="nil"/>
              <w:bottom w:val="single" w:sz="4" w:space="0" w:color="BFBFBF"/>
              <w:right w:val="single" w:sz="4" w:space="0" w:color="auto"/>
            </w:tcBorders>
            <w:shd w:val="clear" w:color="auto" w:fill="auto"/>
            <w:noWrap/>
            <w:vAlign w:val="center"/>
            <w:hideMark/>
          </w:tcPr>
          <w:p w14:paraId="691DEB76" w14:textId="77777777" w:rsidR="006143C4" w:rsidRPr="00142E01" w:rsidRDefault="006143C4" w:rsidP="006143C4">
            <w:pPr>
              <w:jc w:val="right"/>
              <w:rPr>
                <w:rFonts w:cs="Arial"/>
                <w:color w:val="000000"/>
                <w:sz w:val="20"/>
                <w:szCs w:val="20"/>
              </w:rPr>
            </w:pPr>
            <w:r w:rsidRPr="00142E01">
              <w:rPr>
                <w:rFonts w:cs="Arial"/>
                <w:color w:val="000000"/>
                <w:sz w:val="20"/>
                <w:szCs w:val="20"/>
              </w:rPr>
              <w:t xml:space="preserve">0 </w:t>
            </w:r>
          </w:p>
        </w:tc>
        <w:tc>
          <w:tcPr>
            <w:tcW w:w="920" w:type="dxa"/>
            <w:tcBorders>
              <w:top w:val="nil"/>
              <w:left w:val="nil"/>
              <w:bottom w:val="single" w:sz="4" w:space="0" w:color="BFBFBF"/>
              <w:right w:val="single" w:sz="4" w:space="0" w:color="BFBFBF"/>
            </w:tcBorders>
            <w:shd w:val="clear" w:color="auto" w:fill="auto"/>
            <w:noWrap/>
            <w:vAlign w:val="center"/>
            <w:hideMark/>
          </w:tcPr>
          <w:p w14:paraId="3BDEEB4E" w14:textId="77777777" w:rsidR="006143C4" w:rsidRPr="00142E01" w:rsidRDefault="006143C4" w:rsidP="006143C4">
            <w:pPr>
              <w:jc w:val="right"/>
              <w:rPr>
                <w:rFonts w:cs="Arial"/>
                <w:color w:val="000000"/>
                <w:sz w:val="20"/>
                <w:szCs w:val="20"/>
              </w:rPr>
            </w:pPr>
            <w:r w:rsidRPr="00142E01">
              <w:rPr>
                <w:rFonts w:cs="Arial"/>
                <w:color w:val="000000"/>
                <w:sz w:val="20"/>
                <w:szCs w:val="20"/>
              </w:rPr>
              <w:t xml:space="preserve">0 </w:t>
            </w:r>
          </w:p>
        </w:tc>
        <w:tc>
          <w:tcPr>
            <w:tcW w:w="920" w:type="dxa"/>
            <w:tcBorders>
              <w:top w:val="nil"/>
              <w:left w:val="nil"/>
              <w:bottom w:val="single" w:sz="4" w:space="0" w:color="BFBFBF"/>
              <w:right w:val="single" w:sz="4" w:space="0" w:color="auto"/>
            </w:tcBorders>
            <w:shd w:val="clear" w:color="auto" w:fill="auto"/>
            <w:noWrap/>
            <w:vAlign w:val="center"/>
            <w:hideMark/>
          </w:tcPr>
          <w:p w14:paraId="71F5D637" w14:textId="77777777" w:rsidR="006143C4" w:rsidRPr="00142E01" w:rsidRDefault="006143C4" w:rsidP="006143C4">
            <w:pPr>
              <w:jc w:val="right"/>
              <w:rPr>
                <w:rFonts w:cs="Arial"/>
                <w:color w:val="000000"/>
                <w:sz w:val="20"/>
                <w:szCs w:val="20"/>
              </w:rPr>
            </w:pPr>
            <w:r w:rsidRPr="00142E01">
              <w:rPr>
                <w:rFonts w:cs="Arial"/>
                <w:color w:val="000000"/>
                <w:sz w:val="20"/>
                <w:szCs w:val="20"/>
              </w:rPr>
              <w:t xml:space="preserve">0 </w:t>
            </w:r>
          </w:p>
        </w:tc>
        <w:tc>
          <w:tcPr>
            <w:tcW w:w="1091" w:type="dxa"/>
            <w:tcBorders>
              <w:top w:val="nil"/>
              <w:left w:val="nil"/>
              <w:bottom w:val="single" w:sz="4" w:space="0" w:color="BFBFBF"/>
              <w:right w:val="single" w:sz="4" w:space="0" w:color="BFBFBF"/>
            </w:tcBorders>
            <w:shd w:val="clear" w:color="auto" w:fill="auto"/>
            <w:noWrap/>
            <w:vAlign w:val="center"/>
            <w:hideMark/>
          </w:tcPr>
          <w:p w14:paraId="7F27F5BC" w14:textId="77777777" w:rsidR="006143C4" w:rsidRPr="00142E01" w:rsidRDefault="006143C4" w:rsidP="006143C4">
            <w:pPr>
              <w:jc w:val="right"/>
              <w:rPr>
                <w:rFonts w:cs="Arial"/>
                <w:color w:val="000000"/>
                <w:sz w:val="20"/>
                <w:szCs w:val="20"/>
              </w:rPr>
            </w:pPr>
            <w:r w:rsidRPr="00142E01">
              <w:rPr>
                <w:rFonts w:cs="Arial"/>
                <w:color w:val="000000"/>
                <w:sz w:val="20"/>
                <w:szCs w:val="20"/>
              </w:rPr>
              <w:t>£0</w:t>
            </w:r>
          </w:p>
        </w:tc>
        <w:tc>
          <w:tcPr>
            <w:tcW w:w="949" w:type="dxa"/>
            <w:tcBorders>
              <w:top w:val="nil"/>
              <w:left w:val="nil"/>
              <w:bottom w:val="single" w:sz="4" w:space="0" w:color="BFBFBF"/>
              <w:right w:val="single" w:sz="4" w:space="0" w:color="auto"/>
            </w:tcBorders>
            <w:shd w:val="clear" w:color="auto" w:fill="auto"/>
            <w:noWrap/>
            <w:vAlign w:val="center"/>
            <w:hideMark/>
          </w:tcPr>
          <w:p w14:paraId="3B0B33F2" w14:textId="77777777" w:rsidR="006143C4" w:rsidRPr="00142E01" w:rsidRDefault="006143C4" w:rsidP="006143C4">
            <w:pPr>
              <w:jc w:val="right"/>
              <w:rPr>
                <w:rFonts w:cs="Arial"/>
                <w:color w:val="000000"/>
                <w:sz w:val="20"/>
                <w:szCs w:val="20"/>
              </w:rPr>
            </w:pPr>
            <w:r w:rsidRPr="00142E01">
              <w:rPr>
                <w:rFonts w:cs="Arial"/>
                <w:color w:val="000000"/>
                <w:sz w:val="20"/>
                <w:szCs w:val="20"/>
              </w:rPr>
              <w:t>£0</w:t>
            </w:r>
          </w:p>
        </w:tc>
      </w:tr>
      <w:tr w:rsidR="006143C4" w:rsidRPr="00142E01" w14:paraId="37E5DB0F" w14:textId="77777777" w:rsidTr="006143C4">
        <w:trPr>
          <w:trHeight w:val="360"/>
        </w:trPr>
        <w:tc>
          <w:tcPr>
            <w:tcW w:w="2080" w:type="dxa"/>
            <w:tcBorders>
              <w:top w:val="nil"/>
              <w:left w:val="single" w:sz="4" w:space="0" w:color="auto"/>
              <w:bottom w:val="single" w:sz="4" w:space="0" w:color="BFBFBF"/>
              <w:right w:val="nil"/>
            </w:tcBorders>
            <w:shd w:val="clear" w:color="auto" w:fill="auto"/>
            <w:vAlign w:val="center"/>
            <w:hideMark/>
          </w:tcPr>
          <w:p w14:paraId="705D38D7" w14:textId="77777777" w:rsidR="006143C4" w:rsidRPr="00142E01" w:rsidRDefault="006143C4" w:rsidP="006143C4">
            <w:pPr>
              <w:jc w:val="left"/>
              <w:rPr>
                <w:rFonts w:cs="Arial"/>
                <w:color w:val="000000"/>
                <w:sz w:val="20"/>
                <w:szCs w:val="20"/>
              </w:rPr>
            </w:pPr>
            <w:r w:rsidRPr="00142E01">
              <w:rPr>
                <w:rFonts w:cs="Arial"/>
                <w:color w:val="000000"/>
                <w:sz w:val="20"/>
                <w:szCs w:val="20"/>
              </w:rPr>
              <w:t>£60,001 to £80,000</w:t>
            </w:r>
          </w:p>
        </w:tc>
        <w:tc>
          <w:tcPr>
            <w:tcW w:w="920" w:type="dxa"/>
            <w:tcBorders>
              <w:top w:val="nil"/>
              <w:left w:val="single" w:sz="4" w:space="0" w:color="auto"/>
              <w:bottom w:val="single" w:sz="4" w:space="0" w:color="BFBFBF"/>
              <w:right w:val="single" w:sz="4" w:space="0" w:color="BFBFBF"/>
            </w:tcBorders>
            <w:shd w:val="clear" w:color="auto" w:fill="auto"/>
            <w:noWrap/>
            <w:vAlign w:val="center"/>
            <w:hideMark/>
          </w:tcPr>
          <w:p w14:paraId="435A7A6E" w14:textId="77777777" w:rsidR="006143C4" w:rsidRPr="00142E01" w:rsidRDefault="006143C4" w:rsidP="006143C4">
            <w:pPr>
              <w:jc w:val="right"/>
              <w:rPr>
                <w:rFonts w:cs="Arial"/>
                <w:color w:val="000000"/>
                <w:sz w:val="20"/>
                <w:szCs w:val="20"/>
              </w:rPr>
            </w:pPr>
            <w:r w:rsidRPr="00142E01">
              <w:rPr>
                <w:rFonts w:cs="Arial"/>
                <w:color w:val="000000"/>
                <w:sz w:val="20"/>
                <w:szCs w:val="20"/>
              </w:rPr>
              <w:t xml:space="preserve">0 </w:t>
            </w:r>
          </w:p>
        </w:tc>
        <w:tc>
          <w:tcPr>
            <w:tcW w:w="920" w:type="dxa"/>
            <w:tcBorders>
              <w:top w:val="nil"/>
              <w:left w:val="nil"/>
              <w:bottom w:val="single" w:sz="4" w:space="0" w:color="BFBFBF"/>
              <w:right w:val="single" w:sz="4" w:space="0" w:color="auto"/>
            </w:tcBorders>
            <w:shd w:val="clear" w:color="auto" w:fill="auto"/>
            <w:noWrap/>
            <w:vAlign w:val="center"/>
            <w:hideMark/>
          </w:tcPr>
          <w:p w14:paraId="01179E37" w14:textId="77777777" w:rsidR="006143C4" w:rsidRPr="00142E01" w:rsidRDefault="006143C4" w:rsidP="006143C4">
            <w:pPr>
              <w:jc w:val="right"/>
              <w:rPr>
                <w:rFonts w:cs="Arial"/>
                <w:color w:val="000000"/>
                <w:sz w:val="20"/>
                <w:szCs w:val="20"/>
              </w:rPr>
            </w:pPr>
            <w:r w:rsidRPr="00142E01">
              <w:rPr>
                <w:rFonts w:cs="Arial"/>
                <w:color w:val="000000"/>
                <w:sz w:val="20"/>
                <w:szCs w:val="20"/>
              </w:rPr>
              <w:t xml:space="preserve">0 </w:t>
            </w:r>
          </w:p>
        </w:tc>
        <w:tc>
          <w:tcPr>
            <w:tcW w:w="920" w:type="dxa"/>
            <w:tcBorders>
              <w:top w:val="nil"/>
              <w:left w:val="nil"/>
              <w:bottom w:val="single" w:sz="4" w:space="0" w:color="BFBFBF"/>
              <w:right w:val="single" w:sz="4" w:space="0" w:color="BFBFBF"/>
            </w:tcBorders>
            <w:shd w:val="clear" w:color="auto" w:fill="auto"/>
            <w:noWrap/>
            <w:vAlign w:val="center"/>
            <w:hideMark/>
          </w:tcPr>
          <w:p w14:paraId="021D45B4" w14:textId="77777777" w:rsidR="006143C4" w:rsidRPr="00142E01" w:rsidRDefault="006143C4" w:rsidP="006143C4">
            <w:pPr>
              <w:jc w:val="right"/>
              <w:rPr>
                <w:rFonts w:cs="Arial"/>
                <w:color w:val="000000"/>
                <w:sz w:val="20"/>
                <w:szCs w:val="20"/>
              </w:rPr>
            </w:pPr>
            <w:r w:rsidRPr="00142E01">
              <w:rPr>
                <w:rFonts w:cs="Arial"/>
                <w:color w:val="000000"/>
                <w:sz w:val="20"/>
                <w:szCs w:val="20"/>
              </w:rPr>
              <w:t xml:space="preserve">1 </w:t>
            </w:r>
          </w:p>
        </w:tc>
        <w:tc>
          <w:tcPr>
            <w:tcW w:w="920" w:type="dxa"/>
            <w:tcBorders>
              <w:top w:val="nil"/>
              <w:left w:val="nil"/>
              <w:bottom w:val="single" w:sz="4" w:space="0" w:color="BFBFBF"/>
              <w:right w:val="single" w:sz="4" w:space="0" w:color="auto"/>
            </w:tcBorders>
            <w:shd w:val="clear" w:color="auto" w:fill="auto"/>
            <w:noWrap/>
            <w:vAlign w:val="center"/>
            <w:hideMark/>
          </w:tcPr>
          <w:p w14:paraId="3807B3D4" w14:textId="77777777" w:rsidR="006143C4" w:rsidRPr="00142E01" w:rsidRDefault="006143C4" w:rsidP="006143C4">
            <w:pPr>
              <w:jc w:val="right"/>
              <w:rPr>
                <w:rFonts w:cs="Arial"/>
                <w:color w:val="000000"/>
                <w:sz w:val="20"/>
                <w:szCs w:val="20"/>
              </w:rPr>
            </w:pPr>
            <w:r w:rsidRPr="00142E01">
              <w:rPr>
                <w:rFonts w:cs="Arial"/>
                <w:color w:val="000000"/>
                <w:sz w:val="20"/>
                <w:szCs w:val="20"/>
              </w:rPr>
              <w:t xml:space="preserve">0 </w:t>
            </w:r>
          </w:p>
        </w:tc>
        <w:tc>
          <w:tcPr>
            <w:tcW w:w="920" w:type="dxa"/>
            <w:tcBorders>
              <w:top w:val="nil"/>
              <w:left w:val="nil"/>
              <w:bottom w:val="single" w:sz="4" w:space="0" w:color="BFBFBF"/>
              <w:right w:val="single" w:sz="4" w:space="0" w:color="BFBFBF"/>
            </w:tcBorders>
            <w:shd w:val="clear" w:color="auto" w:fill="auto"/>
            <w:noWrap/>
            <w:vAlign w:val="center"/>
            <w:hideMark/>
          </w:tcPr>
          <w:p w14:paraId="1A8A9C27" w14:textId="77777777" w:rsidR="006143C4" w:rsidRPr="00142E01" w:rsidRDefault="006143C4" w:rsidP="006143C4">
            <w:pPr>
              <w:jc w:val="right"/>
              <w:rPr>
                <w:rFonts w:cs="Arial"/>
                <w:color w:val="000000"/>
                <w:sz w:val="20"/>
                <w:szCs w:val="20"/>
              </w:rPr>
            </w:pPr>
            <w:r w:rsidRPr="00142E01">
              <w:rPr>
                <w:rFonts w:cs="Arial"/>
                <w:color w:val="000000"/>
                <w:sz w:val="20"/>
                <w:szCs w:val="20"/>
              </w:rPr>
              <w:t xml:space="preserve">1 </w:t>
            </w:r>
          </w:p>
        </w:tc>
        <w:tc>
          <w:tcPr>
            <w:tcW w:w="920" w:type="dxa"/>
            <w:tcBorders>
              <w:top w:val="nil"/>
              <w:left w:val="nil"/>
              <w:bottom w:val="single" w:sz="4" w:space="0" w:color="BFBFBF"/>
              <w:right w:val="single" w:sz="4" w:space="0" w:color="auto"/>
            </w:tcBorders>
            <w:shd w:val="clear" w:color="auto" w:fill="auto"/>
            <w:noWrap/>
            <w:vAlign w:val="center"/>
            <w:hideMark/>
          </w:tcPr>
          <w:p w14:paraId="52953E03" w14:textId="77777777" w:rsidR="006143C4" w:rsidRPr="00142E01" w:rsidRDefault="006143C4" w:rsidP="006143C4">
            <w:pPr>
              <w:jc w:val="right"/>
              <w:rPr>
                <w:rFonts w:cs="Arial"/>
                <w:color w:val="000000"/>
                <w:sz w:val="20"/>
                <w:szCs w:val="20"/>
              </w:rPr>
            </w:pPr>
            <w:r w:rsidRPr="00142E01">
              <w:rPr>
                <w:rFonts w:cs="Arial"/>
                <w:color w:val="000000"/>
                <w:sz w:val="20"/>
                <w:szCs w:val="20"/>
              </w:rPr>
              <w:t xml:space="preserve">0 </w:t>
            </w:r>
          </w:p>
        </w:tc>
        <w:tc>
          <w:tcPr>
            <w:tcW w:w="1091" w:type="dxa"/>
            <w:tcBorders>
              <w:top w:val="nil"/>
              <w:left w:val="nil"/>
              <w:bottom w:val="single" w:sz="4" w:space="0" w:color="BFBFBF"/>
              <w:right w:val="single" w:sz="4" w:space="0" w:color="BFBFBF"/>
            </w:tcBorders>
            <w:shd w:val="clear" w:color="auto" w:fill="auto"/>
            <w:noWrap/>
            <w:vAlign w:val="center"/>
            <w:hideMark/>
          </w:tcPr>
          <w:p w14:paraId="4278DB9F" w14:textId="77777777" w:rsidR="006143C4" w:rsidRPr="00142E01" w:rsidRDefault="006143C4" w:rsidP="006143C4">
            <w:pPr>
              <w:jc w:val="right"/>
              <w:rPr>
                <w:rFonts w:cs="Arial"/>
                <w:color w:val="000000"/>
                <w:sz w:val="20"/>
                <w:szCs w:val="20"/>
              </w:rPr>
            </w:pPr>
            <w:r w:rsidRPr="00142E01">
              <w:rPr>
                <w:rFonts w:cs="Arial"/>
                <w:color w:val="000000"/>
                <w:sz w:val="20"/>
                <w:szCs w:val="20"/>
              </w:rPr>
              <w:t>£74,099</w:t>
            </w:r>
          </w:p>
        </w:tc>
        <w:tc>
          <w:tcPr>
            <w:tcW w:w="949" w:type="dxa"/>
            <w:tcBorders>
              <w:top w:val="nil"/>
              <w:left w:val="nil"/>
              <w:bottom w:val="single" w:sz="4" w:space="0" w:color="BFBFBF"/>
              <w:right w:val="single" w:sz="4" w:space="0" w:color="auto"/>
            </w:tcBorders>
            <w:shd w:val="clear" w:color="auto" w:fill="auto"/>
            <w:noWrap/>
            <w:vAlign w:val="center"/>
            <w:hideMark/>
          </w:tcPr>
          <w:p w14:paraId="318E3722" w14:textId="77777777" w:rsidR="006143C4" w:rsidRPr="00142E01" w:rsidRDefault="006143C4" w:rsidP="006143C4">
            <w:pPr>
              <w:jc w:val="right"/>
              <w:rPr>
                <w:rFonts w:cs="Arial"/>
                <w:color w:val="000000"/>
                <w:sz w:val="20"/>
                <w:szCs w:val="20"/>
              </w:rPr>
            </w:pPr>
            <w:r w:rsidRPr="00142E01">
              <w:rPr>
                <w:rFonts w:cs="Arial"/>
                <w:color w:val="000000"/>
                <w:sz w:val="20"/>
                <w:szCs w:val="20"/>
              </w:rPr>
              <w:t>£0</w:t>
            </w:r>
          </w:p>
        </w:tc>
      </w:tr>
      <w:tr w:rsidR="006143C4" w:rsidRPr="00142E01" w14:paraId="57A4F372" w14:textId="77777777" w:rsidTr="006143C4">
        <w:trPr>
          <w:trHeight w:val="360"/>
        </w:trPr>
        <w:tc>
          <w:tcPr>
            <w:tcW w:w="2080" w:type="dxa"/>
            <w:tcBorders>
              <w:top w:val="nil"/>
              <w:left w:val="single" w:sz="4" w:space="0" w:color="auto"/>
              <w:bottom w:val="single" w:sz="4" w:space="0" w:color="BFBFBF"/>
              <w:right w:val="nil"/>
            </w:tcBorders>
            <w:shd w:val="clear" w:color="auto" w:fill="auto"/>
            <w:vAlign w:val="center"/>
            <w:hideMark/>
          </w:tcPr>
          <w:p w14:paraId="0811A1C6" w14:textId="77777777" w:rsidR="006143C4" w:rsidRPr="00142E01" w:rsidRDefault="006143C4" w:rsidP="006143C4">
            <w:pPr>
              <w:jc w:val="left"/>
              <w:rPr>
                <w:rFonts w:cs="Arial"/>
                <w:color w:val="000000"/>
                <w:sz w:val="20"/>
                <w:szCs w:val="20"/>
              </w:rPr>
            </w:pPr>
            <w:r w:rsidRPr="00142E01">
              <w:rPr>
                <w:rFonts w:cs="Arial"/>
                <w:color w:val="000000"/>
                <w:sz w:val="20"/>
                <w:szCs w:val="20"/>
              </w:rPr>
              <w:t>£80,001 to £100,000</w:t>
            </w:r>
          </w:p>
        </w:tc>
        <w:tc>
          <w:tcPr>
            <w:tcW w:w="920" w:type="dxa"/>
            <w:tcBorders>
              <w:top w:val="nil"/>
              <w:left w:val="single" w:sz="4" w:space="0" w:color="auto"/>
              <w:bottom w:val="single" w:sz="4" w:space="0" w:color="BFBFBF"/>
              <w:right w:val="single" w:sz="4" w:space="0" w:color="BFBFBF"/>
            </w:tcBorders>
            <w:shd w:val="clear" w:color="auto" w:fill="auto"/>
            <w:noWrap/>
            <w:vAlign w:val="center"/>
            <w:hideMark/>
          </w:tcPr>
          <w:p w14:paraId="2777DBCF" w14:textId="77777777" w:rsidR="006143C4" w:rsidRPr="00142E01" w:rsidRDefault="006143C4" w:rsidP="006143C4">
            <w:pPr>
              <w:jc w:val="right"/>
              <w:rPr>
                <w:rFonts w:cs="Arial"/>
                <w:color w:val="000000"/>
                <w:sz w:val="20"/>
                <w:szCs w:val="20"/>
              </w:rPr>
            </w:pPr>
            <w:r w:rsidRPr="00142E01">
              <w:rPr>
                <w:rFonts w:cs="Arial"/>
                <w:color w:val="000000"/>
                <w:sz w:val="20"/>
                <w:szCs w:val="20"/>
              </w:rPr>
              <w:t xml:space="preserve">0 </w:t>
            </w:r>
          </w:p>
        </w:tc>
        <w:tc>
          <w:tcPr>
            <w:tcW w:w="920" w:type="dxa"/>
            <w:tcBorders>
              <w:top w:val="nil"/>
              <w:left w:val="nil"/>
              <w:bottom w:val="single" w:sz="4" w:space="0" w:color="BFBFBF"/>
              <w:right w:val="single" w:sz="4" w:space="0" w:color="auto"/>
            </w:tcBorders>
            <w:shd w:val="clear" w:color="auto" w:fill="auto"/>
            <w:noWrap/>
            <w:vAlign w:val="center"/>
            <w:hideMark/>
          </w:tcPr>
          <w:p w14:paraId="3C38547D" w14:textId="77777777" w:rsidR="006143C4" w:rsidRPr="00142E01" w:rsidRDefault="006143C4" w:rsidP="006143C4">
            <w:pPr>
              <w:jc w:val="right"/>
              <w:rPr>
                <w:rFonts w:cs="Arial"/>
                <w:color w:val="000000"/>
                <w:sz w:val="20"/>
                <w:szCs w:val="20"/>
              </w:rPr>
            </w:pPr>
            <w:r w:rsidRPr="00142E01">
              <w:rPr>
                <w:rFonts w:cs="Arial"/>
                <w:color w:val="000000"/>
                <w:sz w:val="20"/>
                <w:szCs w:val="20"/>
              </w:rPr>
              <w:t xml:space="preserve">0 </w:t>
            </w:r>
          </w:p>
        </w:tc>
        <w:tc>
          <w:tcPr>
            <w:tcW w:w="920" w:type="dxa"/>
            <w:tcBorders>
              <w:top w:val="nil"/>
              <w:left w:val="nil"/>
              <w:bottom w:val="single" w:sz="4" w:space="0" w:color="BFBFBF"/>
              <w:right w:val="single" w:sz="4" w:space="0" w:color="BFBFBF"/>
            </w:tcBorders>
            <w:shd w:val="clear" w:color="auto" w:fill="auto"/>
            <w:noWrap/>
            <w:vAlign w:val="center"/>
            <w:hideMark/>
          </w:tcPr>
          <w:p w14:paraId="580E1367" w14:textId="77777777" w:rsidR="006143C4" w:rsidRPr="00142E01" w:rsidRDefault="006143C4" w:rsidP="006143C4">
            <w:pPr>
              <w:jc w:val="right"/>
              <w:rPr>
                <w:rFonts w:cs="Arial"/>
                <w:color w:val="000000"/>
                <w:sz w:val="20"/>
                <w:szCs w:val="20"/>
              </w:rPr>
            </w:pPr>
            <w:r w:rsidRPr="00142E01">
              <w:rPr>
                <w:rFonts w:cs="Arial"/>
                <w:color w:val="000000"/>
                <w:sz w:val="20"/>
                <w:szCs w:val="20"/>
              </w:rPr>
              <w:t xml:space="preserve">0 </w:t>
            </w:r>
          </w:p>
        </w:tc>
        <w:tc>
          <w:tcPr>
            <w:tcW w:w="920" w:type="dxa"/>
            <w:tcBorders>
              <w:top w:val="nil"/>
              <w:left w:val="nil"/>
              <w:bottom w:val="single" w:sz="4" w:space="0" w:color="BFBFBF"/>
              <w:right w:val="single" w:sz="4" w:space="0" w:color="auto"/>
            </w:tcBorders>
            <w:shd w:val="clear" w:color="auto" w:fill="auto"/>
            <w:noWrap/>
            <w:vAlign w:val="center"/>
            <w:hideMark/>
          </w:tcPr>
          <w:p w14:paraId="2F0B4803" w14:textId="77777777" w:rsidR="006143C4" w:rsidRPr="00142E01" w:rsidRDefault="006143C4" w:rsidP="006143C4">
            <w:pPr>
              <w:jc w:val="right"/>
              <w:rPr>
                <w:rFonts w:cs="Arial"/>
                <w:color w:val="000000"/>
                <w:sz w:val="20"/>
                <w:szCs w:val="20"/>
              </w:rPr>
            </w:pPr>
            <w:r w:rsidRPr="00142E01">
              <w:rPr>
                <w:rFonts w:cs="Arial"/>
                <w:color w:val="000000"/>
                <w:sz w:val="20"/>
                <w:szCs w:val="20"/>
              </w:rPr>
              <w:t xml:space="preserve">0 </w:t>
            </w:r>
          </w:p>
        </w:tc>
        <w:tc>
          <w:tcPr>
            <w:tcW w:w="920" w:type="dxa"/>
            <w:tcBorders>
              <w:top w:val="nil"/>
              <w:left w:val="nil"/>
              <w:bottom w:val="single" w:sz="4" w:space="0" w:color="BFBFBF"/>
              <w:right w:val="single" w:sz="4" w:space="0" w:color="BFBFBF"/>
            </w:tcBorders>
            <w:shd w:val="clear" w:color="auto" w:fill="auto"/>
            <w:noWrap/>
            <w:vAlign w:val="center"/>
            <w:hideMark/>
          </w:tcPr>
          <w:p w14:paraId="5ED65CA7" w14:textId="77777777" w:rsidR="006143C4" w:rsidRPr="00142E01" w:rsidRDefault="006143C4" w:rsidP="006143C4">
            <w:pPr>
              <w:jc w:val="right"/>
              <w:rPr>
                <w:rFonts w:cs="Arial"/>
                <w:color w:val="000000"/>
                <w:sz w:val="20"/>
                <w:szCs w:val="20"/>
              </w:rPr>
            </w:pPr>
            <w:r w:rsidRPr="00142E01">
              <w:rPr>
                <w:rFonts w:cs="Arial"/>
                <w:color w:val="000000"/>
                <w:sz w:val="20"/>
                <w:szCs w:val="20"/>
              </w:rPr>
              <w:t xml:space="preserve">0 </w:t>
            </w:r>
          </w:p>
        </w:tc>
        <w:tc>
          <w:tcPr>
            <w:tcW w:w="920" w:type="dxa"/>
            <w:tcBorders>
              <w:top w:val="nil"/>
              <w:left w:val="nil"/>
              <w:bottom w:val="single" w:sz="4" w:space="0" w:color="BFBFBF"/>
              <w:right w:val="single" w:sz="4" w:space="0" w:color="auto"/>
            </w:tcBorders>
            <w:shd w:val="clear" w:color="auto" w:fill="auto"/>
            <w:noWrap/>
            <w:vAlign w:val="center"/>
            <w:hideMark/>
          </w:tcPr>
          <w:p w14:paraId="60AD4A08" w14:textId="77777777" w:rsidR="006143C4" w:rsidRPr="00142E01" w:rsidRDefault="006143C4" w:rsidP="006143C4">
            <w:pPr>
              <w:jc w:val="right"/>
              <w:rPr>
                <w:rFonts w:cs="Arial"/>
                <w:color w:val="000000"/>
                <w:sz w:val="20"/>
                <w:szCs w:val="20"/>
              </w:rPr>
            </w:pPr>
            <w:r w:rsidRPr="00142E01">
              <w:rPr>
                <w:rFonts w:cs="Arial"/>
                <w:color w:val="000000"/>
                <w:sz w:val="20"/>
                <w:szCs w:val="20"/>
              </w:rPr>
              <w:t xml:space="preserve">0 </w:t>
            </w:r>
          </w:p>
        </w:tc>
        <w:tc>
          <w:tcPr>
            <w:tcW w:w="1091" w:type="dxa"/>
            <w:tcBorders>
              <w:top w:val="nil"/>
              <w:left w:val="nil"/>
              <w:bottom w:val="single" w:sz="4" w:space="0" w:color="BFBFBF"/>
              <w:right w:val="single" w:sz="4" w:space="0" w:color="BFBFBF"/>
            </w:tcBorders>
            <w:shd w:val="clear" w:color="auto" w:fill="auto"/>
            <w:noWrap/>
            <w:vAlign w:val="center"/>
            <w:hideMark/>
          </w:tcPr>
          <w:p w14:paraId="72FE0D2A" w14:textId="77777777" w:rsidR="006143C4" w:rsidRPr="00142E01" w:rsidRDefault="006143C4" w:rsidP="006143C4">
            <w:pPr>
              <w:jc w:val="right"/>
              <w:rPr>
                <w:rFonts w:cs="Arial"/>
                <w:color w:val="000000"/>
                <w:sz w:val="20"/>
                <w:szCs w:val="20"/>
              </w:rPr>
            </w:pPr>
            <w:r w:rsidRPr="00142E01">
              <w:rPr>
                <w:rFonts w:cs="Arial"/>
                <w:color w:val="000000"/>
                <w:sz w:val="20"/>
                <w:szCs w:val="20"/>
              </w:rPr>
              <w:t>£0</w:t>
            </w:r>
          </w:p>
        </w:tc>
        <w:tc>
          <w:tcPr>
            <w:tcW w:w="949" w:type="dxa"/>
            <w:tcBorders>
              <w:top w:val="nil"/>
              <w:left w:val="nil"/>
              <w:bottom w:val="single" w:sz="4" w:space="0" w:color="BFBFBF"/>
              <w:right w:val="single" w:sz="4" w:space="0" w:color="auto"/>
            </w:tcBorders>
            <w:shd w:val="clear" w:color="auto" w:fill="auto"/>
            <w:noWrap/>
            <w:vAlign w:val="center"/>
            <w:hideMark/>
          </w:tcPr>
          <w:p w14:paraId="174BF28E" w14:textId="77777777" w:rsidR="006143C4" w:rsidRPr="00142E01" w:rsidRDefault="006143C4" w:rsidP="006143C4">
            <w:pPr>
              <w:jc w:val="right"/>
              <w:rPr>
                <w:rFonts w:cs="Arial"/>
                <w:color w:val="000000"/>
                <w:sz w:val="20"/>
                <w:szCs w:val="20"/>
              </w:rPr>
            </w:pPr>
            <w:r w:rsidRPr="00142E01">
              <w:rPr>
                <w:rFonts w:cs="Arial"/>
                <w:color w:val="000000"/>
                <w:sz w:val="20"/>
                <w:szCs w:val="20"/>
              </w:rPr>
              <w:t>£0</w:t>
            </w:r>
          </w:p>
        </w:tc>
      </w:tr>
      <w:tr w:rsidR="006143C4" w:rsidRPr="00142E01" w14:paraId="77C5DC80" w14:textId="77777777" w:rsidTr="006143C4">
        <w:trPr>
          <w:trHeight w:val="360"/>
        </w:trPr>
        <w:tc>
          <w:tcPr>
            <w:tcW w:w="2080" w:type="dxa"/>
            <w:tcBorders>
              <w:top w:val="single" w:sz="4" w:space="0" w:color="auto"/>
              <w:left w:val="single" w:sz="4" w:space="0" w:color="auto"/>
              <w:bottom w:val="single" w:sz="4" w:space="0" w:color="auto"/>
              <w:right w:val="nil"/>
            </w:tcBorders>
            <w:shd w:val="clear" w:color="000000" w:fill="D9D9D9"/>
            <w:vAlign w:val="center"/>
            <w:hideMark/>
          </w:tcPr>
          <w:p w14:paraId="6E1C4FA7" w14:textId="77777777" w:rsidR="006143C4" w:rsidRPr="00142E01" w:rsidRDefault="006143C4" w:rsidP="006143C4">
            <w:pPr>
              <w:jc w:val="left"/>
              <w:rPr>
                <w:rFonts w:cs="Arial"/>
                <w:b/>
                <w:bCs/>
                <w:color w:val="000000"/>
                <w:sz w:val="20"/>
                <w:szCs w:val="20"/>
              </w:rPr>
            </w:pPr>
            <w:r w:rsidRPr="00142E01">
              <w:rPr>
                <w:rFonts w:cs="Arial"/>
                <w:b/>
                <w:bCs/>
                <w:color w:val="000000"/>
                <w:sz w:val="20"/>
                <w:szCs w:val="20"/>
              </w:rPr>
              <w:t>Total</w:t>
            </w:r>
          </w:p>
        </w:tc>
        <w:tc>
          <w:tcPr>
            <w:tcW w:w="920" w:type="dxa"/>
            <w:tcBorders>
              <w:top w:val="single" w:sz="4" w:space="0" w:color="auto"/>
              <w:left w:val="single" w:sz="4" w:space="0" w:color="auto"/>
              <w:bottom w:val="single" w:sz="4" w:space="0" w:color="auto"/>
              <w:right w:val="single" w:sz="4" w:space="0" w:color="BFBFBF"/>
            </w:tcBorders>
            <w:shd w:val="clear" w:color="000000" w:fill="D9D9D9"/>
            <w:noWrap/>
            <w:vAlign w:val="center"/>
            <w:hideMark/>
          </w:tcPr>
          <w:p w14:paraId="4F28A171" w14:textId="77777777" w:rsidR="006143C4" w:rsidRPr="00142E01" w:rsidRDefault="006143C4" w:rsidP="006143C4">
            <w:pPr>
              <w:jc w:val="right"/>
              <w:rPr>
                <w:rFonts w:cs="Arial"/>
                <w:b/>
                <w:bCs/>
                <w:color w:val="000000"/>
                <w:sz w:val="20"/>
                <w:szCs w:val="20"/>
              </w:rPr>
            </w:pPr>
            <w:r w:rsidRPr="00142E01">
              <w:rPr>
                <w:rFonts w:cs="Arial"/>
                <w:b/>
                <w:bCs/>
                <w:color w:val="000000"/>
                <w:sz w:val="20"/>
                <w:szCs w:val="20"/>
              </w:rPr>
              <w:t xml:space="preserve">0 </w:t>
            </w:r>
          </w:p>
        </w:tc>
        <w:tc>
          <w:tcPr>
            <w:tcW w:w="920" w:type="dxa"/>
            <w:tcBorders>
              <w:top w:val="single" w:sz="4" w:space="0" w:color="auto"/>
              <w:left w:val="nil"/>
              <w:bottom w:val="single" w:sz="4" w:space="0" w:color="auto"/>
              <w:right w:val="single" w:sz="4" w:space="0" w:color="auto"/>
            </w:tcBorders>
            <w:shd w:val="clear" w:color="000000" w:fill="D9D9D9"/>
            <w:noWrap/>
            <w:vAlign w:val="center"/>
            <w:hideMark/>
          </w:tcPr>
          <w:p w14:paraId="64C65BEB" w14:textId="77777777" w:rsidR="006143C4" w:rsidRPr="00142E01" w:rsidRDefault="006143C4" w:rsidP="006143C4">
            <w:pPr>
              <w:jc w:val="right"/>
              <w:rPr>
                <w:rFonts w:cs="Arial"/>
                <w:b/>
                <w:bCs/>
                <w:color w:val="000000"/>
                <w:sz w:val="20"/>
                <w:szCs w:val="20"/>
              </w:rPr>
            </w:pPr>
            <w:r w:rsidRPr="00142E01">
              <w:rPr>
                <w:rFonts w:cs="Arial"/>
                <w:b/>
                <w:bCs/>
                <w:color w:val="000000"/>
                <w:sz w:val="20"/>
                <w:szCs w:val="20"/>
              </w:rPr>
              <w:t xml:space="preserve">0 </w:t>
            </w:r>
          </w:p>
        </w:tc>
        <w:tc>
          <w:tcPr>
            <w:tcW w:w="920" w:type="dxa"/>
            <w:tcBorders>
              <w:top w:val="single" w:sz="4" w:space="0" w:color="auto"/>
              <w:left w:val="nil"/>
              <w:bottom w:val="single" w:sz="4" w:space="0" w:color="auto"/>
              <w:right w:val="single" w:sz="4" w:space="0" w:color="BFBFBF"/>
            </w:tcBorders>
            <w:shd w:val="clear" w:color="000000" w:fill="D9D9D9"/>
            <w:noWrap/>
            <w:vAlign w:val="center"/>
            <w:hideMark/>
          </w:tcPr>
          <w:p w14:paraId="28C1277B" w14:textId="77777777" w:rsidR="006143C4" w:rsidRPr="00142E01" w:rsidRDefault="006143C4" w:rsidP="006143C4">
            <w:pPr>
              <w:jc w:val="right"/>
              <w:rPr>
                <w:rFonts w:cs="Arial"/>
                <w:b/>
                <w:bCs/>
                <w:color w:val="000000"/>
                <w:sz w:val="20"/>
                <w:szCs w:val="20"/>
              </w:rPr>
            </w:pPr>
            <w:r w:rsidRPr="00142E01">
              <w:rPr>
                <w:rFonts w:cs="Arial"/>
                <w:b/>
                <w:bCs/>
                <w:color w:val="000000"/>
                <w:sz w:val="20"/>
                <w:szCs w:val="20"/>
              </w:rPr>
              <w:t xml:space="preserve">5 </w:t>
            </w:r>
          </w:p>
        </w:tc>
        <w:tc>
          <w:tcPr>
            <w:tcW w:w="920" w:type="dxa"/>
            <w:tcBorders>
              <w:top w:val="single" w:sz="4" w:space="0" w:color="auto"/>
              <w:left w:val="nil"/>
              <w:bottom w:val="single" w:sz="4" w:space="0" w:color="auto"/>
              <w:right w:val="single" w:sz="4" w:space="0" w:color="auto"/>
            </w:tcBorders>
            <w:shd w:val="clear" w:color="000000" w:fill="D9D9D9"/>
            <w:noWrap/>
            <w:vAlign w:val="center"/>
            <w:hideMark/>
          </w:tcPr>
          <w:p w14:paraId="15145CBF" w14:textId="77777777" w:rsidR="006143C4" w:rsidRPr="00142E01" w:rsidRDefault="006143C4" w:rsidP="006143C4">
            <w:pPr>
              <w:jc w:val="right"/>
              <w:rPr>
                <w:rFonts w:cs="Arial"/>
                <w:b/>
                <w:bCs/>
                <w:color w:val="000000"/>
                <w:sz w:val="20"/>
                <w:szCs w:val="20"/>
              </w:rPr>
            </w:pPr>
            <w:r w:rsidRPr="00142E01">
              <w:rPr>
                <w:rFonts w:cs="Arial"/>
                <w:b/>
                <w:bCs/>
                <w:color w:val="000000"/>
                <w:sz w:val="20"/>
                <w:szCs w:val="20"/>
              </w:rPr>
              <w:t xml:space="preserve">2 </w:t>
            </w:r>
          </w:p>
        </w:tc>
        <w:tc>
          <w:tcPr>
            <w:tcW w:w="920" w:type="dxa"/>
            <w:tcBorders>
              <w:top w:val="single" w:sz="4" w:space="0" w:color="auto"/>
              <w:left w:val="nil"/>
              <w:bottom w:val="single" w:sz="4" w:space="0" w:color="auto"/>
              <w:right w:val="single" w:sz="4" w:space="0" w:color="BFBFBF"/>
            </w:tcBorders>
            <w:shd w:val="clear" w:color="000000" w:fill="D9D9D9"/>
            <w:noWrap/>
            <w:vAlign w:val="center"/>
            <w:hideMark/>
          </w:tcPr>
          <w:p w14:paraId="4936D4AB" w14:textId="77777777" w:rsidR="006143C4" w:rsidRPr="00142E01" w:rsidRDefault="006143C4" w:rsidP="006143C4">
            <w:pPr>
              <w:jc w:val="right"/>
              <w:rPr>
                <w:rFonts w:cs="Arial"/>
                <w:b/>
                <w:bCs/>
                <w:color w:val="000000"/>
                <w:sz w:val="20"/>
                <w:szCs w:val="20"/>
              </w:rPr>
            </w:pPr>
            <w:r w:rsidRPr="00142E01">
              <w:rPr>
                <w:rFonts w:cs="Arial"/>
                <w:b/>
                <w:bCs/>
                <w:color w:val="000000"/>
                <w:sz w:val="20"/>
                <w:szCs w:val="20"/>
              </w:rPr>
              <w:t xml:space="preserve">5 </w:t>
            </w:r>
          </w:p>
        </w:tc>
        <w:tc>
          <w:tcPr>
            <w:tcW w:w="920" w:type="dxa"/>
            <w:tcBorders>
              <w:top w:val="single" w:sz="4" w:space="0" w:color="auto"/>
              <w:left w:val="nil"/>
              <w:bottom w:val="single" w:sz="4" w:space="0" w:color="auto"/>
              <w:right w:val="single" w:sz="4" w:space="0" w:color="auto"/>
            </w:tcBorders>
            <w:shd w:val="clear" w:color="000000" w:fill="D9D9D9"/>
            <w:noWrap/>
            <w:vAlign w:val="center"/>
            <w:hideMark/>
          </w:tcPr>
          <w:p w14:paraId="57897052" w14:textId="77777777" w:rsidR="006143C4" w:rsidRPr="00142E01" w:rsidRDefault="006143C4" w:rsidP="006143C4">
            <w:pPr>
              <w:jc w:val="right"/>
              <w:rPr>
                <w:rFonts w:cs="Arial"/>
                <w:b/>
                <w:bCs/>
                <w:color w:val="000000"/>
                <w:sz w:val="20"/>
                <w:szCs w:val="20"/>
              </w:rPr>
            </w:pPr>
            <w:r>
              <w:rPr>
                <w:rFonts w:cs="Arial"/>
                <w:b/>
                <w:bCs/>
                <w:color w:val="000000"/>
                <w:sz w:val="20"/>
                <w:szCs w:val="20"/>
              </w:rPr>
              <w:t>3</w:t>
            </w:r>
            <w:r w:rsidRPr="00142E01">
              <w:rPr>
                <w:rFonts w:cs="Arial"/>
                <w:b/>
                <w:bCs/>
                <w:color w:val="000000"/>
                <w:sz w:val="20"/>
                <w:szCs w:val="20"/>
              </w:rPr>
              <w:t xml:space="preserve"> </w:t>
            </w:r>
          </w:p>
        </w:tc>
        <w:tc>
          <w:tcPr>
            <w:tcW w:w="1091" w:type="dxa"/>
            <w:tcBorders>
              <w:top w:val="single" w:sz="4" w:space="0" w:color="auto"/>
              <w:left w:val="nil"/>
              <w:bottom w:val="single" w:sz="4" w:space="0" w:color="auto"/>
              <w:right w:val="single" w:sz="4" w:space="0" w:color="BFBFBF"/>
            </w:tcBorders>
            <w:shd w:val="clear" w:color="000000" w:fill="D9D9D9"/>
            <w:noWrap/>
            <w:vAlign w:val="center"/>
            <w:hideMark/>
          </w:tcPr>
          <w:p w14:paraId="4EA6EF93" w14:textId="77777777" w:rsidR="006143C4" w:rsidRPr="00142E01" w:rsidRDefault="006143C4" w:rsidP="006143C4">
            <w:pPr>
              <w:jc w:val="right"/>
              <w:rPr>
                <w:rFonts w:cs="Arial"/>
                <w:b/>
                <w:bCs/>
                <w:color w:val="000000"/>
                <w:sz w:val="20"/>
                <w:szCs w:val="20"/>
              </w:rPr>
            </w:pPr>
            <w:r w:rsidRPr="00142E01">
              <w:rPr>
                <w:rFonts w:cs="Arial"/>
                <w:b/>
                <w:bCs/>
                <w:color w:val="000000"/>
                <w:sz w:val="20"/>
                <w:szCs w:val="20"/>
              </w:rPr>
              <w:t>£193,964</w:t>
            </w:r>
          </w:p>
        </w:tc>
        <w:tc>
          <w:tcPr>
            <w:tcW w:w="949" w:type="dxa"/>
            <w:tcBorders>
              <w:top w:val="single" w:sz="4" w:space="0" w:color="auto"/>
              <w:left w:val="nil"/>
              <w:bottom w:val="single" w:sz="4" w:space="0" w:color="auto"/>
              <w:right w:val="single" w:sz="4" w:space="0" w:color="auto"/>
            </w:tcBorders>
            <w:shd w:val="clear" w:color="000000" w:fill="D9D9D9"/>
            <w:noWrap/>
            <w:vAlign w:val="center"/>
            <w:hideMark/>
          </w:tcPr>
          <w:p w14:paraId="7541C8EB" w14:textId="77777777" w:rsidR="006143C4" w:rsidRPr="00142E01" w:rsidRDefault="006143C4" w:rsidP="006143C4">
            <w:pPr>
              <w:jc w:val="right"/>
              <w:rPr>
                <w:rFonts w:cs="Arial"/>
                <w:b/>
                <w:bCs/>
                <w:color w:val="000000"/>
                <w:sz w:val="20"/>
                <w:szCs w:val="20"/>
              </w:rPr>
            </w:pPr>
            <w:r w:rsidRPr="00142E01">
              <w:rPr>
                <w:rFonts w:cs="Arial"/>
                <w:b/>
                <w:bCs/>
                <w:color w:val="000000"/>
                <w:sz w:val="20"/>
                <w:szCs w:val="20"/>
              </w:rPr>
              <w:t>£3</w:t>
            </w:r>
            <w:r>
              <w:rPr>
                <w:rFonts w:cs="Arial"/>
                <w:b/>
                <w:bCs/>
                <w:color w:val="000000"/>
                <w:sz w:val="20"/>
                <w:szCs w:val="20"/>
              </w:rPr>
              <w:t>8</w:t>
            </w:r>
            <w:r w:rsidRPr="00142E01">
              <w:rPr>
                <w:rFonts w:cs="Arial"/>
                <w:b/>
                <w:bCs/>
                <w:color w:val="000000"/>
                <w:sz w:val="20"/>
                <w:szCs w:val="20"/>
              </w:rPr>
              <w:t>,</w:t>
            </w:r>
            <w:r>
              <w:rPr>
                <w:rFonts w:cs="Arial"/>
                <w:b/>
                <w:bCs/>
                <w:color w:val="000000"/>
                <w:sz w:val="20"/>
                <w:szCs w:val="20"/>
              </w:rPr>
              <w:t>569</w:t>
            </w:r>
          </w:p>
        </w:tc>
      </w:tr>
    </w:tbl>
    <w:p w14:paraId="7CA90186" w14:textId="77777777" w:rsidR="006143C4" w:rsidRPr="003364EC" w:rsidRDefault="006143C4" w:rsidP="006143C4"/>
    <w:p w14:paraId="6E9E1D74" w14:textId="77777777" w:rsidR="00F621D4" w:rsidRDefault="00F621D4" w:rsidP="005E5591">
      <w:pPr>
        <w:ind w:left="360" w:hanging="360"/>
        <w:rPr>
          <w:rFonts w:cs="Courier New"/>
          <w:szCs w:val="22"/>
        </w:rPr>
      </w:pPr>
    </w:p>
    <w:p w14:paraId="42DCE978" w14:textId="775039A2" w:rsidR="00A3639B" w:rsidRDefault="00A3639B">
      <w:pPr>
        <w:jc w:val="left"/>
        <w:rPr>
          <w:rFonts w:cs="Courier New"/>
          <w:szCs w:val="22"/>
        </w:rPr>
      </w:pPr>
    </w:p>
    <w:p w14:paraId="76438E72" w14:textId="77777777" w:rsidR="003A0D19" w:rsidRPr="00EC06E7" w:rsidRDefault="003A0D19" w:rsidP="003A0D19">
      <w:pPr>
        <w:rPr>
          <w:rFonts w:cs="Arial"/>
          <w:snapToGrid w:val="0"/>
          <w:szCs w:val="22"/>
          <w:lang w:eastAsia="en-US"/>
        </w:rPr>
      </w:pPr>
    </w:p>
    <w:p w14:paraId="18BCADF1" w14:textId="77777777" w:rsidR="005C2561" w:rsidRPr="00EC06E7" w:rsidRDefault="005C2561" w:rsidP="005C2561"/>
    <w:p w14:paraId="1969BA37" w14:textId="77777777" w:rsidR="002C7045" w:rsidRDefault="002C7045">
      <w:pPr>
        <w:jc w:val="left"/>
      </w:pPr>
      <w:r>
        <w:br w:type="page"/>
      </w:r>
    </w:p>
    <w:p w14:paraId="08198449" w14:textId="77777777" w:rsidR="00C8113E" w:rsidRPr="001422EA" w:rsidRDefault="006E1448" w:rsidP="004E5A07">
      <w:pPr>
        <w:pStyle w:val="Heading2"/>
      </w:pPr>
      <w:bookmarkStart w:id="186" w:name="_Toc483390998"/>
      <w:bookmarkStart w:id="187" w:name="_Toc77603807"/>
      <w:r w:rsidRPr="001422EA">
        <w:t>External audit costs</w:t>
      </w:r>
      <w:bookmarkEnd w:id="186"/>
      <w:bookmarkEnd w:id="187"/>
    </w:p>
    <w:p w14:paraId="55F48FC1" w14:textId="77777777" w:rsidR="00C8113E" w:rsidRPr="00EC06E7" w:rsidRDefault="00C8113E" w:rsidP="007F7857"/>
    <w:p w14:paraId="223BB189" w14:textId="77777777" w:rsidR="00D95C67" w:rsidRPr="00EC06E7" w:rsidRDefault="00D95C67" w:rsidP="007F7857">
      <w:r w:rsidRPr="00EC06E7">
        <w:t>The Authority has incurred the following costs relating to external audit</w:t>
      </w:r>
      <w:r w:rsidR="00C75D50" w:rsidRPr="00EC06E7">
        <w:t>:</w:t>
      </w:r>
    </w:p>
    <w:p w14:paraId="6716A71D" w14:textId="620C8A18" w:rsidR="00D95C67" w:rsidRDefault="00D95C67" w:rsidP="007F7857"/>
    <w:p w14:paraId="161AB6A7" w14:textId="732ADD87" w:rsidR="00782263" w:rsidRDefault="002A4E28" w:rsidP="007F7857">
      <w:r>
        <w:fldChar w:fldCharType="begin"/>
      </w:r>
      <w:r>
        <w:instrText xml:space="preserve"> LINK Excel.Sheet.12 "\\\\alpha\\accounts$\\CLOSURE\\Closure 20-21\\04 SoA Working Papers\\32 External Audit Costs\\Note 32 External Audit Costs 2020-21.xlsx!Embedded Table!R2C1:R7C3" "" \a \p </w:instrText>
      </w:r>
      <w:r>
        <w:fldChar w:fldCharType="separate"/>
      </w:r>
      <w:r w:rsidR="001C71EF">
        <w:object w:dxaOrig="10995" w:dyaOrig="1680" w14:anchorId="60A32BE1">
          <v:shape id="_x0000_i1070" type="#_x0000_t75" style="width:482.25pt;height:79.45pt" o:ole="">
            <v:imagedata r:id="rId97" o:title=""/>
            <o:lock v:ext="edit" aspectratio="f"/>
          </v:shape>
        </w:object>
      </w:r>
      <w:r>
        <w:fldChar w:fldCharType="end"/>
      </w:r>
    </w:p>
    <w:p w14:paraId="7137F866" w14:textId="0B4166A8" w:rsidR="00782263" w:rsidRDefault="00782263" w:rsidP="007F7857"/>
    <w:p w14:paraId="446F744B" w14:textId="77777777" w:rsidR="0060443D" w:rsidRPr="00EC06E7" w:rsidRDefault="0060443D" w:rsidP="00647DAD"/>
    <w:p w14:paraId="02CD3073" w14:textId="77777777" w:rsidR="00C8113E" w:rsidRPr="001422EA" w:rsidRDefault="00D71816" w:rsidP="004E5A07">
      <w:pPr>
        <w:pStyle w:val="Heading2"/>
      </w:pPr>
      <w:bookmarkStart w:id="188" w:name="_Toc483390999"/>
      <w:bookmarkStart w:id="189" w:name="_Ref483392773"/>
      <w:bookmarkStart w:id="190" w:name="_Ref483394965"/>
      <w:r>
        <w:t xml:space="preserve"> </w:t>
      </w:r>
      <w:bookmarkStart w:id="191" w:name="_Toc77603808"/>
      <w:r w:rsidR="006E1448" w:rsidRPr="001422EA">
        <w:t>Grant income</w:t>
      </w:r>
      <w:bookmarkEnd w:id="188"/>
      <w:bookmarkEnd w:id="189"/>
      <w:bookmarkEnd w:id="190"/>
      <w:bookmarkEnd w:id="191"/>
    </w:p>
    <w:p w14:paraId="14C85F08" w14:textId="77777777" w:rsidR="00744F76" w:rsidRPr="00EC06E7" w:rsidRDefault="00744F76" w:rsidP="007F7857"/>
    <w:p w14:paraId="65F272AC" w14:textId="77777777" w:rsidR="00015B62" w:rsidRPr="00EC06E7" w:rsidRDefault="00015B62" w:rsidP="007F7857">
      <w:r w:rsidRPr="00EC06E7">
        <w:t xml:space="preserve">The Authority credited the following grants, contributions and donations to the Comprehensive Income and </w:t>
      </w:r>
      <w:r w:rsidR="00ED0C66">
        <w:t>E</w:t>
      </w:r>
      <w:r w:rsidRPr="00EC06E7">
        <w:t>xpenditure Statement</w:t>
      </w:r>
      <w:r w:rsidR="001148A4" w:rsidRPr="00EC06E7">
        <w:t>.</w:t>
      </w:r>
    </w:p>
    <w:p w14:paraId="21262D3E" w14:textId="79227CF8" w:rsidR="00015B62" w:rsidRDefault="00015B62" w:rsidP="007F7857"/>
    <w:p w14:paraId="3B213805" w14:textId="76F8E111" w:rsidR="00EF410B" w:rsidRDefault="00EF410B" w:rsidP="007F7857">
      <w:r>
        <w:fldChar w:fldCharType="begin"/>
      </w:r>
      <w:r>
        <w:instrText xml:space="preserve"> LINK Excel.Sheet.12 "\\\\alpha\\accounts$\\CLOSURE\\Closure 20-21\\04 SoA Working Papers\\33 Grant Income\\Note 33 Grant Income 2020-21.xlsx!Embedded Table!R2C1:R19C3" "" \a \p </w:instrText>
      </w:r>
      <w:r>
        <w:fldChar w:fldCharType="separate"/>
      </w:r>
      <w:r w:rsidR="001C71EF">
        <w:object w:dxaOrig="10995" w:dyaOrig="6082" w14:anchorId="05F71DCF">
          <v:shape id="_x0000_i1071" type="#_x0000_t75" style="width:482.25pt;height:295.45pt;mso-position-vertical:absolute" o:ole="">
            <v:imagedata r:id="rId98" o:title=""/>
            <o:lock v:ext="edit" aspectratio="f"/>
          </v:shape>
        </w:object>
      </w:r>
      <w:r>
        <w:fldChar w:fldCharType="end"/>
      </w:r>
    </w:p>
    <w:p w14:paraId="2F0B8DC6" w14:textId="77777777" w:rsidR="00EF410B" w:rsidRDefault="00EF410B" w:rsidP="007F7857"/>
    <w:p w14:paraId="7EA14D27" w14:textId="770C235D" w:rsidR="00895767" w:rsidRDefault="00244205" w:rsidP="007F7857">
      <w:r>
        <w:t xml:space="preserve">In addition to the above amounts, </w:t>
      </w:r>
      <w:r w:rsidR="00217FD0">
        <w:t xml:space="preserve">a further £35.083m was paid to the council, by the government, </w:t>
      </w:r>
      <w:r w:rsidR="000F40EC">
        <w:t>and distributed</w:t>
      </w:r>
      <w:r w:rsidR="00217FD0">
        <w:t xml:space="preserve"> to local businesses in the form of s</w:t>
      </w:r>
      <w:r w:rsidR="00217FD0" w:rsidRPr="00217FD0">
        <w:t xml:space="preserve">mall </w:t>
      </w:r>
      <w:r w:rsidR="00217FD0">
        <w:t>b</w:t>
      </w:r>
      <w:r w:rsidR="00217FD0" w:rsidRPr="00217FD0">
        <w:t xml:space="preserve">usiness </w:t>
      </w:r>
      <w:r w:rsidR="00217FD0">
        <w:t>g</w:t>
      </w:r>
      <w:r w:rsidR="00217FD0" w:rsidRPr="00217FD0">
        <w:t>rant</w:t>
      </w:r>
      <w:r w:rsidR="00217FD0">
        <w:t>s;</w:t>
      </w:r>
      <w:r w:rsidR="00217FD0" w:rsidRPr="00217FD0">
        <w:t xml:space="preserve"> </w:t>
      </w:r>
      <w:r w:rsidR="00217FD0">
        <w:t>r</w:t>
      </w:r>
      <w:r w:rsidR="00217FD0" w:rsidRPr="00217FD0">
        <w:t xml:space="preserve">etail, </w:t>
      </w:r>
      <w:r w:rsidR="00217FD0">
        <w:t>h</w:t>
      </w:r>
      <w:r w:rsidR="00217FD0" w:rsidRPr="00217FD0">
        <w:t xml:space="preserve">ospitality and </w:t>
      </w:r>
      <w:r w:rsidR="00217FD0">
        <w:t>l</w:t>
      </w:r>
      <w:r w:rsidR="00217FD0" w:rsidRPr="00217FD0">
        <w:t>eisure Grant Fund;</w:t>
      </w:r>
      <w:r w:rsidR="00217FD0">
        <w:t xml:space="preserve"> l</w:t>
      </w:r>
      <w:r w:rsidR="00217FD0" w:rsidRPr="00217FD0">
        <w:t xml:space="preserve">ocal </w:t>
      </w:r>
      <w:r w:rsidR="00217FD0">
        <w:t>r</w:t>
      </w:r>
      <w:r w:rsidR="00217FD0" w:rsidRPr="00217FD0">
        <w:t>estrictions grants</w:t>
      </w:r>
      <w:r w:rsidR="000F40EC">
        <w:t>; etc</w:t>
      </w:r>
      <w:r w:rsidR="00217FD0">
        <w:t xml:space="preserve">. Given that the eligibility criteria for these grants </w:t>
      </w:r>
      <w:r w:rsidR="001F61F7">
        <w:t>we</w:t>
      </w:r>
      <w:r w:rsidR="00217FD0">
        <w:t xml:space="preserve">re determined by the government and that the </w:t>
      </w:r>
      <w:r w:rsidR="000F40EC">
        <w:t>c</w:t>
      </w:r>
      <w:r w:rsidR="00217FD0">
        <w:t>ouncil has been fully reimbursed for the amounts paid</w:t>
      </w:r>
      <w:r w:rsidR="000F40EC">
        <w:t xml:space="preserve"> out, the council has effectively acted as an intermediary and distribution point for the grants, rather than at its own discretion. In these circumstances, the council is deemed to be an agent acting on behalf of the grant funder, rather than in its own right</w:t>
      </w:r>
      <w:r w:rsidR="001F61F7">
        <w:t xml:space="preserve">, </w:t>
      </w:r>
      <w:r w:rsidR="000F40EC">
        <w:t>so the expenditure and related grant income is accounted for separately to the council’s own Statement of Accounts.</w:t>
      </w:r>
    </w:p>
    <w:p w14:paraId="2F182293" w14:textId="77777777" w:rsidR="00895767" w:rsidRDefault="00895767" w:rsidP="007F7857"/>
    <w:p w14:paraId="1B4F45B7" w14:textId="5F111077" w:rsidR="00B561B7" w:rsidRPr="00EC06E7" w:rsidRDefault="00B561B7" w:rsidP="007F7857">
      <w:r w:rsidRPr="00EC06E7">
        <w:t xml:space="preserve">The </w:t>
      </w:r>
      <w:r w:rsidR="001F61F7">
        <w:t>council has</w:t>
      </w:r>
      <w:r w:rsidRPr="00EC06E7">
        <w:t xml:space="preserve"> received </w:t>
      </w:r>
      <w:proofErr w:type="gramStart"/>
      <w:r w:rsidRPr="00EC06E7">
        <w:t>a number of</w:t>
      </w:r>
      <w:proofErr w:type="gramEnd"/>
      <w:r w:rsidRPr="00EC06E7">
        <w:t xml:space="preserve"> grants, contributions and donations that have yet to be recognised as income as they have conditions attached that could require the monies to be returned to the giver. The balances at year end are as follows</w:t>
      </w:r>
      <w:r w:rsidR="00B71E0E" w:rsidRPr="00EC06E7">
        <w:t>:</w:t>
      </w:r>
    </w:p>
    <w:p w14:paraId="4B322B6A" w14:textId="632F29DB" w:rsidR="004C2344" w:rsidRDefault="004C2344" w:rsidP="007F7857"/>
    <w:p w14:paraId="23659A97" w14:textId="5708B5B8" w:rsidR="00C01277" w:rsidRDefault="00C01277" w:rsidP="007F7857">
      <w:r>
        <w:fldChar w:fldCharType="begin"/>
      </w:r>
      <w:r>
        <w:instrText xml:space="preserve"> LINK Excel.Sheet.12 "\\\\alpha\\accounts$\\CLOSURE\\Closure 20-21\\04 SoA Working Papers\\33 Grant Income\\Note 33 Grant Income 2020-21.xlsx!Embedded Table!R23C1:R27C3" "" \a \p </w:instrText>
      </w:r>
      <w:r>
        <w:fldChar w:fldCharType="separate"/>
      </w:r>
      <w:r w:rsidR="001C71EF">
        <w:object w:dxaOrig="10995" w:dyaOrig="1333" w14:anchorId="0AF9562E">
          <v:shape id="_x0000_i1072" type="#_x0000_t75" style="width:482.25pt;height:64.55pt" o:ole="">
            <v:imagedata r:id="rId99" o:title=""/>
            <o:lock v:ext="edit" aspectratio="f"/>
          </v:shape>
        </w:object>
      </w:r>
      <w:r>
        <w:fldChar w:fldCharType="end"/>
      </w:r>
    </w:p>
    <w:p w14:paraId="6BB07C16" w14:textId="77777777" w:rsidR="00C01277" w:rsidRDefault="00C01277" w:rsidP="007F7857"/>
    <w:p w14:paraId="46D84334" w14:textId="4277E252" w:rsidR="00C01277" w:rsidRDefault="00C01277" w:rsidP="007F7857">
      <w:r>
        <w:t>The figure for 2020/21 includes a total of £1.735m of contributions transferred from Capital Grants Unapplied during the year</w:t>
      </w:r>
      <w:r w:rsidR="00C8574C">
        <w:t xml:space="preserve"> (see Note 14)</w:t>
      </w:r>
      <w:r>
        <w:t>.</w:t>
      </w:r>
    </w:p>
    <w:p w14:paraId="0C3247AC" w14:textId="64F332FD" w:rsidR="00F814A1" w:rsidRDefault="00F814A1" w:rsidP="007F7857"/>
    <w:p w14:paraId="60F80174" w14:textId="77777777" w:rsidR="00F814A1" w:rsidRDefault="00F814A1" w:rsidP="007F7857"/>
    <w:p w14:paraId="057E77AA" w14:textId="55ABFF8F" w:rsidR="00744F76" w:rsidRDefault="006E1448" w:rsidP="004E5A07">
      <w:pPr>
        <w:pStyle w:val="Heading2"/>
      </w:pPr>
      <w:bookmarkStart w:id="192" w:name="_Toc483391000"/>
      <w:bookmarkStart w:id="193" w:name="_Toc77603809"/>
      <w:r w:rsidRPr="001422EA">
        <w:t>Related parties</w:t>
      </w:r>
      <w:bookmarkEnd w:id="192"/>
      <w:bookmarkEnd w:id="193"/>
    </w:p>
    <w:p w14:paraId="5FC17A97" w14:textId="77777777" w:rsidR="00B02D54" w:rsidRPr="00EC06E7" w:rsidRDefault="00B02D54" w:rsidP="00B02D54">
      <w:pPr>
        <w:rPr>
          <w:szCs w:val="20"/>
          <w:lang w:eastAsia="en-US"/>
        </w:rPr>
      </w:pPr>
      <w:r w:rsidRPr="00EC06E7">
        <w:rPr>
          <w:szCs w:val="20"/>
          <w:lang w:eastAsia="en-US"/>
        </w:rPr>
        <w:t xml:space="preserve">The financial statements must disclose material transactions with related parties, to draw attention to the possible extent to which the </w:t>
      </w:r>
      <w:r w:rsidR="00DF0341">
        <w:rPr>
          <w:szCs w:val="20"/>
          <w:lang w:eastAsia="en-US"/>
        </w:rPr>
        <w:t>c</w:t>
      </w:r>
      <w:r w:rsidRPr="00EC06E7">
        <w:rPr>
          <w:szCs w:val="20"/>
          <w:lang w:eastAsia="en-US"/>
        </w:rPr>
        <w:t xml:space="preserve">ouncil might have been constrained in its ability to operate independently or might have secured the ability to limit another party’s ability to bargain freely with the </w:t>
      </w:r>
      <w:r w:rsidR="00DF0341">
        <w:rPr>
          <w:szCs w:val="20"/>
          <w:lang w:eastAsia="en-US"/>
        </w:rPr>
        <w:t>c</w:t>
      </w:r>
      <w:r>
        <w:rPr>
          <w:szCs w:val="20"/>
          <w:lang w:eastAsia="en-US"/>
        </w:rPr>
        <w:t>ouncil</w:t>
      </w:r>
      <w:r w:rsidRPr="00EC06E7">
        <w:rPr>
          <w:szCs w:val="20"/>
          <w:lang w:eastAsia="en-US"/>
        </w:rPr>
        <w:t xml:space="preserve">. </w:t>
      </w:r>
    </w:p>
    <w:p w14:paraId="1C88D7C9" w14:textId="77777777" w:rsidR="00B02D54" w:rsidRPr="00EC06E7" w:rsidRDefault="00B02D54" w:rsidP="00B02D54">
      <w:pPr>
        <w:rPr>
          <w:lang w:eastAsia="en-US"/>
        </w:rPr>
      </w:pPr>
    </w:p>
    <w:p w14:paraId="48CB0732" w14:textId="77777777" w:rsidR="00B02D54" w:rsidRPr="00EC06E7" w:rsidRDefault="00B02D54" w:rsidP="00B02D54">
      <w:pPr>
        <w:numPr>
          <w:ilvl w:val="0"/>
          <w:numId w:val="3"/>
        </w:numPr>
        <w:tabs>
          <w:tab w:val="clear" w:pos="360"/>
          <w:tab w:val="num" w:pos="480"/>
        </w:tabs>
        <w:ind w:left="480" w:hanging="120"/>
        <w:rPr>
          <w:szCs w:val="20"/>
          <w:lang w:eastAsia="en-US"/>
        </w:rPr>
      </w:pPr>
      <w:r w:rsidRPr="00EC06E7">
        <w:rPr>
          <w:b/>
          <w:szCs w:val="20"/>
          <w:lang w:eastAsia="en-US"/>
        </w:rPr>
        <w:t>Central Government</w:t>
      </w:r>
      <w:r w:rsidRPr="00EC06E7">
        <w:rPr>
          <w:szCs w:val="20"/>
          <w:lang w:eastAsia="en-US"/>
        </w:rPr>
        <w:t xml:space="preserve"> </w:t>
      </w:r>
    </w:p>
    <w:p w14:paraId="2FDFE673" w14:textId="51933BCC" w:rsidR="00B02D54" w:rsidRPr="00EC06E7" w:rsidRDefault="00B02D54" w:rsidP="00B02D54">
      <w:pPr>
        <w:ind w:left="851"/>
        <w:rPr>
          <w:szCs w:val="20"/>
          <w:lang w:eastAsia="en-US"/>
        </w:rPr>
      </w:pPr>
      <w:r w:rsidRPr="00EC06E7">
        <w:rPr>
          <w:szCs w:val="20"/>
          <w:lang w:eastAsia="en-US"/>
        </w:rPr>
        <w:t xml:space="preserve">Central government has effective control over the operations of the </w:t>
      </w:r>
      <w:r w:rsidR="00DF0341">
        <w:rPr>
          <w:szCs w:val="20"/>
          <w:lang w:eastAsia="en-US"/>
        </w:rPr>
        <w:t>c</w:t>
      </w:r>
      <w:r>
        <w:rPr>
          <w:szCs w:val="20"/>
          <w:lang w:eastAsia="en-US"/>
        </w:rPr>
        <w:t>ouncil</w:t>
      </w:r>
      <w:r w:rsidRPr="00EC06E7">
        <w:rPr>
          <w:szCs w:val="20"/>
          <w:lang w:eastAsia="en-US"/>
        </w:rPr>
        <w:t xml:space="preserve"> as it provides the statutory framework within which it operates and </w:t>
      </w:r>
      <w:proofErr w:type="gramStart"/>
      <w:r w:rsidRPr="00EC06E7">
        <w:rPr>
          <w:szCs w:val="20"/>
          <w:lang w:eastAsia="en-US"/>
        </w:rPr>
        <w:t>the majority of</w:t>
      </w:r>
      <w:proofErr w:type="gramEnd"/>
      <w:r w:rsidRPr="00EC06E7">
        <w:rPr>
          <w:szCs w:val="20"/>
          <w:lang w:eastAsia="en-US"/>
        </w:rPr>
        <w:t xml:space="preserve"> its funding in the form of grants. Details of government grants re</w:t>
      </w:r>
      <w:r>
        <w:rPr>
          <w:szCs w:val="20"/>
          <w:lang w:eastAsia="en-US"/>
        </w:rPr>
        <w:t>ceived are given in N</w:t>
      </w:r>
      <w:r w:rsidRPr="00EC06E7">
        <w:rPr>
          <w:szCs w:val="20"/>
          <w:lang w:eastAsia="en-US"/>
        </w:rPr>
        <w:t xml:space="preserve">ote </w:t>
      </w:r>
      <w:r w:rsidRPr="00EC06E7">
        <w:rPr>
          <w:szCs w:val="20"/>
          <w:lang w:eastAsia="en-US"/>
        </w:rPr>
        <w:fldChar w:fldCharType="begin"/>
      </w:r>
      <w:r w:rsidRPr="00EC06E7">
        <w:rPr>
          <w:szCs w:val="20"/>
          <w:lang w:eastAsia="en-US"/>
        </w:rPr>
        <w:instrText xml:space="preserve"> REF _Ref483394965 \r \h </w:instrText>
      </w:r>
      <w:r>
        <w:rPr>
          <w:szCs w:val="20"/>
          <w:lang w:eastAsia="en-US"/>
        </w:rPr>
        <w:instrText xml:space="preserve"> \* MERGEFORMAT </w:instrText>
      </w:r>
      <w:r w:rsidRPr="00EC06E7">
        <w:rPr>
          <w:szCs w:val="20"/>
          <w:lang w:eastAsia="en-US"/>
        </w:rPr>
      </w:r>
      <w:r w:rsidRPr="00EC06E7">
        <w:rPr>
          <w:szCs w:val="20"/>
          <w:lang w:eastAsia="en-US"/>
        </w:rPr>
        <w:fldChar w:fldCharType="separate"/>
      </w:r>
      <w:r w:rsidR="000F49D2">
        <w:rPr>
          <w:szCs w:val="20"/>
          <w:lang w:eastAsia="en-US"/>
        </w:rPr>
        <w:t>33</w:t>
      </w:r>
      <w:r w:rsidRPr="00EC06E7">
        <w:rPr>
          <w:szCs w:val="20"/>
          <w:lang w:eastAsia="en-US"/>
        </w:rPr>
        <w:fldChar w:fldCharType="end"/>
      </w:r>
      <w:r w:rsidRPr="00EC06E7">
        <w:rPr>
          <w:szCs w:val="20"/>
          <w:lang w:eastAsia="en-US"/>
        </w:rPr>
        <w:t>.</w:t>
      </w:r>
    </w:p>
    <w:p w14:paraId="3B98A916" w14:textId="77777777" w:rsidR="00B02D54" w:rsidRPr="00EC06E7" w:rsidRDefault="00B02D54" w:rsidP="00B02D54">
      <w:pPr>
        <w:rPr>
          <w:szCs w:val="20"/>
          <w:lang w:eastAsia="en-US"/>
        </w:rPr>
      </w:pPr>
    </w:p>
    <w:p w14:paraId="6A9B8CA1" w14:textId="77777777" w:rsidR="00B02D54" w:rsidRPr="00EC06E7" w:rsidRDefault="00B02D54" w:rsidP="00B02D54">
      <w:pPr>
        <w:numPr>
          <w:ilvl w:val="0"/>
          <w:numId w:val="3"/>
        </w:numPr>
        <w:ind w:firstLine="0"/>
        <w:rPr>
          <w:szCs w:val="20"/>
          <w:lang w:eastAsia="en-US"/>
        </w:rPr>
      </w:pPr>
      <w:r w:rsidRPr="00EC06E7">
        <w:rPr>
          <w:b/>
          <w:szCs w:val="20"/>
          <w:lang w:eastAsia="en-US"/>
        </w:rPr>
        <w:t>Members of the Council</w:t>
      </w:r>
    </w:p>
    <w:p w14:paraId="6C6EDBF2" w14:textId="77777777" w:rsidR="00B02D54" w:rsidRPr="00EC06E7" w:rsidRDefault="00B02D54" w:rsidP="00B02D54">
      <w:pPr>
        <w:ind w:left="851"/>
        <w:rPr>
          <w:szCs w:val="20"/>
          <w:lang w:eastAsia="en-US"/>
        </w:rPr>
      </w:pPr>
      <w:r w:rsidRPr="00EC06E7">
        <w:rPr>
          <w:szCs w:val="20"/>
          <w:lang w:eastAsia="en-US"/>
        </w:rPr>
        <w:t xml:space="preserve">Councillors have direct control over the </w:t>
      </w:r>
      <w:r w:rsidR="00DF0341">
        <w:rPr>
          <w:szCs w:val="20"/>
          <w:lang w:eastAsia="en-US"/>
        </w:rPr>
        <w:t>c</w:t>
      </w:r>
      <w:r>
        <w:rPr>
          <w:szCs w:val="20"/>
          <w:lang w:eastAsia="en-US"/>
        </w:rPr>
        <w:t>ouncil</w:t>
      </w:r>
      <w:r w:rsidRPr="00EC06E7">
        <w:rPr>
          <w:szCs w:val="20"/>
          <w:lang w:eastAsia="en-US"/>
        </w:rPr>
        <w:t xml:space="preserve">’s financial and operating policies. Elected members are required to complete a Notice of Registerable Interests and notify the </w:t>
      </w:r>
      <w:r w:rsidR="00DF0341">
        <w:rPr>
          <w:szCs w:val="20"/>
          <w:lang w:eastAsia="en-US"/>
        </w:rPr>
        <w:t>c</w:t>
      </w:r>
      <w:r>
        <w:rPr>
          <w:szCs w:val="20"/>
          <w:lang w:eastAsia="en-US"/>
        </w:rPr>
        <w:t>ouncil</w:t>
      </w:r>
      <w:r w:rsidRPr="00EC06E7">
        <w:rPr>
          <w:szCs w:val="20"/>
          <w:lang w:eastAsia="en-US"/>
        </w:rPr>
        <w:t xml:space="preserve"> of any changes within 28 days.  Declarations of interests in meetings, including the personal interest of partners, relatives or friends, are also recorded in the minutes of the meeting and in a register, both of which are open to public inspection. </w:t>
      </w:r>
    </w:p>
    <w:p w14:paraId="73F8BC7C" w14:textId="77777777" w:rsidR="00B02D54" w:rsidRPr="00EC06E7" w:rsidRDefault="00B02D54" w:rsidP="00B02D54">
      <w:pPr>
        <w:ind w:left="851"/>
        <w:rPr>
          <w:szCs w:val="20"/>
          <w:lang w:eastAsia="en-US"/>
        </w:rPr>
      </w:pPr>
    </w:p>
    <w:p w14:paraId="2863DEB4" w14:textId="31C1D9C7" w:rsidR="00B02D54" w:rsidRPr="00EC06E7" w:rsidRDefault="00B02D54" w:rsidP="00B02D54">
      <w:pPr>
        <w:ind w:left="851"/>
        <w:rPr>
          <w:szCs w:val="20"/>
          <w:lang w:eastAsia="en-US"/>
        </w:rPr>
      </w:pPr>
      <w:r w:rsidRPr="00EC06E7">
        <w:rPr>
          <w:szCs w:val="20"/>
          <w:lang w:eastAsia="en-US"/>
        </w:rPr>
        <w:t xml:space="preserve">Note </w:t>
      </w:r>
      <w:r w:rsidRPr="00EC06E7">
        <w:rPr>
          <w:szCs w:val="20"/>
          <w:lang w:eastAsia="en-US"/>
        </w:rPr>
        <w:fldChar w:fldCharType="begin"/>
      </w:r>
      <w:r w:rsidRPr="00EC06E7">
        <w:rPr>
          <w:szCs w:val="20"/>
          <w:lang w:eastAsia="en-US"/>
        </w:rPr>
        <w:instrText xml:space="preserve"> REF _Ref483394975 \r \h  \* MERGEFORMAT </w:instrText>
      </w:r>
      <w:r w:rsidRPr="00EC06E7">
        <w:rPr>
          <w:szCs w:val="20"/>
          <w:lang w:eastAsia="en-US"/>
        </w:rPr>
      </w:r>
      <w:r w:rsidRPr="00EC06E7">
        <w:rPr>
          <w:szCs w:val="20"/>
          <w:lang w:eastAsia="en-US"/>
        </w:rPr>
        <w:fldChar w:fldCharType="separate"/>
      </w:r>
      <w:r w:rsidR="000F49D2">
        <w:rPr>
          <w:szCs w:val="20"/>
          <w:lang w:eastAsia="en-US"/>
        </w:rPr>
        <w:t>30</w:t>
      </w:r>
      <w:r w:rsidRPr="00EC06E7">
        <w:rPr>
          <w:szCs w:val="20"/>
          <w:lang w:eastAsia="en-US"/>
        </w:rPr>
        <w:fldChar w:fldCharType="end"/>
      </w:r>
      <w:r w:rsidRPr="00EC06E7">
        <w:rPr>
          <w:szCs w:val="20"/>
          <w:lang w:eastAsia="en-US"/>
        </w:rPr>
        <w:t xml:space="preserve"> refers to the allowances paid to members.  A detailed breakdown</w:t>
      </w:r>
      <w:r>
        <w:rPr>
          <w:szCs w:val="20"/>
          <w:lang w:eastAsia="en-US"/>
        </w:rPr>
        <w:t xml:space="preserve"> of these figures can be found o</w:t>
      </w:r>
      <w:r w:rsidRPr="00EC06E7">
        <w:rPr>
          <w:szCs w:val="20"/>
          <w:lang w:eastAsia="en-US"/>
        </w:rPr>
        <w:t xml:space="preserve">n the </w:t>
      </w:r>
      <w:r w:rsidR="00DF0341">
        <w:rPr>
          <w:szCs w:val="20"/>
          <w:lang w:eastAsia="en-US"/>
        </w:rPr>
        <w:t>c</w:t>
      </w:r>
      <w:r w:rsidRPr="00EC06E7">
        <w:rPr>
          <w:szCs w:val="20"/>
          <w:lang w:eastAsia="en-US"/>
        </w:rPr>
        <w:t xml:space="preserve">ouncil’s </w:t>
      </w:r>
      <w:r>
        <w:rPr>
          <w:szCs w:val="20"/>
          <w:lang w:eastAsia="en-US"/>
        </w:rPr>
        <w:t>website</w:t>
      </w:r>
      <w:r w:rsidRPr="00EC06E7">
        <w:rPr>
          <w:szCs w:val="20"/>
          <w:lang w:eastAsia="en-US"/>
        </w:rPr>
        <w:t>.</w:t>
      </w:r>
    </w:p>
    <w:p w14:paraId="1A636A65" w14:textId="77777777" w:rsidR="00B02D54" w:rsidRPr="00EC06E7" w:rsidRDefault="00B02D54" w:rsidP="00B02D54">
      <w:pPr>
        <w:ind w:left="851"/>
        <w:rPr>
          <w:szCs w:val="20"/>
          <w:lang w:eastAsia="en-US"/>
        </w:rPr>
      </w:pPr>
    </w:p>
    <w:p w14:paraId="72F577B6" w14:textId="3D15F0DF" w:rsidR="00B02D54" w:rsidRPr="00EC06E7" w:rsidRDefault="00B02D54" w:rsidP="00B02D54">
      <w:pPr>
        <w:tabs>
          <w:tab w:val="left" w:pos="180"/>
          <w:tab w:val="left" w:pos="360"/>
        </w:tabs>
        <w:ind w:left="851"/>
        <w:rPr>
          <w:szCs w:val="20"/>
          <w:lang w:eastAsia="en-US"/>
        </w:rPr>
      </w:pPr>
      <w:r w:rsidRPr="005F6671">
        <w:rPr>
          <w:szCs w:val="20"/>
          <w:lang w:eastAsia="en-US"/>
        </w:rPr>
        <w:t xml:space="preserve">The </w:t>
      </w:r>
      <w:r w:rsidR="00DF0341">
        <w:rPr>
          <w:szCs w:val="20"/>
          <w:lang w:eastAsia="en-US"/>
        </w:rPr>
        <w:t>c</w:t>
      </w:r>
      <w:r w:rsidRPr="005F6671">
        <w:rPr>
          <w:szCs w:val="20"/>
          <w:lang w:eastAsia="en-US"/>
        </w:rPr>
        <w:t xml:space="preserve">ouncil has representation on various voluntary bodies. During </w:t>
      </w:r>
      <w:r w:rsidR="000F4CDA">
        <w:rPr>
          <w:szCs w:val="20"/>
          <w:lang w:eastAsia="en-US"/>
        </w:rPr>
        <w:t>2020/21</w:t>
      </w:r>
      <w:r w:rsidRPr="005F6671">
        <w:rPr>
          <w:szCs w:val="20"/>
          <w:lang w:eastAsia="en-US"/>
        </w:rPr>
        <w:t xml:space="preserve">, the </w:t>
      </w:r>
      <w:r w:rsidR="00DF0341">
        <w:rPr>
          <w:szCs w:val="20"/>
          <w:lang w:eastAsia="en-US"/>
        </w:rPr>
        <w:t>c</w:t>
      </w:r>
      <w:r w:rsidRPr="005F6671">
        <w:rPr>
          <w:szCs w:val="20"/>
          <w:lang w:eastAsia="en-US"/>
        </w:rPr>
        <w:t xml:space="preserve">ouncil </w:t>
      </w:r>
      <w:r w:rsidR="000F4CDA">
        <w:rPr>
          <w:szCs w:val="20"/>
          <w:lang w:eastAsia="en-US"/>
        </w:rPr>
        <w:t>pa</w:t>
      </w:r>
      <w:r w:rsidRPr="005F6671">
        <w:rPr>
          <w:szCs w:val="20"/>
          <w:lang w:eastAsia="en-US"/>
        </w:rPr>
        <w:t xml:space="preserve">id grants </w:t>
      </w:r>
      <w:r w:rsidR="000F4CDA">
        <w:rPr>
          <w:szCs w:val="20"/>
          <w:lang w:eastAsia="en-US"/>
        </w:rPr>
        <w:t>totalling £0.015m</w:t>
      </w:r>
      <w:r w:rsidRPr="005F6671">
        <w:rPr>
          <w:szCs w:val="20"/>
          <w:lang w:eastAsia="en-US"/>
        </w:rPr>
        <w:t xml:space="preserve"> (201</w:t>
      </w:r>
      <w:r w:rsidR="000F4CDA">
        <w:rPr>
          <w:szCs w:val="20"/>
          <w:lang w:eastAsia="en-US"/>
        </w:rPr>
        <w:t>9</w:t>
      </w:r>
      <w:r w:rsidRPr="005F6671">
        <w:rPr>
          <w:szCs w:val="20"/>
          <w:lang w:eastAsia="en-US"/>
        </w:rPr>
        <w:t>/</w:t>
      </w:r>
      <w:r w:rsidR="000F4CDA">
        <w:rPr>
          <w:szCs w:val="20"/>
          <w:lang w:eastAsia="en-US"/>
        </w:rPr>
        <w:t>20</w:t>
      </w:r>
      <w:r w:rsidRPr="005F6671">
        <w:rPr>
          <w:szCs w:val="20"/>
          <w:lang w:eastAsia="en-US"/>
        </w:rPr>
        <w:t xml:space="preserve"> £0.0</w:t>
      </w:r>
      <w:r w:rsidR="000F4CDA">
        <w:rPr>
          <w:szCs w:val="20"/>
          <w:lang w:eastAsia="en-US"/>
        </w:rPr>
        <w:t>00</w:t>
      </w:r>
      <w:r w:rsidRPr="005F6671">
        <w:rPr>
          <w:szCs w:val="20"/>
          <w:lang w:eastAsia="en-US"/>
        </w:rPr>
        <w:t>m</w:t>
      </w:r>
      <w:r w:rsidR="000F4CDA">
        <w:rPr>
          <w:szCs w:val="20"/>
          <w:lang w:eastAsia="en-US"/>
        </w:rPr>
        <w:t>)</w:t>
      </w:r>
      <w:r w:rsidRPr="005F6671">
        <w:rPr>
          <w:szCs w:val="20"/>
          <w:lang w:eastAsia="en-US"/>
        </w:rPr>
        <w:t xml:space="preserve"> to </w:t>
      </w:r>
      <w:r w:rsidR="000F4CDA">
        <w:rPr>
          <w:szCs w:val="20"/>
          <w:lang w:eastAsia="en-US"/>
        </w:rPr>
        <w:t>on</w:t>
      </w:r>
      <w:r w:rsidRPr="005F6671">
        <w:rPr>
          <w:szCs w:val="20"/>
          <w:lang w:eastAsia="en-US"/>
        </w:rPr>
        <w:t>e of these organisations.</w:t>
      </w:r>
    </w:p>
    <w:p w14:paraId="4DFE64D9" w14:textId="77777777" w:rsidR="00B02D54" w:rsidRPr="00EC06E7" w:rsidRDefault="00B02D54" w:rsidP="00B02D54">
      <w:pPr>
        <w:ind w:left="851"/>
        <w:rPr>
          <w:szCs w:val="20"/>
          <w:lang w:eastAsia="en-US"/>
        </w:rPr>
      </w:pPr>
    </w:p>
    <w:p w14:paraId="336FA9AE" w14:textId="77777777" w:rsidR="00B02D54" w:rsidRPr="00EC06E7" w:rsidRDefault="00B02D54" w:rsidP="00B02D54">
      <w:pPr>
        <w:numPr>
          <w:ilvl w:val="0"/>
          <w:numId w:val="3"/>
        </w:numPr>
        <w:ind w:firstLine="0"/>
        <w:rPr>
          <w:szCs w:val="20"/>
          <w:lang w:eastAsia="en-US"/>
        </w:rPr>
      </w:pPr>
      <w:r w:rsidRPr="00EC06E7">
        <w:rPr>
          <w:b/>
          <w:szCs w:val="20"/>
          <w:lang w:eastAsia="en-US"/>
        </w:rPr>
        <w:t>Officers</w:t>
      </w:r>
      <w:r w:rsidRPr="00EC06E7">
        <w:rPr>
          <w:szCs w:val="20"/>
          <w:lang w:eastAsia="en-US"/>
        </w:rPr>
        <w:t xml:space="preserve"> </w:t>
      </w:r>
    </w:p>
    <w:p w14:paraId="5DCD51AC" w14:textId="77777777" w:rsidR="00B02D54" w:rsidRPr="00CC460B" w:rsidRDefault="00B02D54" w:rsidP="00B02D54">
      <w:pPr>
        <w:pStyle w:val="Default"/>
        <w:ind w:left="851"/>
        <w:rPr>
          <w:rFonts w:ascii="Arial" w:hAnsi="Arial" w:cs="Arial"/>
          <w:sz w:val="22"/>
          <w:szCs w:val="22"/>
          <w:lang w:eastAsia="en-US"/>
        </w:rPr>
      </w:pPr>
      <w:r w:rsidRPr="00CC460B">
        <w:rPr>
          <w:rFonts w:ascii="Arial" w:hAnsi="Arial" w:cs="Arial"/>
          <w:sz w:val="22"/>
          <w:szCs w:val="22"/>
          <w:lang w:eastAsia="en-US"/>
        </w:rPr>
        <w:t>If appropriate, Directors complete a voluntary declaration of transactions involving related parties.</w:t>
      </w:r>
      <w:r>
        <w:rPr>
          <w:rFonts w:ascii="Arial" w:hAnsi="Arial" w:cs="Arial"/>
          <w:sz w:val="22"/>
          <w:szCs w:val="22"/>
          <w:lang w:eastAsia="en-US"/>
        </w:rPr>
        <w:t xml:space="preserve"> </w:t>
      </w:r>
    </w:p>
    <w:p w14:paraId="28C32F0B" w14:textId="77777777" w:rsidR="00B02D54" w:rsidRPr="00CC460B" w:rsidRDefault="00B02D54" w:rsidP="00B02D54">
      <w:pPr>
        <w:spacing w:line="288" w:lineRule="auto"/>
        <w:contextualSpacing/>
        <w:rPr>
          <w:szCs w:val="20"/>
          <w:lang w:eastAsia="en-US"/>
        </w:rPr>
      </w:pPr>
    </w:p>
    <w:p w14:paraId="62F080A0" w14:textId="77777777" w:rsidR="00B02D54" w:rsidRPr="00EC06E7" w:rsidRDefault="00B02D54" w:rsidP="00B02D54">
      <w:pPr>
        <w:numPr>
          <w:ilvl w:val="0"/>
          <w:numId w:val="3"/>
        </w:numPr>
        <w:ind w:firstLine="0"/>
        <w:rPr>
          <w:b/>
          <w:szCs w:val="20"/>
          <w:lang w:eastAsia="en-US"/>
        </w:rPr>
      </w:pPr>
      <w:r w:rsidRPr="00EC06E7">
        <w:rPr>
          <w:b/>
          <w:szCs w:val="20"/>
          <w:lang w:eastAsia="en-US"/>
        </w:rPr>
        <w:t>Partnerships, Companies and Trusts</w:t>
      </w:r>
    </w:p>
    <w:p w14:paraId="035A1E03" w14:textId="77777777" w:rsidR="00C54D4A" w:rsidRPr="00C54D4A" w:rsidRDefault="00C54D4A" w:rsidP="00C54D4A">
      <w:pPr>
        <w:ind w:left="862"/>
        <w:rPr>
          <w:snapToGrid w:val="0"/>
          <w:szCs w:val="20"/>
          <w:lang w:eastAsia="en-US"/>
        </w:rPr>
      </w:pPr>
      <w:r w:rsidRPr="00C54D4A">
        <w:rPr>
          <w:snapToGrid w:val="0"/>
          <w:szCs w:val="20"/>
          <w:lang w:eastAsia="en-US"/>
        </w:rPr>
        <w:t xml:space="preserve">Shared Services Partnership – In January 2009 this partnership was established under an Administrative Collaboration Agreement </w:t>
      </w:r>
      <w:proofErr w:type="gramStart"/>
      <w:r w:rsidRPr="00C54D4A">
        <w:rPr>
          <w:snapToGrid w:val="0"/>
          <w:szCs w:val="20"/>
          <w:lang w:eastAsia="en-US"/>
        </w:rPr>
        <w:t>entered into</w:t>
      </w:r>
      <w:proofErr w:type="gramEnd"/>
      <w:r w:rsidRPr="00C54D4A">
        <w:rPr>
          <w:snapToGrid w:val="0"/>
          <w:szCs w:val="20"/>
          <w:lang w:eastAsia="en-US"/>
        </w:rPr>
        <w:t xml:space="preserve"> by South </w:t>
      </w:r>
      <w:proofErr w:type="spellStart"/>
      <w:r w:rsidRPr="00C54D4A">
        <w:rPr>
          <w:snapToGrid w:val="0"/>
          <w:szCs w:val="20"/>
          <w:lang w:eastAsia="en-US"/>
        </w:rPr>
        <w:t>Ribble</w:t>
      </w:r>
      <w:proofErr w:type="spellEnd"/>
      <w:r w:rsidRPr="00C54D4A">
        <w:rPr>
          <w:snapToGrid w:val="0"/>
          <w:szCs w:val="20"/>
          <w:lang w:eastAsia="en-US"/>
        </w:rPr>
        <w:t xml:space="preserve"> and Chorley Borough Councils.  Prior to 2020/21 this provided for the provision of accountancy, exchequer, treasury management, procurement and assurance services across the administrative areas of the two Councils.</w:t>
      </w:r>
    </w:p>
    <w:p w14:paraId="333E1CE7" w14:textId="77777777" w:rsidR="00C54D4A" w:rsidRPr="00C54D4A" w:rsidRDefault="00C54D4A" w:rsidP="00C54D4A">
      <w:pPr>
        <w:ind w:left="862"/>
        <w:rPr>
          <w:snapToGrid w:val="0"/>
          <w:szCs w:val="20"/>
          <w:lang w:eastAsia="en-US"/>
        </w:rPr>
      </w:pPr>
    </w:p>
    <w:p w14:paraId="70E78C27" w14:textId="77777777" w:rsidR="00C54D4A" w:rsidRPr="00C54D4A" w:rsidRDefault="00C54D4A" w:rsidP="00C54D4A">
      <w:pPr>
        <w:ind w:left="862"/>
        <w:rPr>
          <w:szCs w:val="22"/>
        </w:rPr>
      </w:pPr>
      <w:r w:rsidRPr="00C54D4A">
        <w:rPr>
          <w:snapToGrid w:val="0"/>
          <w:szCs w:val="20"/>
          <w:lang w:eastAsia="en-US"/>
        </w:rPr>
        <w:t xml:space="preserve">The partnership has since been expanded to include a shared Management Team, including Chief Executive as well as the legal, HR, </w:t>
      </w:r>
      <w:r w:rsidRPr="00C54D4A">
        <w:rPr>
          <w:szCs w:val="22"/>
        </w:rPr>
        <w:t xml:space="preserve">democratic services, communications and visitor economy and transformation and partnerships functions. The agreement between the two councils has been updated to reflect the new arrangements. </w:t>
      </w:r>
    </w:p>
    <w:p w14:paraId="7DF8A3E2" w14:textId="77777777" w:rsidR="00C54D4A" w:rsidRPr="00C54D4A" w:rsidRDefault="00C54D4A" w:rsidP="00C54D4A">
      <w:pPr>
        <w:ind w:left="862"/>
        <w:rPr>
          <w:szCs w:val="22"/>
        </w:rPr>
      </w:pPr>
    </w:p>
    <w:p w14:paraId="46B40EB6" w14:textId="77777777" w:rsidR="00C54D4A" w:rsidRPr="00C54D4A" w:rsidRDefault="00C54D4A" w:rsidP="00C54D4A">
      <w:pPr>
        <w:ind w:left="862"/>
        <w:rPr>
          <w:snapToGrid w:val="0"/>
          <w:szCs w:val="20"/>
          <w:lang w:eastAsia="en-US"/>
        </w:rPr>
      </w:pPr>
      <w:r w:rsidRPr="00C54D4A">
        <w:rPr>
          <w:snapToGrid w:val="0"/>
          <w:szCs w:val="20"/>
          <w:lang w:eastAsia="en-US"/>
        </w:rPr>
        <w:t xml:space="preserve">A Shared Services Joint Committee has been established to discharge the Chorley and South </w:t>
      </w:r>
      <w:proofErr w:type="spellStart"/>
      <w:r w:rsidRPr="00C54D4A">
        <w:rPr>
          <w:snapToGrid w:val="0"/>
          <w:szCs w:val="20"/>
          <w:lang w:eastAsia="en-US"/>
        </w:rPr>
        <w:t>Ribble</w:t>
      </w:r>
      <w:proofErr w:type="spellEnd"/>
      <w:r w:rsidRPr="00C54D4A">
        <w:rPr>
          <w:snapToGrid w:val="0"/>
          <w:szCs w:val="20"/>
          <w:lang w:eastAsia="en-US"/>
        </w:rPr>
        <w:t xml:space="preserve"> Councils’ functions of providing these services.</w:t>
      </w:r>
    </w:p>
    <w:p w14:paraId="04A52E78" w14:textId="77777777" w:rsidR="00C54D4A" w:rsidRPr="00C54D4A" w:rsidRDefault="00C54D4A" w:rsidP="00C54D4A">
      <w:pPr>
        <w:ind w:left="862"/>
        <w:rPr>
          <w:snapToGrid w:val="0"/>
          <w:color w:val="FF0000"/>
          <w:szCs w:val="20"/>
          <w:lang w:eastAsia="en-US"/>
        </w:rPr>
      </w:pPr>
    </w:p>
    <w:p w14:paraId="4FF4569C" w14:textId="77777777" w:rsidR="00C54D4A" w:rsidRPr="00C54D4A" w:rsidRDefault="00C54D4A" w:rsidP="00C54D4A">
      <w:pPr>
        <w:ind w:left="862"/>
        <w:rPr>
          <w:snapToGrid w:val="0"/>
          <w:szCs w:val="20"/>
          <w:lang w:eastAsia="en-US"/>
        </w:rPr>
      </w:pPr>
      <w:r w:rsidRPr="00C54D4A">
        <w:rPr>
          <w:snapToGrid w:val="0"/>
          <w:szCs w:val="20"/>
          <w:lang w:eastAsia="en-US"/>
        </w:rPr>
        <w:t>In 2020/21 gross expenditure of £5.344m (2019/20 £1.825m) was incurred on the shared services which was fully funded by recharges to the two Councils.</w:t>
      </w:r>
    </w:p>
    <w:p w14:paraId="6BAB6E2B" w14:textId="77777777" w:rsidR="00C54D4A" w:rsidRPr="00C54D4A" w:rsidRDefault="00C54D4A" w:rsidP="00C54D4A">
      <w:pPr>
        <w:ind w:left="862"/>
        <w:rPr>
          <w:snapToGrid w:val="0"/>
          <w:szCs w:val="20"/>
          <w:lang w:eastAsia="en-US"/>
        </w:rPr>
      </w:pPr>
    </w:p>
    <w:p w14:paraId="2AAE5D1C" w14:textId="74CC3436" w:rsidR="00C54D4A" w:rsidRPr="00C54D4A" w:rsidRDefault="00C54D4A" w:rsidP="00C54D4A">
      <w:pPr>
        <w:ind w:left="862"/>
        <w:rPr>
          <w:snapToGrid w:val="0"/>
          <w:szCs w:val="20"/>
          <w:lang w:eastAsia="en-US"/>
        </w:rPr>
      </w:pPr>
      <w:r w:rsidRPr="00C54D4A">
        <w:rPr>
          <w:snapToGrid w:val="0"/>
          <w:szCs w:val="20"/>
          <w:lang w:eastAsia="en-US"/>
        </w:rPr>
        <w:t>An outstanding creditor as at 31st March 2021 amounts to £1.676m.</w:t>
      </w:r>
    </w:p>
    <w:p w14:paraId="7E36CDD0" w14:textId="77777777" w:rsidR="00C54D4A" w:rsidRPr="00EC06E7" w:rsidRDefault="00C54D4A" w:rsidP="00C54D4A">
      <w:pPr>
        <w:pStyle w:val="ListParagraph"/>
        <w:ind w:left="360"/>
        <w:rPr>
          <w:lang w:eastAsia="en-US"/>
        </w:rPr>
      </w:pPr>
    </w:p>
    <w:p w14:paraId="79738C22" w14:textId="77777777" w:rsidR="00B02D54" w:rsidRPr="00EC06E7" w:rsidRDefault="00B02D54" w:rsidP="00B02D54">
      <w:pPr>
        <w:rPr>
          <w:lang w:eastAsia="en-US"/>
        </w:rPr>
      </w:pPr>
    </w:p>
    <w:p w14:paraId="60D3FFA4" w14:textId="2C42BD6C" w:rsidR="00B02D54" w:rsidRDefault="00B02D54" w:rsidP="00B02D54">
      <w:pPr>
        <w:numPr>
          <w:ilvl w:val="0"/>
          <w:numId w:val="3"/>
        </w:numPr>
        <w:ind w:firstLine="0"/>
        <w:rPr>
          <w:b/>
          <w:szCs w:val="20"/>
          <w:lang w:eastAsia="en-US"/>
        </w:rPr>
      </w:pPr>
      <w:r w:rsidRPr="00EC06E7">
        <w:rPr>
          <w:b/>
          <w:szCs w:val="20"/>
          <w:lang w:eastAsia="en-US"/>
        </w:rPr>
        <w:t>Simple Investment</w:t>
      </w:r>
    </w:p>
    <w:p w14:paraId="4A211442" w14:textId="77777777" w:rsidR="00C54D4A" w:rsidRPr="00EA4F9F" w:rsidRDefault="00C54D4A" w:rsidP="00C54D4A">
      <w:pPr>
        <w:ind w:left="862"/>
        <w:rPr>
          <w:b/>
          <w:szCs w:val="20"/>
          <w:lang w:eastAsia="en-US"/>
        </w:rPr>
      </w:pPr>
      <w:r w:rsidRPr="00C54D4A">
        <w:rPr>
          <w:rFonts w:cs="Arial"/>
          <w:szCs w:val="22"/>
          <w:lang w:eastAsia="en-US"/>
        </w:rPr>
        <w:t xml:space="preserve">In 2005/06 the Council’s leisure centre operation transferred to South </w:t>
      </w:r>
      <w:proofErr w:type="spellStart"/>
      <w:r w:rsidRPr="00C54D4A">
        <w:rPr>
          <w:rFonts w:cs="Arial"/>
          <w:szCs w:val="22"/>
          <w:lang w:eastAsia="en-US"/>
        </w:rPr>
        <w:t>Ribble</w:t>
      </w:r>
      <w:proofErr w:type="spellEnd"/>
      <w:r w:rsidRPr="00C54D4A">
        <w:rPr>
          <w:rFonts w:cs="Arial"/>
          <w:szCs w:val="22"/>
          <w:lang w:eastAsia="en-US"/>
        </w:rPr>
        <w:t xml:space="preserve"> Community Leisure Limited (SRCLL), which is a company with charitable objectives.  The Council pay SRCLL a Leisure Services Fee (LSF) for the running of its leisure centres.  The contract with SRCLL was for a period of 15 years and 10 months which commenced on 1 June 2005 and ended on 31</w:t>
      </w:r>
      <w:r w:rsidRPr="00C54D4A">
        <w:rPr>
          <w:rFonts w:cs="Arial"/>
          <w:szCs w:val="22"/>
          <w:vertAlign w:val="superscript"/>
          <w:lang w:eastAsia="en-US"/>
        </w:rPr>
        <w:t>st</w:t>
      </w:r>
      <w:r w:rsidRPr="00C54D4A">
        <w:rPr>
          <w:rFonts w:cs="Arial"/>
          <w:szCs w:val="22"/>
          <w:lang w:eastAsia="en-US"/>
        </w:rPr>
        <w:t xml:space="preserve"> March 2021. The operation of the leisure centres has been temporarily brought in-house pending the set-up of a wholly owned company.</w:t>
      </w:r>
    </w:p>
    <w:p w14:paraId="72130D94" w14:textId="77777777" w:rsidR="00C54D4A" w:rsidRPr="00EA4F9F" w:rsidRDefault="00C54D4A" w:rsidP="00C54D4A">
      <w:pPr>
        <w:tabs>
          <w:tab w:val="left" w:pos="5670"/>
        </w:tabs>
        <w:rPr>
          <w:snapToGrid w:val="0"/>
          <w:szCs w:val="20"/>
          <w:lang w:eastAsia="en-US"/>
        </w:rPr>
      </w:pPr>
    </w:p>
    <w:tbl>
      <w:tblPr>
        <w:tblW w:w="9592" w:type="dxa"/>
        <w:tblInd w:w="46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62"/>
        <w:gridCol w:w="7230"/>
      </w:tblGrid>
      <w:tr w:rsidR="00C54D4A" w:rsidRPr="00C2707D" w14:paraId="3B0A9C63" w14:textId="77777777" w:rsidTr="007C336A">
        <w:trPr>
          <w:trHeight w:val="288"/>
        </w:trPr>
        <w:tc>
          <w:tcPr>
            <w:tcW w:w="2362" w:type="dxa"/>
            <w:tcBorders>
              <w:top w:val="single" w:sz="4" w:space="0" w:color="auto"/>
              <w:bottom w:val="nil"/>
              <w:right w:val="single" w:sz="4" w:space="0" w:color="auto"/>
            </w:tcBorders>
          </w:tcPr>
          <w:p w14:paraId="5FFCCC4B" w14:textId="77777777" w:rsidR="00C54D4A" w:rsidRPr="00733057" w:rsidRDefault="00C54D4A" w:rsidP="007C336A">
            <w:pPr>
              <w:rPr>
                <w:b/>
                <w:snapToGrid w:val="0"/>
                <w:szCs w:val="20"/>
                <w:lang w:eastAsia="en-US"/>
              </w:rPr>
            </w:pPr>
            <w:r w:rsidRPr="00733057">
              <w:rPr>
                <w:szCs w:val="20"/>
                <w:lang w:eastAsia="en-US"/>
              </w:rPr>
              <w:t>Name of Undertaking</w:t>
            </w:r>
          </w:p>
        </w:tc>
        <w:tc>
          <w:tcPr>
            <w:tcW w:w="7230" w:type="dxa"/>
            <w:tcBorders>
              <w:left w:val="single" w:sz="4" w:space="0" w:color="auto"/>
            </w:tcBorders>
          </w:tcPr>
          <w:p w14:paraId="003637E2" w14:textId="77777777" w:rsidR="00C54D4A" w:rsidRPr="00733057" w:rsidRDefault="00C54D4A" w:rsidP="007C336A">
            <w:pPr>
              <w:rPr>
                <w:szCs w:val="20"/>
                <w:lang w:eastAsia="en-US"/>
              </w:rPr>
            </w:pPr>
            <w:r w:rsidRPr="00733057">
              <w:rPr>
                <w:szCs w:val="20"/>
                <w:lang w:eastAsia="en-US"/>
              </w:rPr>
              <w:t xml:space="preserve">South </w:t>
            </w:r>
            <w:proofErr w:type="spellStart"/>
            <w:r w:rsidRPr="00733057">
              <w:rPr>
                <w:szCs w:val="20"/>
                <w:lang w:eastAsia="en-US"/>
              </w:rPr>
              <w:t>Ribble</w:t>
            </w:r>
            <w:proofErr w:type="spellEnd"/>
            <w:r w:rsidRPr="00733057">
              <w:rPr>
                <w:szCs w:val="20"/>
                <w:lang w:eastAsia="en-US"/>
              </w:rPr>
              <w:t xml:space="preserve"> Community Leisure Limited</w:t>
            </w:r>
          </w:p>
        </w:tc>
      </w:tr>
      <w:tr w:rsidR="00C54D4A" w:rsidRPr="00C2707D" w14:paraId="433F9C72" w14:textId="77777777" w:rsidTr="007C336A">
        <w:trPr>
          <w:trHeight w:val="288"/>
        </w:trPr>
        <w:tc>
          <w:tcPr>
            <w:tcW w:w="2362" w:type="dxa"/>
            <w:tcBorders>
              <w:top w:val="nil"/>
              <w:bottom w:val="nil"/>
              <w:right w:val="single" w:sz="4" w:space="0" w:color="auto"/>
            </w:tcBorders>
          </w:tcPr>
          <w:p w14:paraId="211E6027" w14:textId="77777777" w:rsidR="00C54D4A" w:rsidRPr="00733057" w:rsidRDefault="00C54D4A" w:rsidP="007C336A">
            <w:pPr>
              <w:rPr>
                <w:szCs w:val="20"/>
                <w:lang w:eastAsia="en-US"/>
              </w:rPr>
            </w:pPr>
            <w:r w:rsidRPr="00733057">
              <w:rPr>
                <w:snapToGrid w:val="0"/>
                <w:szCs w:val="20"/>
                <w:lang w:eastAsia="en-US"/>
              </w:rPr>
              <w:t>Type of Organisation</w:t>
            </w:r>
          </w:p>
        </w:tc>
        <w:tc>
          <w:tcPr>
            <w:tcW w:w="7230" w:type="dxa"/>
            <w:tcBorders>
              <w:left w:val="single" w:sz="4" w:space="0" w:color="auto"/>
            </w:tcBorders>
          </w:tcPr>
          <w:p w14:paraId="255B8665" w14:textId="77777777" w:rsidR="00C54D4A" w:rsidRPr="00733057" w:rsidRDefault="00C54D4A" w:rsidP="007C336A">
            <w:pPr>
              <w:rPr>
                <w:szCs w:val="20"/>
                <w:lang w:eastAsia="en-US"/>
              </w:rPr>
            </w:pPr>
            <w:r w:rsidRPr="00733057">
              <w:rPr>
                <w:szCs w:val="20"/>
                <w:lang w:eastAsia="en-US"/>
              </w:rPr>
              <w:t>Limited liability.</w:t>
            </w:r>
          </w:p>
        </w:tc>
      </w:tr>
      <w:tr w:rsidR="00C54D4A" w:rsidRPr="00C2707D" w14:paraId="65B2EA36" w14:textId="77777777" w:rsidTr="007C336A">
        <w:trPr>
          <w:trHeight w:val="288"/>
        </w:trPr>
        <w:tc>
          <w:tcPr>
            <w:tcW w:w="2362" w:type="dxa"/>
            <w:tcBorders>
              <w:top w:val="nil"/>
              <w:bottom w:val="nil"/>
              <w:right w:val="single" w:sz="4" w:space="0" w:color="auto"/>
            </w:tcBorders>
          </w:tcPr>
          <w:p w14:paraId="7A618D63" w14:textId="77777777" w:rsidR="00C54D4A" w:rsidRPr="00733057" w:rsidRDefault="00C54D4A" w:rsidP="007C336A">
            <w:pPr>
              <w:rPr>
                <w:snapToGrid w:val="0"/>
                <w:szCs w:val="20"/>
                <w:lang w:eastAsia="en-US"/>
              </w:rPr>
            </w:pPr>
            <w:r w:rsidRPr="00733057">
              <w:rPr>
                <w:snapToGrid w:val="0"/>
                <w:szCs w:val="20"/>
                <w:lang w:eastAsia="en-US"/>
              </w:rPr>
              <w:t>Nature of Business</w:t>
            </w:r>
          </w:p>
        </w:tc>
        <w:tc>
          <w:tcPr>
            <w:tcW w:w="7230" w:type="dxa"/>
            <w:tcBorders>
              <w:left w:val="single" w:sz="4" w:space="0" w:color="auto"/>
            </w:tcBorders>
          </w:tcPr>
          <w:p w14:paraId="0B7A1637" w14:textId="77777777" w:rsidR="00C54D4A" w:rsidRPr="00733057" w:rsidRDefault="00C54D4A" w:rsidP="007C336A">
            <w:pPr>
              <w:rPr>
                <w:snapToGrid w:val="0"/>
                <w:szCs w:val="20"/>
                <w:lang w:eastAsia="en-US"/>
              </w:rPr>
            </w:pPr>
            <w:r w:rsidRPr="00733057">
              <w:rPr>
                <w:snapToGrid w:val="0"/>
                <w:szCs w:val="20"/>
                <w:lang w:eastAsia="en-US"/>
              </w:rPr>
              <w:t xml:space="preserve">Provision and Development of leisure facilities in South </w:t>
            </w:r>
            <w:proofErr w:type="spellStart"/>
            <w:r w:rsidRPr="00733057">
              <w:rPr>
                <w:snapToGrid w:val="0"/>
                <w:szCs w:val="20"/>
                <w:lang w:eastAsia="en-US"/>
              </w:rPr>
              <w:t>Ribble</w:t>
            </w:r>
            <w:proofErr w:type="spellEnd"/>
          </w:p>
        </w:tc>
      </w:tr>
      <w:tr w:rsidR="00C54D4A" w:rsidRPr="00C2707D" w14:paraId="105062B2" w14:textId="77777777" w:rsidTr="007C336A">
        <w:tc>
          <w:tcPr>
            <w:tcW w:w="2362" w:type="dxa"/>
            <w:tcBorders>
              <w:top w:val="nil"/>
              <w:left w:val="single" w:sz="4" w:space="0" w:color="auto"/>
              <w:bottom w:val="nil"/>
              <w:right w:val="single" w:sz="4" w:space="0" w:color="auto"/>
            </w:tcBorders>
            <w:vAlign w:val="center"/>
          </w:tcPr>
          <w:p w14:paraId="1BCFF63B" w14:textId="77777777" w:rsidR="00C54D4A" w:rsidRPr="00733057" w:rsidRDefault="00C54D4A" w:rsidP="007C336A">
            <w:pPr>
              <w:rPr>
                <w:snapToGrid w:val="0"/>
                <w:szCs w:val="20"/>
                <w:lang w:eastAsia="en-US"/>
              </w:rPr>
            </w:pPr>
            <w:r w:rsidRPr="00733057">
              <w:rPr>
                <w:snapToGrid w:val="0"/>
                <w:szCs w:val="20"/>
                <w:lang w:eastAsia="en-US"/>
              </w:rPr>
              <w:t>SRBC share holding</w:t>
            </w:r>
          </w:p>
        </w:tc>
        <w:tc>
          <w:tcPr>
            <w:tcW w:w="7230" w:type="dxa"/>
            <w:tcBorders>
              <w:left w:val="single" w:sz="4" w:space="0" w:color="auto"/>
            </w:tcBorders>
            <w:vAlign w:val="center"/>
          </w:tcPr>
          <w:p w14:paraId="1425FC65" w14:textId="77777777" w:rsidR="00C54D4A" w:rsidRPr="00733057" w:rsidRDefault="00C54D4A" w:rsidP="007C336A">
            <w:pPr>
              <w:rPr>
                <w:snapToGrid w:val="0"/>
                <w:szCs w:val="20"/>
                <w:lang w:eastAsia="en-US"/>
              </w:rPr>
            </w:pPr>
            <w:r w:rsidRPr="00733057">
              <w:rPr>
                <w:snapToGrid w:val="0"/>
                <w:szCs w:val="20"/>
                <w:lang w:eastAsia="en-US"/>
              </w:rPr>
              <w:t>14.2%</w:t>
            </w:r>
          </w:p>
        </w:tc>
      </w:tr>
      <w:tr w:rsidR="00C54D4A" w:rsidRPr="00C2707D" w14:paraId="78F7EFDB" w14:textId="77777777" w:rsidTr="007C336A">
        <w:tc>
          <w:tcPr>
            <w:tcW w:w="2362" w:type="dxa"/>
            <w:tcBorders>
              <w:top w:val="nil"/>
              <w:bottom w:val="nil"/>
              <w:right w:val="single" w:sz="4" w:space="0" w:color="auto"/>
            </w:tcBorders>
            <w:vAlign w:val="center"/>
          </w:tcPr>
          <w:p w14:paraId="76E6FC62" w14:textId="77777777" w:rsidR="00C54D4A" w:rsidRPr="00733057" w:rsidRDefault="00C54D4A" w:rsidP="007C336A">
            <w:pPr>
              <w:rPr>
                <w:snapToGrid w:val="0"/>
                <w:szCs w:val="20"/>
                <w:lang w:eastAsia="en-US"/>
              </w:rPr>
            </w:pPr>
            <w:r w:rsidRPr="00733057">
              <w:rPr>
                <w:snapToGrid w:val="0"/>
                <w:szCs w:val="20"/>
                <w:lang w:eastAsia="en-US"/>
              </w:rPr>
              <w:t>Grant Paid in the Year</w:t>
            </w:r>
          </w:p>
        </w:tc>
        <w:tc>
          <w:tcPr>
            <w:tcW w:w="7230" w:type="dxa"/>
            <w:tcBorders>
              <w:left w:val="single" w:sz="4" w:space="0" w:color="auto"/>
            </w:tcBorders>
            <w:vAlign w:val="center"/>
          </w:tcPr>
          <w:p w14:paraId="166D44E0" w14:textId="77777777" w:rsidR="00C54D4A" w:rsidRPr="00733057" w:rsidRDefault="00C54D4A" w:rsidP="007C336A">
            <w:pPr>
              <w:rPr>
                <w:snapToGrid w:val="0"/>
                <w:szCs w:val="20"/>
                <w:lang w:eastAsia="en-US"/>
              </w:rPr>
            </w:pPr>
            <w:r w:rsidRPr="00733057">
              <w:rPr>
                <w:snapToGrid w:val="0"/>
                <w:szCs w:val="20"/>
                <w:lang w:eastAsia="en-US"/>
              </w:rPr>
              <w:t>£0.024m</w:t>
            </w:r>
          </w:p>
        </w:tc>
      </w:tr>
      <w:tr w:rsidR="00C54D4A" w:rsidRPr="00C2707D" w14:paraId="0A82B276" w14:textId="77777777" w:rsidTr="007C336A">
        <w:trPr>
          <w:trHeight w:val="327"/>
        </w:trPr>
        <w:tc>
          <w:tcPr>
            <w:tcW w:w="2362" w:type="dxa"/>
            <w:tcBorders>
              <w:top w:val="nil"/>
              <w:bottom w:val="single" w:sz="4" w:space="0" w:color="auto"/>
              <w:right w:val="single" w:sz="4" w:space="0" w:color="auto"/>
            </w:tcBorders>
            <w:vAlign w:val="center"/>
          </w:tcPr>
          <w:p w14:paraId="5AB9A463" w14:textId="77777777" w:rsidR="00C54D4A" w:rsidRPr="00733057" w:rsidRDefault="00C54D4A" w:rsidP="007C336A">
            <w:pPr>
              <w:rPr>
                <w:snapToGrid w:val="0"/>
                <w:szCs w:val="20"/>
                <w:lang w:eastAsia="en-US"/>
              </w:rPr>
            </w:pPr>
            <w:r w:rsidRPr="00733057">
              <w:rPr>
                <w:snapToGrid w:val="0"/>
                <w:szCs w:val="20"/>
                <w:lang w:eastAsia="en-US"/>
              </w:rPr>
              <w:t>Leisure Services Fee</w:t>
            </w:r>
          </w:p>
          <w:p w14:paraId="1EE43F4F" w14:textId="77777777" w:rsidR="00C54D4A" w:rsidRPr="00733057" w:rsidRDefault="00C54D4A" w:rsidP="007C336A">
            <w:pPr>
              <w:rPr>
                <w:snapToGrid w:val="0"/>
                <w:szCs w:val="20"/>
                <w:lang w:eastAsia="en-US"/>
              </w:rPr>
            </w:pPr>
            <w:r w:rsidRPr="00733057">
              <w:rPr>
                <w:snapToGrid w:val="0"/>
                <w:szCs w:val="20"/>
                <w:lang w:eastAsia="en-US"/>
              </w:rPr>
              <w:t>Creditor/Debtor</w:t>
            </w:r>
          </w:p>
        </w:tc>
        <w:tc>
          <w:tcPr>
            <w:tcW w:w="7230" w:type="dxa"/>
            <w:tcBorders>
              <w:left w:val="single" w:sz="4" w:space="0" w:color="auto"/>
            </w:tcBorders>
            <w:vAlign w:val="center"/>
          </w:tcPr>
          <w:p w14:paraId="355D8F45" w14:textId="77777777" w:rsidR="00C54D4A" w:rsidRPr="00733057" w:rsidRDefault="00C54D4A" w:rsidP="007C336A">
            <w:pPr>
              <w:rPr>
                <w:snapToGrid w:val="0"/>
                <w:szCs w:val="20"/>
                <w:lang w:eastAsia="en-US"/>
              </w:rPr>
            </w:pPr>
            <w:r w:rsidRPr="00733057">
              <w:rPr>
                <w:snapToGrid w:val="0"/>
                <w:szCs w:val="20"/>
                <w:lang w:eastAsia="en-US"/>
              </w:rPr>
              <w:t>£0.357m</w:t>
            </w:r>
          </w:p>
          <w:p w14:paraId="614E0E2D" w14:textId="77777777" w:rsidR="00C54D4A" w:rsidRPr="00733057" w:rsidRDefault="00C54D4A" w:rsidP="007C336A">
            <w:pPr>
              <w:rPr>
                <w:snapToGrid w:val="0"/>
                <w:szCs w:val="20"/>
                <w:lang w:eastAsia="en-US"/>
              </w:rPr>
            </w:pPr>
            <w:r w:rsidRPr="00733057">
              <w:rPr>
                <w:snapToGrid w:val="0"/>
                <w:szCs w:val="20"/>
                <w:lang w:eastAsia="en-US"/>
              </w:rPr>
              <w:t>There were no outstanding balances at 31 March 2021</w:t>
            </w:r>
          </w:p>
        </w:tc>
      </w:tr>
    </w:tbl>
    <w:p w14:paraId="0BBA0383" w14:textId="25FC8F0A" w:rsidR="00B02D54" w:rsidRDefault="00B02D54" w:rsidP="00DB6103">
      <w:pPr>
        <w:rPr>
          <w:b/>
          <w:szCs w:val="20"/>
          <w:lang w:eastAsia="en-US"/>
        </w:rPr>
      </w:pPr>
      <w:bookmarkStart w:id="194" w:name="_Toc483391001"/>
      <w:bookmarkStart w:id="195" w:name="_Ref483906295"/>
      <w:bookmarkStart w:id="196" w:name="_Ref483906296"/>
      <w:bookmarkStart w:id="197" w:name="_Ref483906299"/>
      <w:bookmarkStart w:id="198" w:name="_Ref483906300"/>
      <w:bookmarkStart w:id="199" w:name="_Ref483906301"/>
      <w:bookmarkStart w:id="200" w:name="_Ref483906319"/>
    </w:p>
    <w:p w14:paraId="65084B0C" w14:textId="456945AD" w:rsidR="00F814A1" w:rsidRDefault="00F814A1">
      <w:pPr>
        <w:jc w:val="left"/>
      </w:pPr>
      <w:r>
        <w:br w:type="page"/>
      </w:r>
    </w:p>
    <w:p w14:paraId="72A2EA91" w14:textId="77777777" w:rsidR="00C54D4A" w:rsidRDefault="00C54D4A" w:rsidP="00DB6103"/>
    <w:p w14:paraId="7A255CA1" w14:textId="77777777" w:rsidR="00744F76" w:rsidRPr="001422EA" w:rsidRDefault="006E1448" w:rsidP="004E5A07">
      <w:pPr>
        <w:pStyle w:val="Heading2"/>
      </w:pPr>
      <w:bookmarkStart w:id="201" w:name="_Toc77603810"/>
      <w:r w:rsidRPr="001422EA">
        <w:t>Capital expenditure and financing</w:t>
      </w:r>
      <w:bookmarkEnd w:id="194"/>
      <w:bookmarkEnd w:id="195"/>
      <w:bookmarkEnd w:id="196"/>
      <w:bookmarkEnd w:id="197"/>
      <w:bookmarkEnd w:id="198"/>
      <w:bookmarkEnd w:id="199"/>
      <w:bookmarkEnd w:id="200"/>
      <w:bookmarkEnd w:id="201"/>
    </w:p>
    <w:p w14:paraId="065F747E" w14:textId="77777777" w:rsidR="00744F76" w:rsidRPr="00EC06E7" w:rsidRDefault="00744F76" w:rsidP="007F7857"/>
    <w:p w14:paraId="1704BDBF" w14:textId="77777777" w:rsidR="00442902" w:rsidRPr="00EC06E7" w:rsidRDefault="00403AAB" w:rsidP="007F7857">
      <w:r w:rsidRPr="00EC06E7">
        <w:t xml:space="preserve">The total capital expenditure in the year is shown below, together with the resources that have been used to finance it. </w:t>
      </w:r>
    </w:p>
    <w:p w14:paraId="2BF0162A" w14:textId="77777777" w:rsidR="001148A4" w:rsidRPr="00EC06E7" w:rsidRDefault="001148A4" w:rsidP="007F7857"/>
    <w:p w14:paraId="348F1191" w14:textId="77777777" w:rsidR="00403AAB" w:rsidRPr="00EC06E7" w:rsidRDefault="00403AAB" w:rsidP="007F7857">
      <w:r w:rsidRPr="00EC06E7">
        <w:t xml:space="preserve">The </w:t>
      </w:r>
      <w:r w:rsidR="00E7215B" w:rsidRPr="00EC06E7">
        <w:t xml:space="preserve">statement incorporates details of the movements in the </w:t>
      </w:r>
      <w:r w:rsidR="00B42073" w:rsidRPr="00EC06E7">
        <w:t>Capital F</w:t>
      </w:r>
      <w:r w:rsidRPr="00EC06E7">
        <w:t>inancing Requirement</w:t>
      </w:r>
      <w:r w:rsidR="00E7215B" w:rsidRPr="00EC06E7">
        <w:t>. This is a measure of</w:t>
      </w:r>
      <w:r w:rsidRPr="00EC06E7">
        <w:t xml:space="preserve"> the capital expenditure historically incurred by the Authority that has yet to be financed. This will be discharged by future charges to the revenue account.</w:t>
      </w:r>
    </w:p>
    <w:p w14:paraId="6FA1A603" w14:textId="3FC4E8FD" w:rsidR="00403AAB" w:rsidRDefault="00403AAB" w:rsidP="007F7857"/>
    <w:p w14:paraId="002B0BD4" w14:textId="288A9336" w:rsidR="00D647A5" w:rsidRDefault="00C77DD7" w:rsidP="007F7857">
      <w:r>
        <w:fldChar w:fldCharType="begin"/>
      </w:r>
      <w:r>
        <w:instrText xml:space="preserve"> LINK Excel.Sheet.12 "\\\\alpha\\accounts$\\CLOSURE\\Closure 20-21\\04 SoA Working Papers\\35 Capital Exp &amp; Financing\\Note 35 Cap Exp &amp; Financing 2020-21.xlsx!Embedded Table!R2C1:R25C3" "" \a \p </w:instrText>
      </w:r>
      <w:r>
        <w:fldChar w:fldCharType="separate"/>
      </w:r>
      <w:r w:rsidR="001C71EF">
        <w:object w:dxaOrig="10995" w:dyaOrig="7760" w14:anchorId="28041F19">
          <v:shape id="_x0000_i1073" type="#_x0000_t75" style="width:482.25pt;height:374.25pt" o:ole="">
            <v:imagedata r:id="rId100" o:title=""/>
            <o:lock v:ext="edit" aspectratio="f"/>
          </v:shape>
        </w:object>
      </w:r>
      <w:r>
        <w:fldChar w:fldCharType="end"/>
      </w:r>
    </w:p>
    <w:p w14:paraId="31D3F084" w14:textId="77777777" w:rsidR="00D647A5" w:rsidRDefault="00D647A5" w:rsidP="007F7857"/>
    <w:p w14:paraId="463E23B7" w14:textId="77777777" w:rsidR="00BF6FB8" w:rsidRPr="00EC06E7" w:rsidRDefault="00BF6FB8" w:rsidP="007F7857"/>
    <w:p w14:paraId="58ED08A2" w14:textId="77777777" w:rsidR="00744F76" w:rsidRPr="00EC06E7" w:rsidRDefault="00125724" w:rsidP="004E5A07">
      <w:pPr>
        <w:pStyle w:val="Heading2"/>
      </w:pPr>
      <w:r w:rsidRPr="00EC06E7">
        <w:br w:type="page"/>
      </w:r>
      <w:bookmarkStart w:id="202" w:name="_Toc483391002"/>
      <w:bookmarkStart w:id="203" w:name="_Ref483393187"/>
      <w:bookmarkStart w:id="204" w:name="_Toc77603811"/>
      <w:r w:rsidR="006E1448" w:rsidRPr="001422EA">
        <w:t>Leases</w:t>
      </w:r>
      <w:bookmarkEnd w:id="202"/>
      <w:bookmarkEnd w:id="203"/>
      <w:bookmarkEnd w:id="204"/>
    </w:p>
    <w:p w14:paraId="187110EF" w14:textId="77777777" w:rsidR="00744F76" w:rsidRPr="00EC06E7" w:rsidRDefault="00744F76" w:rsidP="007F7857">
      <w:pPr>
        <w:rPr>
          <w:rFonts w:cs="Courier New"/>
          <w:szCs w:val="22"/>
        </w:rPr>
      </w:pPr>
    </w:p>
    <w:p w14:paraId="44A371BF" w14:textId="77777777" w:rsidR="0049443B" w:rsidRPr="00EC06E7" w:rsidRDefault="0060443D" w:rsidP="007F7857">
      <w:pPr>
        <w:rPr>
          <w:rFonts w:cs="Courier New"/>
          <w:b/>
          <w:szCs w:val="22"/>
        </w:rPr>
      </w:pPr>
      <w:r w:rsidRPr="001422EA">
        <w:rPr>
          <w:rFonts w:cs="Courier New"/>
          <w:b/>
          <w:szCs w:val="22"/>
        </w:rPr>
        <w:t>36</w:t>
      </w:r>
      <w:r w:rsidR="00DF6B9D" w:rsidRPr="001422EA">
        <w:rPr>
          <w:rFonts w:cs="Courier New"/>
          <w:b/>
          <w:szCs w:val="22"/>
        </w:rPr>
        <w:t>a</w:t>
      </w:r>
      <w:r w:rsidR="007046B5" w:rsidRPr="001422EA">
        <w:rPr>
          <w:rFonts w:cs="Courier New"/>
          <w:b/>
          <w:szCs w:val="22"/>
        </w:rPr>
        <w:t xml:space="preserve"> </w:t>
      </w:r>
      <w:r w:rsidR="0049443B" w:rsidRPr="001422EA">
        <w:rPr>
          <w:rFonts w:cs="Courier New"/>
          <w:b/>
          <w:szCs w:val="22"/>
        </w:rPr>
        <w:t>Authority as lessee</w:t>
      </w:r>
      <w:r w:rsidR="007C0B6F" w:rsidRPr="00EC06E7">
        <w:rPr>
          <w:rFonts w:cs="Courier New"/>
          <w:b/>
          <w:szCs w:val="22"/>
        </w:rPr>
        <w:t xml:space="preserve"> </w:t>
      </w:r>
    </w:p>
    <w:p w14:paraId="4D4F8CD2" w14:textId="77777777" w:rsidR="00586A1D" w:rsidRPr="00EC06E7" w:rsidRDefault="00586A1D" w:rsidP="007F7857">
      <w:pPr>
        <w:rPr>
          <w:rFonts w:cs="Courier New"/>
          <w:b/>
          <w:szCs w:val="22"/>
        </w:rPr>
      </w:pPr>
    </w:p>
    <w:p w14:paraId="7FDA255C" w14:textId="77777777" w:rsidR="005A39CE" w:rsidRPr="00EC06E7" w:rsidRDefault="005A39CE" w:rsidP="007F7857">
      <w:pPr>
        <w:rPr>
          <w:rFonts w:cs="Courier New"/>
          <w:szCs w:val="22"/>
          <w:u w:val="single"/>
        </w:rPr>
      </w:pPr>
      <w:r w:rsidRPr="00EC06E7">
        <w:rPr>
          <w:rFonts w:cs="Courier New"/>
          <w:szCs w:val="22"/>
          <w:u w:val="single"/>
        </w:rPr>
        <w:t>Finance leases</w:t>
      </w:r>
    </w:p>
    <w:p w14:paraId="6ED828CA" w14:textId="77777777" w:rsidR="00CF3C92" w:rsidRPr="00EC06E7" w:rsidRDefault="00CF3C92" w:rsidP="007F7857">
      <w:pPr>
        <w:rPr>
          <w:rFonts w:cs="Courier New"/>
          <w:szCs w:val="22"/>
        </w:rPr>
      </w:pPr>
    </w:p>
    <w:p w14:paraId="75A1BCA6" w14:textId="08C4B850" w:rsidR="003C6618" w:rsidRPr="00EC06E7" w:rsidRDefault="00CF3C92" w:rsidP="007F7857">
      <w:pPr>
        <w:rPr>
          <w:rFonts w:cs="Courier New"/>
          <w:szCs w:val="22"/>
        </w:rPr>
      </w:pPr>
      <w:r w:rsidRPr="00EC06E7">
        <w:rPr>
          <w:rFonts w:cs="Courier New"/>
          <w:szCs w:val="22"/>
        </w:rPr>
        <w:t>W</w:t>
      </w:r>
      <w:r w:rsidR="003C6618" w:rsidRPr="00EC06E7">
        <w:rPr>
          <w:rFonts w:cs="Courier New"/>
          <w:szCs w:val="22"/>
        </w:rPr>
        <w:t xml:space="preserve">orks </w:t>
      </w:r>
      <w:r w:rsidR="002177FD">
        <w:rPr>
          <w:rFonts w:cs="Courier New"/>
          <w:szCs w:val="22"/>
        </w:rPr>
        <w:t>undertaken</w:t>
      </w:r>
      <w:r w:rsidR="003C6618" w:rsidRPr="00EC06E7">
        <w:rPr>
          <w:rFonts w:cs="Courier New"/>
          <w:szCs w:val="22"/>
        </w:rPr>
        <w:t xml:space="preserve"> to leisure</w:t>
      </w:r>
      <w:r w:rsidR="00CE68AE" w:rsidRPr="00EC06E7">
        <w:rPr>
          <w:rFonts w:cs="Courier New"/>
          <w:szCs w:val="22"/>
        </w:rPr>
        <w:t xml:space="preserve"> centres owned by the Authority</w:t>
      </w:r>
      <w:r w:rsidR="003C6618" w:rsidRPr="00EC06E7">
        <w:rPr>
          <w:rFonts w:cs="Courier New"/>
          <w:szCs w:val="22"/>
        </w:rPr>
        <w:t xml:space="preserve"> under </w:t>
      </w:r>
      <w:r w:rsidR="00CE68AE" w:rsidRPr="00EC06E7">
        <w:rPr>
          <w:rFonts w:cs="Courier New"/>
          <w:szCs w:val="22"/>
        </w:rPr>
        <w:t>a deferred purchase arrangement</w:t>
      </w:r>
      <w:r w:rsidR="003C6618" w:rsidRPr="00EC06E7">
        <w:rPr>
          <w:rFonts w:cs="Courier New"/>
          <w:szCs w:val="22"/>
        </w:rPr>
        <w:t>. The expenditure incurred, net of repayments made, is shown in the table</w:t>
      </w:r>
      <w:r w:rsidR="007046B5" w:rsidRPr="00EC06E7">
        <w:rPr>
          <w:rFonts w:cs="Courier New"/>
          <w:szCs w:val="22"/>
        </w:rPr>
        <w:t xml:space="preserve"> below:</w:t>
      </w:r>
    </w:p>
    <w:p w14:paraId="58CF2277" w14:textId="77777777" w:rsidR="005A39CE" w:rsidRPr="00EC06E7" w:rsidRDefault="005A39CE" w:rsidP="007F7857">
      <w:pPr>
        <w:rPr>
          <w:rFonts w:cs="Courier New"/>
          <w:szCs w:val="22"/>
        </w:rPr>
      </w:pPr>
    </w:p>
    <w:tbl>
      <w:tblPr>
        <w:tblW w:w="9639"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6017"/>
        <w:gridCol w:w="1811"/>
        <w:gridCol w:w="1811"/>
      </w:tblGrid>
      <w:tr w:rsidR="000067D5" w:rsidRPr="00EC06E7" w14:paraId="08BB8797" w14:textId="77777777" w:rsidTr="000067D5">
        <w:tc>
          <w:tcPr>
            <w:tcW w:w="6017" w:type="dxa"/>
            <w:tcBorders>
              <w:top w:val="single" w:sz="4" w:space="0" w:color="auto"/>
              <w:bottom w:val="nil"/>
              <w:right w:val="single" w:sz="4" w:space="0" w:color="auto"/>
            </w:tcBorders>
            <w:shd w:val="clear" w:color="auto" w:fill="B8CCE4" w:themeFill="accent1" w:themeFillTint="66"/>
          </w:tcPr>
          <w:p w14:paraId="1D6A1A4E" w14:textId="77777777" w:rsidR="000067D5" w:rsidRPr="00EC06E7" w:rsidRDefault="000067D5" w:rsidP="000067D5">
            <w:pPr>
              <w:rPr>
                <w:rFonts w:cs="Courier New"/>
                <w:szCs w:val="22"/>
              </w:rPr>
            </w:pPr>
          </w:p>
        </w:tc>
        <w:tc>
          <w:tcPr>
            <w:tcW w:w="1811" w:type="dxa"/>
            <w:tcBorders>
              <w:top w:val="single" w:sz="4" w:space="0" w:color="auto"/>
              <w:bottom w:val="nil"/>
              <w:right w:val="single" w:sz="4" w:space="0" w:color="auto"/>
            </w:tcBorders>
            <w:shd w:val="clear" w:color="auto" w:fill="B8CCE4" w:themeFill="accent1" w:themeFillTint="66"/>
          </w:tcPr>
          <w:p w14:paraId="0A7FEB78" w14:textId="2321F0C4" w:rsidR="000067D5" w:rsidRPr="00EC06E7" w:rsidRDefault="000067D5" w:rsidP="000067D5">
            <w:pPr>
              <w:rPr>
                <w:rFonts w:cs="Courier New"/>
                <w:b/>
                <w:szCs w:val="22"/>
              </w:rPr>
            </w:pPr>
            <w:r w:rsidRPr="00EC06E7">
              <w:rPr>
                <w:rFonts w:cs="Courier New"/>
                <w:b/>
                <w:szCs w:val="22"/>
              </w:rPr>
              <w:t xml:space="preserve"> </w:t>
            </w:r>
            <w:r>
              <w:rPr>
                <w:rFonts w:cs="Courier New"/>
                <w:b/>
                <w:szCs w:val="22"/>
              </w:rPr>
              <w:t>31 March 20</w:t>
            </w:r>
            <w:r w:rsidR="0033230E">
              <w:rPr>
                <w:rFonts w:cs="Courier New"/>
                <w:b/>
                <w:szCs w:val="22"/>
              </w:rPr>
              <w:t>20</w:t>
            </w:r>
          </w:p>
        </w:tc>
        <w:tc>
          <w:tcPr>
            <w:tcW w:w="1811" w:type="dxa"/>
            <w:tcBorders>
              <w:top w:val="single" w:sz="4" w:space="0" w:color="auto"/>
              <w:left w:val="single" w:sz="4" w:space="0" w:color="auto"/>
              <w:bottom w:val="nil"/>
            </w:tcBorders>
            <w:shd w:val="clear" w:color="auto" w:fill="B8CCE4" w:themeFill="accent1" w:themeFillTint="66"/>
          </w:tcPr>
          <w:p w14:paraId="687918DB" w14:textId="7165E007" w:rsidR="000067D5" w:rsidRPr="00EC06E7" w:rsidRDefault="000067D5" w:rsidP="00A810B9">
            <w:pPr>
              <w:rPr>
                <w:rFonts w:cs="Courier New"/>
                <w:b/>
                <w:szCs w:val="22"/>
              </w:rPr>
            </w:pPr>
            <w:r w:rsidRPr="00EC06E7">
              <w:rPr>
                <w:rFonts w:cs="Courier New"/>
                <w:b/>
                <w:szCs w:val="22"/>
              </w:rPr>
              <w:t xml:space="preserve"> </w:t>
            </w:r>
            <w:r w:rsidR="00A810B9">
              <w:rPr>
                <w:rFonts w:cs="Courier New"/>
                <w:b/>
                <w:szCs w:val="22"/>
              </w:rPr>
              <w:t>31 March 202</w:t>
            </w:r>
            <w:r w:rsidR="0033230E">
              <w:rPr>
                <w:rFonts w:cs="Courier New"/>
                <w:b/>
                <w:szCs w:val="22"/>
              </w:rPr>
              <w:t>1</w:t>
            </w:r>
          </w:p>
        </w:tc>
      </w:tr>
      <w:tr w:rsidR="000067D5" w:rsidRPr="00EC06E7" w14:paraId="5784D632" w14:textId="77777777" w:rsidTr="000067D5">
        <w:tc>
          <w:tcPr>
            <w:tcW w:w="6017" w:type="dxa"/>
            <w:tcBorders>
              <w:top w:val="nil"/>
              <w:bottom w:val="single" w:sz="4" w:space="0" w:color="auto"/>
              <w:right w:val="single" w:sz="4" w:space="0" w:color="auto"/>
            </w:tcBorders>
            <w:shd w:val="clear" w:color="auto" w:fill="B8CCE4" w:themeFill="accent1" w:themeFillTint="66"/>
          </w:tcPr>
          <w:p w14:paraId="1D4D7344" w14:textId="77777777" w:rsidR="000067D5" w:rsidRPr="00EC06E7" w:rsidRDefault="000067D5" w:rsidP="000067D5">
            <w:pPr>
              <w:rPr>
                <w:rFonts w:cs="Courier New"/>
                <w:szCs w:val="22"/>
              </w:rPr>
            </w:pPr>
          </w:p>
        </w:tc>
        <w:tc>
          <w:tcPr>
            <w:tcW w:w="1811" w:type="dxa"/>
            <w:tcBorders>
              <w:top w:val="nil"/>
              <w:bottom w:val="single" w:sz="4" w:space="0" w:color="auto"/>
              <w:right w:val="single" w:sz="4" w:space="0" w:color="auto"/>
            </w:tcBorders>
            <w:shd w:val="clear" w:color="auto" w:fill="B8CCE4" w:themeFill="accent1" w:themeFillTint="66"/>
          </w:tcPr>
          <w:p w14:paraId="3F4BAF27" w14:textId="77777777" w:rsidR="000067D5" w:rsidRPr="00EC06E7" w:rsidRDefault="000067D5" w:rsidP="000067D5">
            <w:pPr>
              <w:jc w:val="center"/>
              <w:rPr>
                <w:rFonts w:cs="Courier New"/>
                <w:b/>
                <w:szCs w:val="22"/>
              </w:rPr>
            </w:pPr>
            <w:r w:rsidRPr="00EC06E7">
              <w:rPr>
                <w:rFonts w:cs="Courier New"/>
                <w:b/>
                <w:szCs w:val="22"/>
              </w:rPr>
              <w:t>£’000</w:t>
            </w:r>
          </w:p>
        </w:tc>
        <w:tc>
          <w:tcPr>
            <w:tcW w:w="1811" w:type="dxa"/>
            <w:tcBorders>
              <w:top w:val="nil"/>
              <w:left w:val="single" w:sz="4" w:space="0" w:color="auto"/>
              <w:bottom w:val="single" w:sz="4" w:space="0" w:color="auto"/>
            </w:tcBorders>
            <w:shd w:val="clear" w:color="auto" w:fill="B8CCE4" w:themeFill="accent1" w:themeFillTint="66"/>
          </w:tcPr>
          <w:p w14:paraId="558B2E87" w14:textId="77777777" w:rsidR="000067D5" w:rsidRPr="00EC06E7" w:rsidRDefault="000067D5" w:rsidP="000067D5">
            <w:pPr>
              <w:jc w:val="center"/>
              <w:rPr>
                <w:rFonts w:cs="Courier New"/>
                <w:b/>
                <w:szCs w:val="22"/>
              </w:rPr>
            </w:pPr>
            <w:r w:rsidRPr="00EC06E7">
              <w:rPr>
                <w:rFonts w:cs="Courier New"/>
                <w:b/>
                <w:szCs w:val="22"/>
              </w:rPr>
              <w:t>£’000</w:t>
            </w:r>
          </w:p>
        </w:tc>
      </w:tr>
      <w:tr w:rsidR="000067D5" w:rsidRPr="00EC06E7" w14:paraId="677DE7FF" w14:textId="77777777" w:rsidTr="000067D5">
        <w:trPr>
          <w:trHeight w:val="406"/>
        </w:trPr>
        <w:tc>
          <w:tcPr>
            <w:tcW w:w="6017" w:type="dxa"/>
            <w:tcBorders>
              <w:top w:val="single" w:sz="4" w:space="0" w:color="auto"/>
              <w:bottom w:val="single" w:sz="4" w:space="0" w:color="auto"/>
              <w:right w:val="single" w:sz="4" w:space="0" w:color="BFBFBF" w:themeColor="background1" w:themeShade="BF"/>
            </w:tcBorders>
            <w:vAlign w:val="center"/>
          </w:tcPr>
          <w:p w14:paraId="1E1A1E3F" w14:textId="77777777" w:rsidR="000067D5" w:rsidRPr="00EC06E7" w:rsidRDefault="000067D5" w:rsidP="000067D5">
            <w:pPr>
              <w:rPr>
                <w:rFonts w:cs="Courier New"/>
                <w:szCs w:val="22"/>
              </w:rPr>
            </w:pPr>
            <w:r w:rsidRPr="00EC06E7">
              <w:rPr>
                <w:rFonts w:cs="Courier New"/>
                <w:szCs w:val="22"/>
              </w:rPr>
              <w:t>Works to Leisure Centres</w:t>
            </w:r>
          </w:p>
        </w:tc>
        <w:tc>
          <w:tcPr>
            <w:tcW w:w="1811" w:type="dxa"/>
            <w:tcBorders>
              <w:top w:val="single" w:sz="4" w:space="0" w:color="auto"/>
              <w:bottom w:val="single" w:sz="4" w:space="0" w:color="auto"/>
              <w:right w:val="single" w:sz="4" w:space="0" w:color="BFBFBF" w:themeColor="background1" w:themeShade="BF"/>
            </w:tcBorders>
            <w:vAlign w:val="center"/>
          </w:tcPr>
          <w:p w14:paraId="6B0727CF" w14:textId="01D662AB" w:rsidR="000067D5" w:rsidRPr="00EC06E7" w:rsidRDefault="0033230E" w:rsidP="000067D5">
            <w:pPr>
              <w:ind w:right="306"/>
              <w:jc w:val="right"/>
              <w:rPr>
                <w:rFonts w:cs="Courier New"/>
                <w:szCs w:val="22"/>
              </w:rPr>
            </w:pPr>
            <w:r>
              <w:rPr>
                <w:rFonts w:cs="Courier New"/>
                <w:szCs w:val="22"/>
              </w:rPr>
              <w:t>390</w:t>
            </w:r>
          </w:p>
        </w:tc>
        <w:tc>
          <w:tcPr>
            <w:tcW w:w="1811" w:type="dxa"/>
            <w:tcBorders>
              <w:top w:val="single" w:sz="4" w:space="0" w:color="auto"/>
              <w:left w:val="single" w:sz="4" w:space="0" w:color="BFBFBF" w:themeColor="background1" w:themeShade="BF"/>
              <w:bottom w:val="single" w:sz="4" w:space="0" w:color="auto"/>
            </w:tcBorders>
            <w:vAlign w:val="center"/>
          </w:tcPr>
          <w:p w14:paraId="0C8F10A3" w14:textId="7CB02808" w:rsidR="000067D5" w:rsidRPr="00EC06E7" w:rsidRDefault="00224F5D" w:rsidP="000067D5">
            <w:pPr>
              <w:ind w:right="306"/>
              <w:jc w:val="right"/>
              <w:rPr>
                <w:rFonts w:cs="Courier New"/>
                <w:szCs w:val="22"/>
              </w:rPr>
            </w:pPr>
            <w:r>
              <w:rPr>
                <w:rFonts w:cs="Courier New"/>
                <w:szCs w:val="22"/>
              </w:rPr>
              <w:t>0</w:t>
            </w:r>
          </w:p>
        </w:tc>
      </w:tr>
    </w:tbl>
    <w:p w14:paraId="643A16F9" w14:textId="77777777" w:rsidR="00BE1073" w:rsidRPr="00EC06E7" w:rsidRDefault="00BE1073" w:rsidP="007F7857">
      <w:pPr>
        <w:rPr>
          <w:rFonts w:cs="Courier New"/>
          <w:szCs w:val="22"/>
        </w:rPr>
      </w:pPr>
    </w:p>
    <w:p w14:paraId="23903988" w14:textId="2481B374" w:rsidR="00CE68AE" w:rsidRPr="00EC06E7" w:rsidRDefault="000439D5" w:rsidP="007F7857">
      <w:pPr>
        <w:rPr>
          <w:rFonts w:cs="Courier New"/>
          <w:szCs w:val="22"/>
        </w:rPr>
      </w:pPr>
      <w:r>
        <w:rPr>
          <w:rFonts w:cs="Courier New"/>
          <w:szCs w:val="22"/>
        </w:rPr>
        <w:t>During the term of the lease, t</w:t>
      </w:r>
      <w:r w:rsidR="00CE68AE" w:rsidRPr="00EC06E7">
        <w:rPr>
          <w:rFonts w:cs="Courier New"/>
          <w:szCs w:val="22"/>
        </w:rPr>
        <w:t xml:space="preserve">he </w:t>
      </w:r>
      <w:r>
        <w:rPr>
          <w:rFonts w:cs="Courier New"/>
          <w:szCs w:val="22"/>
        </w:rPr>
        <w:t>a</w:t>
      </w:r>
      <w:r w:rsidR="00CE68AE" w:rsidRPr="00EC06E7">
        <w:rPr>
          <w:rFonts w:cs="Courier New"/>
          <w:szCs w:val="22"/>
        </w:rPr>
        <w:t xml:space="preserve">uthority </w:t>
      </w:r>
      <w:r>
        <w:rPr>
          <w:rFonts w:cs="Courier New"/>
          <w:szCs w:val="22"/>
        </w:rPr>
        <w:t>wa</w:t>
      </w:r>
      <w:r w:rsidR="00CE68AE" w:rsidRPr="00EC06E7">
        <w:rPr>
          <w:rFonts w:cs="Courier New"/>
          <w:szCs w:val="22"/>
        </w:rPr>
        <w:t xml:space="preserve">s committed to making minimum </w:t>
      </w:r>
      <w:r w:rsidR="002177FD">
        <w:rPr>
          <w:rFonts w:cs="Courier New"/>
          <w:szCs w:val="22"/>
        </w:rPr>
        <w:t xml:space="preserve">payments </w:t>
      </w:r>
      <w:r w:rsidR="00CE68AE" w:rsidRPr="00EC06E7">
        <w:rPr>
          <w:rFonts w:cs="Courier New"/>
          <w:szCs w:val="22"/>
        </w:rPr>
        <w:t>to discharge the outstanding liability plus finance costs that w</w:t>
      </w:r>
      <w:r>
        <w:rPr>
          <w:rFonts w:cs="Courier New"/>
          <w:szCs w:val="22"/>
        </w:rPr>
        <w:t>ould</w:t>
      </w:r>
      <w:r w:rsidR="00CE68AE" w:rsidRPr="00EC06E7">
        <w:rPr>
          <w:rFonts w:cs="Courier New"/>
          <w:szCs w:val="22"/>
        </w:rPr>
        <w:t xml:space="preserve"> accrue while the liability remain</w:t>
      </w:r>
      <w:r>
        <w:rPr>
          <w:rFonts w:cs="Courier New"/>
          <w:szCs w:val="22"/>
        </w:rPr>
        <w:t>ed</w:t>
      </w:r>
      <w:r w:rsidR="00CE68AE" w:rsidRPr="00EC06E7">
        <w:rPr>
          <w:rFonts w:cs="Courier New"/>
          <w:szCs w:val="22"/>
        </w:rPr>
        <w:t xml:space="preserve"> outstanding. </w:t>
      </w:r>
      <w:r>
        <w:rPr>
          <w:rFonts w:cs="Courier New"/>
          <w:szCs w:val="22"/>
        </w:rPr>
        <w:t>The lease ended on 31</w:t>
      </w:r>
      <w:r w:rsidRPr="000439D5">
        <w:rPr>
          <w:rFonts w:cs="Courier New"/>
          <w:szCs w:val="22"/>
          <w:vertAlign w:val="superscript"/>
        </w:rPr>
        <w:t>st</w:t>
      </w:r>
      <w:r>
        <w:rPr>
          <w:rFonts w:cs="Courier New"/>
          <w:szCs w:val="22"/>
        </w:rPr>
        <w:t xml:space="preserve"> March 2021 and there are no outstanding liabilities.</w:t>
      </w:r>
    </w:p>
    <w:p w14:paraId="6EFBDF89" w14:textId="77777777" w:rsidR="00CE68AE" w:rsidRPr="00EC06E7" w:rsidRDefault="00CE68AE" w:rsidP="007F7857">
      <w:pPr>
        <w:rPr>
          <w:rFonts w:cs="Courier New"/>
          <w:szCs w:val="22"/>
        </w:rPr>
      </w:pPr>
    </w:p>
    <w:p w14:paraId="4FBB6F66" w14:textId="7F7A3053" w:rsidR="001A0810" w:rsidRPr="004617A9" w:rsidRDefault="001A0810" w:rsidP="007F7857">
      <w:pPr>
        <w:rPr>
          <w:rFonts w:cs="Courier New"/>
          <w:szCs w:val="22"/>
        </w:rPr>
      </w:pPr>
      <w:r w:rsidRPr="007954D1">
        <w:rPr>
          <w:rFonts w:cs="Courier New"/>
          <w:szCs w:val="22"/>
        </w:rPr>
        <w:t>The agreement commit</w:t>
      </w:r>
      <w:r w:rsidR="000439D5">
        <w:rPr>
          <w:rFonts w:cs="Courier New"/>
          <w:szCs w:val="22"/>
        </w:rPr>
        <w:t>ted</w:t>
      </w:r>
      <w:r w:rsidRPr="007954D1">
        <w:rPr>
          <w:rFonts w:cs="Courier New"/>
          <w:szCs w:val="22"/>
        </w:rPr>
        <w:t xml:space="preserve"> the lessor to invest £4.819m in their refurbishment in the years 2005/</w:t>
      </w:r>
      <w:r w:rsidR="00B20A7A" w:rsidRPr="007954D1">
        <w:rPr>
          <w:rFonts w:cs="Courier New"/>
          <w:szCs w:val="22"/>
        </w:rPr>
        <w:t>0</w:t>
      </w:r>
      <w:r w:rsidRPr="007954D1">
        <w:rPr>
          <w:rFonts w:cs="Courier New"/>
          <w:szCs w:val="22"/>
        </w:rPr>
        <w:t xml:space="preserve">6 to 2020/21. </w:t>
      </w:r>
      <w:r w:rsidR="00D614F4" w:rsidRPr="007954D1">
        <w:rPr>
          <w:rFonts w:cs="Courier New"/>
          <w:szCs w:val="22"/>
        </w:rPr>
        <w:t>The minimum p</w:t>
      </w:r>
      <w:r w:rsidR="00C21815" w:rsidRPr="007954D1">
        <w:rPr>
          <w:rFonts w:cs="Courier New"/>
          <w:szCs w:val="22"/>
        </w:rPr>
        <w:t>ayments under the lease total £</w:t>
      </w:r>
      <w:r w:rsidR="006B20AD" w:rsidRPr="007954D1">
        <w:rPr>
          <w:rFonts w:cs="Courier New"/>
          <w:szCs w:val="22"/>
        </w:rPr>
        <w:t>6.638m</w:t>
      </w:r>
      <w:r w:rsidR="003624A6" w:rsidRPr="007954D1">
        <w:rPr>
          <w:rFonts w:cs="Courier New"/>
          <w:szCs w:val="22"/>
        </w:rPr>
        <w:t xml:space="preserve"> of which</w:t>
      </w:r>
      <w:r w:rsidR="00D614F4" w:rsidRPr="007954D1">
        <w:rPr>
          <w:rFonts w:cs="Courier New"/>
          <w:szCs w:val="22"/>
        </w:rPr>
        <w:t xml:space="preserve"> £</w:t>
      </w:r>
      <w:r w:rsidR="004617A9" w:rsidRPr="007954D1">
        <w:rPr>
          <w:rFonts w:cs="Courier New"/>
          <w:szCs w:val="22"/>
        </w:rPr>
        <w:t>0</w:t>
      </w:r>
      <w:r w:rsidR="006B20AD" w:rsidRPr="007954D1">
        <w:rPr>
          <w:rFonts w:cs="Courier New"/>
          <w:szCs w:val="22"/>
        </w:rPr>
        <w:t>.</w:t>
      </w:r>
      <w:r w:rsidR="007954D1" w:rsidRPr="007954D1">
        <w:rPr>
          <w:rFonts w:cs="Courier New"/>
          <w:szCs w:val="22"/>
        </w:rPr>
        <w:t>436</w:t>
      </w:r>
      <w:r w:rsidR="006B20AD" w:rsidRPr="007954D1">
        <w:rPr>
          <w:rFonts w:cs="Courier New"/>
          <w:szCs w:val="22"/>
        </w:rPr>
        <w:t>m</w:t>
      </w:r>
      <w:r w:rsidR="00D614F4" w:rsidRPr="007954D1">
        <w:rPr>
          <w:rFonts w:cs="Courier New"/>
          <w:szCs w:val="22"/>
        </w:rPr>
        <w:t xml:space="preserve"> </w:t>
      </w:r>
      <w:r w:rsidR="000439D5">
        <w:rPr>
          <w:rFonts w:cs="Courier New"/>
          <w:szCs w:val="22"/>
        </w:rPr>
        <w:t>remained to be paid in 2020/21. There are no further payments to be made.</w:t>
      </w:r>
    </w:p>
    <w:p w14:paraId="64AD73CB" w14:textId="6C50645A" w:rsidR="00E17235" w:rsidRDefault="00E17235" w:rsidP="007F7857">
      <w:pPr>
        <w:rPr>
          <w:rFonts w:cs="Courier New"/>
          <w:szCs w:val="22"/>
        </w:rPr>
      </w:pPr>
    </w:p>
    <w:p w14:paraId="6326BB9E" w14:textId="65D41E95" w:rsidR="0033230E" w:rsidRDefault="006242A7" w:rsidP="007F7857">
      <w:pPr>
        <w:rPr>
          <w:rFonts w:cs="Courier New"/>
          <w:szCs w:val="22"/>
        </w:rPr>
      </w:pPr>
      <w:r>
        <w:rPr>
          <w:rFonts w:cs="Courier New"/>
          <w:szCs w:val="22"/>
        </w:rPr>
        <w:fldChar w:fldCharType="begin"/>
      </w:r>
      <w:r>
        <w:rPr>
          <w:rFonts w:cs="Courier New"/>
          <w:szCs w:val="22"/>
        </w:rPr>
        <w:instrText xml:space="preserve"> LINK Excel.Sheet.12 "\\\\alpha\\accounts$\\CLOSURE\\Closure 20-21\\04 SoA Working Papers\\36 Leases\\Note 36 Leases 2020-21.xlsx!Embedded Table 36a.2 &amp; 36b.2!R2C1:R8C5" "" \a \p </w:instrText>
      </w:r>
      <w:r>
        <w:rPr>
          <w:rFonts w:cs="Courier New"/>
          <w:szCs w:val="22"/>
        </w:rPr>
        <w:fldChar w:fldCharType="separate"/>
      </w:r>
      <w:r w:rsidR="001C71EF">
        <w:rPr>
          <w:rFonts w:cs="Courier New"/>
          <w:szCs w:val="22"/>
        </w:rPr>
        <w:object w:dxaOrig="11058" w:dyaOrig="2260" w14:anchorId="11D66943">
          <v:shape id="_x0000_i1074" type="#_x0000_t75" style="width:482.25pt;height:115.45pt" o:ole="">
            <v:imagedata r:id="rId101" o:title=""/>
            <o:lock v:ext="edit" aspectratio="f"/>
          </v:shape>
        </w:object>
      </w:r>
      <w:r>
        <w:rPr>
          <w:rFonts w:cs="Courier New"/>
          <w:szCs w:val="22"/>
        </w:rPr>
        <w:fldChar w:fldCharType="end"/>
      </w:r>
    </w:p>
    <w:p w14:paraId="5B07C661" w14:textId="77777777" w:rsidR="0033230E" w:rsidRPr="004617A9" w:rsidRDefault="0033230E" w:rsidP="007F7857">
      <w:pPr>
        <w:rPr>
          <w:rFonts w:cs="Courier New"/>
          <w:szCs w:val="22"/>
        </w:rPr>
      </w:pPr>
    </w:p>
    <w:p w14:paraId="5D11AB78" w14:textId="77777777" w:rsidR="00C663AB" w:rsidRPr="003C252F" w:rsidRDefault="00C663AB" w:rsidP="007F7857">
      <w:pPr>
        <w:rPr>
          <w:rFonts w:cs="Courier New"/>
          <w:szCs w:val="22"/>
          <w:u w:val="single"/>
        </w:rPr>
      </w:pPr>
      <w:r w:rsidRPr="003C252F">
        <w:rPr>
          <w:rFonts w:cs="Courier New"/>
          <w:szCs w:val="22"/>
          <w:u w:val="single"/>
        </w:rPr>
        <w:t>Operating leases</w:t>
      </w:r>
    </w:p>
    <w:p w14:paraId="09EC0333" w14:textId="77777777" w:rsidR="00DF6B9D" w:rsidRPr="00C93CEB" w:rsidRDefault="00DF6B9D" w:rsidP="007F7857">
      <w:pPr>
        <w:rPr>
          <w:rFonts w:cs="Courier New"/>
          <w:szCs w:val="22"/>
          <w:highlight w:val="yellow"/>
        </w:rPr>
      </w:pPr>
    </w:p>
    <w:p w14:paraId="3E435E85" w14:textId="4E57714A" w:rsidR="00DF6B9D" w:rsidRDefault="003642B3" w:rsidP="007F7857">
      <w:pPr>
        <w:rPr>
          <w:rFonts w:cs="Courier New"/>
          <w:szCs w:val="22"/>
        </w:rPr>
      </w:pPr>
      <w:r w:rsidRPr="003642B3">
        <w:rPr>
          <w:rFonts w:cs="Courier New"/>
          <w:szCs w:val="22"/>
        </w:rPr>
        <w:t xml:space="preserve">The Authority </w:t>
      </w:r>
      <w:r w:rsidR="000439D5">
        <w:rPr>
          <w:rFonts w:cs="Courier New"/>
          <w:szCs w:val="22"/>
        </w:rPr>
        <w:t xml:space="preserve">has </w:t>
      </w:r>
      <w:r w:rsidRPr="003642B3">
        <w:rPr>
          <w:rFonts w:cs="Courier New"/>
          <w:szCs w:val="22"/>
        </w:rPr>
        <w:t>operat</w:t>
      </w:r>
      <w:r w:rsidR="000439D5">
        <w:rPr>
          <w:rFonts w:cs="Courier New"/>
          <w:szCs w:val="22"/>
        </w:rPr>
        <w:t>ing leases for</w:t>
      </w:r>
      <w:r w:rsidRPr="003642B3">
        <w:rPr>
          <w:rFonts w:cs="Courier New"/>
          <w:szCs w:val="22"/>
        </w:rPr>
        <w:t xml:space="preserve"> office equipment </w:t>
      </w:r>
      <w:r w:rsidR="000439D5">
        <w:rPr>
          <w:rFonts w:cs="Courier New"/>
          <w:szCs w:val="22"/>
        </w:rPr>
        <w:t>and vehicles.</w:t>
      </w:r>
      <w:r>
        <w:rPr>
          <w:rFonts w:cs="Courier New"/>
          <w:szCs w:val="22"/>
        </w:rPr>
        <w:t xml:space="preserve"> The future minimum</w:t>
      </w:r>
      <w:r w:rsidR="008F0211">
        <w:rPr>
          <w:rFonts w:cs="Courier New"/>
          <w:szCs w:val="22"/>
        </w:rPr>
        <w:t xml:space="preserve"> lease</w:t>
      </w:r>
      <w:r>
        <w:rPr>
          <w:rFonts w:cs="Courier New"/>
          <w:szCs w:val="22"/>
        </w:rPr>
        <w:t xml:space="preserve"> payments </w:t>
      </w:r>
      <w:r w:rsidRPr="003642B3">
        <w:rPr>
          <w:rFonts w:cs="Courier New"/>
          <w:szCs w:val="22"/>
        </w:rPr>
        <w:t>are as follows:</w:t>
      </w:r>
    </w:p>
    <w:p w14:paraId="398DE77D" w14:textId="63169AA3" w:rsidR="003642B3" w:rsidRDefault="003642B3" w:rsidP="007F7857">
      <w:pPr>
        <w:rPr>
          <w:rFonts w:cs="Courier New"/>
          <w:szCs w:val="22"/>
        </w:rPr>
      </w:pPr>
    </w:p>
    <w:p w14:paraId="75373A53" w14:textId="38121025" w:rsidR="009942B5" w:rsidRDefault="006242A7" w:rsidP="007F7857">
      <w:pPr>
        <w:rPr>
          <w:rFonts w:cs="Courier New"/>
          <w:szCs w:val="22"/>
        </w:rPr>
      </w:pPr>
      <w:r>
        <w:rPr>
          <w:rFonts w:cs="Courier New"/>
          <w:szCs w:val="22"/>
        </w:rPr>
        <w:fldChar w:fldCharType="begin"/>
      </w:r>
      <w:r>
        <w:rPr>
          <w:rFonts w:cs="Courier New"/>
          <w:szCs w:val="22"/>
        </w:rPr>
        <w:instrText xml:space="preserve"> LINK Excel.Sheet.12 "\\\\alpha\\accounts$\\CLOSURE\\Closure 20-21\\04 SoA Working Papers\\36 Leases\\Note 36 Leases 2020-21.xlsx!Embedded Table 36a.3&amp;4, 36b.1&amp;3!R4C1:R9C3" "" \a \p </w:instrText>
      </w:r>
      <w:r>
        <w:rPr>
          <w:rFonts w:cs="Courier New"/>
          <w:szCs w:val="22"/>
        </w:rPr>
        <w:fldChar w:fldCharType="separate"/>
      </w:r>
      <w:r w:rsidR="001C71EF">
        <w:rPr>
          <w:rFonts w:cs="Courier New"/>
          <w:szCs w:val="22"/>
        </w:rPr>
        <w:object w:dxaOrig="10995" w:dyaOrig="1970" w14:anchorId="78E46EF0">
          <v:shape id="_x0000_i1075" type="#_x0000_t75" style="width:482.25pt;height:93.75pt" o:ole="">
            <v:imagedata r:id="rId102" o:title=""/>
            <o:lock v:ext="edit" aspectratio="f"/>
          </v:shape>
        </w:object>
      </w:r>
      <w:r>
        <w:rPr>
          <w:rFonts w:cs="Courier New"/>
          <w:szCs w:val="22"/>
        </w:rPr>
        <w:fldChar w:fldCharType="end"/>
      </w:r>
    </w:p>
    <w:p w14:paraId="4D6EB715" w14:textId="77777777" w:rsidR="009942B5" w:rsidRDefault="009942B5" w:rsidP="007F7857">
      <w:pPr>
        <w:rPr>
          <w:rFonts w:cs="Courier New"/>
          <w:szCs w:val="22"/>
        </w:rPr>
      </w:pPr>
    </w:p>
    <w:p w14:paraId="5D724055" w14:textId="77777777" w:rsidR="00664D02" w:rsidRDefault="00664D02">
      <w:pPr>
        <w:jc w:val="left"/>
        <w:rPr>
          <w:rFonts w:cs="Courier New"/>
          <w:szCs w:val="22"/>
        </w:rPr>
      </w:pPr>
      <w:r>
        <w:rPr>
          <w:rFonts w:cs="Courier New"/>
          <w:szCs w:val="22"/>
        </w:rPr>
        <w:br w:type="page"/>
      </w:r>
    </w:p>
    <w:p w14:paraId="031AF598" w14:textId="77777777" w:rsidR="008F0211" w:rsidRDefault="008F0211" w:rsidP="007F7857">
      <w:pPr>
        <w:rPr>
          <w:rFonts w:cs="Courier New"/>
          <w:szCs w:val="22"/>
        </w:rPr>
      </w:pPr>
      <w:r>
        <w:rPr>
          <w:rFonts w:cs="Courier New"/>
          <w:szCs w:val="22"/>
        </w:rPr>
        <w:t xml:space="preserve">The </w:t>
      </w:r>
      <w:r w:rsidRPr="008F0211">
        <w:rPr>
          <w:rFonts w:cs="Courier New"/>
          <w:szCs w:val="22"/>
        </w:rPr>
        <w:t>operating lease rentals charged in the Comprehensive Income and Expenditure Statement during the year were as follows:</w:t>
      </w:r>
    </w:p>
    <w:p w14:paraId="3C4C6D3C" w14:textId="77F2F25B" w:rsidR="008F0211" w:rsidRDefault="008F0211" w:rsidP="007F7857">
      <w:pPr>
        <w:rPr>
          <w:rFonts w:cs="Courier New"/>
          <w:szCs w:val="22"/>
        </w:rPr>
      </w:pPr>
    </w:p>
    <w:p w14:paraId="3E487908" w14:textId="47183038" w:rsidR="009942B5" w:rsidRDefault="00E806BD" w:rsidP="007F7857">
      <w:pPr>
        <w:rPr>
          <w:rFonts w:cs="Courier New"/>
          <w:szCs w:val="22"/>
        </w:rPr>
      </w:pPr>
      <w:r>
        <w:rPr>
          <w:rFonts w:cs="Courier New"/>
          <w:szCs w:val="22"/>
        </w:rPr>
        <w:fldChar w:fldCharType="begin"/>
      </w:r>
      <w:r>
        <w:rPr>
          <w:rFonts w:cs="Courier New"/>
          <w:szCs w:val="22"/>
        </w:rPr>
        <w:instrText xml:space="preserve"> LINK Excel.Sheet.12 "\\\\alpha\\accounts$\\CLOSURE\\Closure 20-21\\04 SoA Working Papers\\36 Leases\\Note 36 Leases 2020-21.xlsx!Embedded Table 36a.3&amp;4, 36b.1&amp;3!R13C1:R17C3" "" \a \p </w:instrText>
      </w:r>
      <w:r>
        <w:rPr>
          <w:rFonts w:cs="Courier New"/>
          <w:szCs w:val="22"/>
        </w:rPr>
        <w:fldChar w:fldCharType="separate"/>
      </w:r>
      <w:r w:rsidR="001C71EF">
        <w:rPr>
          <w:rFonts w:cs="Courier New"/>
          <w:szCs w:val="22"/>
        </w:rPr>
        <w:object w:dxaOrig="10995" w:dyaOrig="1623" w14:anchorId="54235D14">
          <v:shape id="_x0000_i1076" type="#_x0000_t75" style="width:482.25pt;height:79.45pt" o:ole="">
            <v:imagedata r:id="rId103" o:title=""/>
            <o:lock v:ext="edit" aspectratio="f"/>
          </v:shape>
        </w:object>
      </w:r>
      <w:r>
        <w:rPr>
          <w:rFonts w:cs="Courier New"/>
          <w:szCs w:val="22"/>
        </w:rPr>
        <w:fldChar w:fldCharType="end"/>
      </w:r>
    </w:p>
    <w:p w14:paraId="32D21EDF" w14:textId="77777777" w:rsidR="009942B5" w:rsidRDefault="009942B5" w:rsidP="007F7857">
      <w:pPr>
        <w:rPr>
          <w:rFonts w:cs="Courier New"/>
          <w:szCs w:val="22"/>
        </w:rPr>
      </w:pPr>
    </w:p>
    <w:p w14:paraId="16EEB73E" w14:textId="77777777" w:rsidR="00E66B9A" w:rsidRPr="00EC06E7" w:rsidRDefault="0060443D" w:rsidP="007F7857">
      <w:pPr>
        <w:rPr>
          <w:rFonts w:cs="Courier New"/>
          <w:b/>
          <w:szCs w:val="22"/>
        </w:rPr>
      </w:pPr>
      <w:r w:rsidRPr="001422EA">
        <w:rPr>
          <w:rFonts w:cs="Courier New"/>
          <w:b/>
          <w:szCs w:val="22"/>
        </w:rPr>
        <w:t>36</w:t>
      </w:r>
      <w:r w:rsidR="00E15D54" w:rsidRPr="001422EA">
        <w:rPr>
          <w:rFonts w:cs="Courier New"/>
          <w:b/>
          <w:szCs w:val="22"/>
        </w:rPr>
        <w:t>b</w:t>
      </w:r>
      <w:r w:rsidR="007C0B6F" w:rsidRPr="001422EA">
        <w:rPr>
          <w:rFonts w:cs="Courier New"/>
          <w:b/>
          <w:szCs w:val="22"/>
        </w:rPr>
        <w:t xml:space="preserve"> </w:t>
      </w:r>
      <w:r w:rsidR="00E66B9A" w:rsidRPr="001422EA">
        <w:rPr>
          <w:rFonts w:cs="Courier New"/>
          <w:b/>
          <w:szCs w:val="22"/>
        </w:rPr>
        <w:t>Authority as lessor</w:t>
      </w:r>
      <w:r w:rsidR="007C0B6F" w:rsidRPr="00EC06E7">
        <w:rPr>
          <w:rFonts w:cs="Courier New"/>
          <w:b/>
          <w:szCs w:val="22"/>
        </w:rPr>
        <w:t xml:space="preserve"> </w:t>
      </w:r>
    </w:p>
    <w:p w14:paraId="5EF8873C" w14:textId="77777777" w:rsidR="00D73DE4" w:rsidRPr="00EC06E7" w:rsidRDefault="00D73DE4" w:rsidP="007F7857">
      <w:pPr>
        <w:rPr>
          <w:rFonts w:cs="Courier New"/>
          <w:b/>
          <w:szCs w:val="22"/>
        </w:rPr>
      </w:pPr>
    </w:p>
    <w:p w14:paraId="7F68EE19" w14:textId="77777777" w:rsidR="00E66B9A" w:rsidRPr="00EC06E7" w:rsidRDefault="00E66B9A" w:rsidP="007F7857">
      <w:pPr>
        <w:rPr>
          <w:rFonts w:cs="Courier New"/>
          <w:szCs w:val="22"/>
          <w:u w:val="single"/>
        </w:rPr>
      </w:pPr>
      <w:r w:rsidRPr="00EC06E7">
        <w:rPr>
          <w:rFonts w:cs="Courier New"/>
          <w:szCs w:val="22"/>
          <w:u w:val="single"/>
        </w:rPr>
        <w:t>Finance Leases</w:t>
      </w:r>
    </w:p>
    <w:p w14:paraId="77832519" w14:textId="77777777" w:rsidR="00D73DE4" w:rsidRPr="00EC06E7" w:rsidRDefault="00D73DE4" w:rsidP="007F7857">
      <w:pPr>
        <w:rPr>
          <w:rFonts w:cs="Courier New"/>
          <w:szCs w:val="22"/>
          <w:u w:val="single"/>
        </w:rPr>
      </w:pPr>
    </w:p>
    <w:p w14:paraId="7D331F33" w14:textId="77777777" w:rsidR="00E66B9A" w:rsidRPr="00EC06E7" w:rsidRDefault="00E66B9A" w:rsidP="007F7857">
      <w:pPr>
        <w:rPr>
          <w:rFonts w:cs="Courier New"/>
          <w:szCs w:val="22"/>
        </w:rPr>
      </w:pPr>
      <w:r w:rsidRPr="00EC06E7">
        <w:rPr>
          <w:rFonts w:cs="Courier New"/>
          <w:szCs w:val="22"/>
        </w:rPr>
        <w:t xml:space="preserve">The </w:t>
      </w:r>
      <w:r w:rsidR="00DF0341">
        <w:rPr>
          <w:rFonts w:cs="Courier New"/>
          <w:szCs w:val="22"/>
        </w:rPr>
        <w:t>c</w:t>
      </w:r>
      <w:r w:rsidRPr="00EC06E7">
        <w:rPr>
          <w:rFonts w:cs="Courier New"/>
          <w:szCs w:val="22"/>
        </w:rPr>
        <w:t>ouncil has leased one property for 125 years</w:t>
      </w:r>
      <w:r w:rsidR="00D73DE4" w:rsidRPr="00EC06E7">
        <w:rPr>
          <w:rFonts w:cs="Courier New"/>
          <w:szCs w:val="22"/>
        </w:rPr>
        <w:t>.</w:t>
      </w:r>
      <w:r w:rsidR="001148A4" w:rsidRPr="00EC06E7">
        <w:rPr>
          <w:rFonts w:cs="Courier New"/>
          <w:szCs w:val="22"/>
        </w:rPr>
        <w:t xml:space="preserve">  </w:t>
      </w:r>
      <w:r w:rsidRPr="00EC06E7">
        <w:rPr>
          <w:rFonts w:cs="Courier New"/>
          <w:szCs w:val="22"/>
        </w:rPr>
        <w:t>In the following table the gross investment in the lease is reconciled to the present value of the minimum lease payments</w:t>
      </w:r>
      <w:r w:rsidR="00D73DE4" w:rsidRPr="00EC06E7">
        <w:rPr>
          <w:rFonts w:cs="Courier New"/>
          <w:szCs w:val="22"/>
        </w:rPr>
        <w:t>:</w:t>
      </w:r>
    </w:p>
    <w:p w14:paraId="2D40CFC1" w14:textId="2E40FD56" w:rsidR="00E66B9A" w:rsidRDefault="00E66B9A" w:rsidP="007F7857">
      <w:pPr>
        <w:rPr>
          <w:rFonts w:cs="Courier New"/>
          <w:szCs w:val="22"/>
        </w:rPr>
      </w:pPr>
    </w:p>
    <w:p w14:paraId="0E43A5A3" w14:textId="2C4061D6" w:rsidR="00DB6908" w:rsidRDefault="00E806BD" w:rsidP="007F7857">
      <w:pPr>
        <w:rPr>
          <w:rFonts w:cs="Courier New"/>
          <w:szCs w:val="22"/>
        </w:rPr>
      </w:pPr>
      <w:r>
        <w:rPr>
          <w:rFonts w:cs="Courier New"/>
          <w:szCs w:val="22"/>
        </w:rPr>
        <w:fldChar w:fldCharType="begin"/>
      </w:r>
      <w:r>
        <w:rPr>
          <w:rFonts w:cs="Courier New"/>
          <w:szCs w:val="22"/>
        </w:rPr>
        <w:instrText xml:space="preserve"> LINK Excel.Sheet.12 "\\\\alpha\\accounts$\\CLOSURE\\Closure 20-21\\04 SoA Working Papers\\36 Leases\\Note 36 Leases 2020-21.xlsx!Embedded Table 36a.3&amp;4, 36b.1&amp;3!R21C1:R26C3" "" \a \p </w:instrText>
      </w:r>
      <w:r>
        <w:rPr>
          <w:rFonts w:cs="Courier New"/>
          <w:szCs w:val="22"/>
        </w:rPr>
        <w:fldChar w:fldCharType="separate"/>
      </w:r>
      <w:r w:rsidR="001C71EF">
        <w:rPr>
          <w:rFonts w:cs="Courier New"/>
          <w:szCs w:val="22"/>
        </w:rPr>
        <w:object w:dxaOrig="10995" w:dyaOrig="1970" w14:anchorId="666B78C1">
          <v:shape id="_x0000_i1077" type="#_x0000_t75" style="width:482.25pt;height:93.75pt" o:ole="">
            <v:imagedata r:id="rId104" o:title=""/>
            <o:lock v:ext="edit" aspectratio="f"/>
          </v:shape>
        </w:object>
      </w:r>
      <w:r>
        <w:rPr>
          <w:rFonts w:cs="Courier New"/>
          <w:szCs w:val="22"/>
        </w:rPr>
        <w:fldChar w:fldCharType="end"/>
      </w:r>
    </w:p>
    <w:p w14:paraId="3793F905" w14:textId="77777777" w:rsidR="00DB6908" w:rsidRDefault="00DB6908" w:rsidP="007F7857">
      <w:pPr>
        <w:rPr>
          <w:rFonts w:cs="Courier New"/>
          <w:szCs w:val="22"/>
        </w:rPr>
      </w:pPr>
    </w:p>
    <w:p w14:paraId="7F7F0341" w14:textId="77777777" w:rsidR="00E66B9A" w:rsidRPr="00EC06E7" w:rsidRDefault="0085299B" w:rsidP="007F7857">
      <w:pPr>
        <w:rPr>
          <w:rFonts w:cs="Courier New"/>
          <w:szCs w:val="22"/>
        </w:rPr>
      </w:pPr>
      <w:r w:rsidRPr="00EC06E7">
        <w:rPr>
          <w:rFonts w:cs="Courier New"/>
          <w:szCs w:val="22"/>
        </w:rPr>
        <w:t>The gross investment in the lease and the minimum lease payments will be received over the following periods</w:t>
      </w:r>
      <w:r w:rsidR="00D73DE4" w:rsidRPr="00EC06E7">
        <w:rPr>
          <w:rFonts w:cs="Courier New"/>
          <w:szCs w:val="22"/>
        </w:rPr>
        <w:t>:</w:t>
      </w:r>
    </w:p>
    <w:p w14:paraId="46ACD591" w14:textId="5949F288" w:rsidR="00EF594A" w:rsidRDefault="00EF594A" w:rsidP="007F7857">
      <w:pPr>
        <w:rPr>
          <w:rFonts w:cs="Courier New"/>
          <w:szCs w:val="22"/>
        </w:rPr>
      </w:pPr>
    </w:p>
    <w:p w14:paraId="04EA2DA4" w14:textId="496BF69F" w:rsidR="00DB6908" w:rsidRDefault="00E806BD" w:rsidP="007F7857">
      <w:pPr>
        <w:rPr>
          <w:rFonts w:cs="Courier New"/>
          <w:szCs w:val="22"/>
        </w:rPr>
      </w:pPr>
      <w:r>
        <w:rPr>
          <w:rFonts w:cs="Courier New"/>
          <w:szCs w:val="22"/>
        </w:rPr>
        <w:fldChar w:fldCharType="begin"/>
      </w:r>
      <w:r>
        <w:rPr>
          <w:rFonts w:cs="Courier New"/>
          <w:szCs w:val="22"/>
        </w:rPr>
        <w:instrText xml:space="preserve"> LINK Excel.Sheet.12 "\\\\alpha\\accounts$\\CLOSURE\\Closure 20-21\\04 SoA Working Papers\\36 Leases\\Note 36 Leases 2020-21.xlsx!Embedded Table 36a.2 &amp; 36b.2!R12C1:R19C5" "" \a \p </w:instrText>
      </w:r>
      <w:r>
        <w:rPr>
          <w:rFonts w:cs="Courier New"/>
          <w:szCs w:val="22"/>
        </w:rPr>
        <w:fldChar w:fldCharType="separate"/>
      </w:r>
      <w:r w:rsidR="001C71EF">
        <w:rPr>
          <w:rFonts w:cs="Courier New"/>
          <w:szCs w:val="22"/>
        </w:rPr>
        <w:object w:dxaOrig="11058" w:dyaOrig="2898" w14:anchorId="44B4E4E9">
          <v:shape id="_x0000_i1078" type="#_x0000_t75" style="width:482.25pt;height:136.55pt" o:ole="">
            <v:imagedata r:id="rId105" o:title=""/>
            <o:lock v:ext="edit" aspectratio="f"/>
          </v:shape>
        </w:object>
      </w:r>
      <w:r>
        <w:rPr>
          <w:rFonts w:cs="Courier New"/>
          <w:szCs w:val="22"/>
        </w:rPr>
        <w:fldChar w:fldCharType="end"/>
      </w:r>
    </w:p>
    <w:p w14:paraId="52FAA218" w14:textId="77777777" w:rsidR="00DB6908" w:rsidRDefault="00DB6908" w:rsidP="007F7857">
      <w:pPr>
        <w:rPr>
          <w:rFonts w:cs="Courier New"/>
          <w:szCs w:val="22"/>
        </w:rPr>
      </w:pPr>
    </w:p>
    <w:p w14:paraId="0155379B" w14:textId="77777777" w:rsidR="00EA39C5" w:rsidRPr="00EC06E7" w:rsidRDefault="00EA39C5" w:rsidP="00EA39C5">
      <w:pPr>
        <w:rPr>
          <w:rFonts w:cs="Courier New"/>
          <w:szCs w:val="22"/>
        </w:rPr>
      </w:pPr>
      <w:r w:rsidRPr="00EC06E7">
        <w:rPr>
          <w:rFonts w:cs="Courier New"/>
          <w:szCs w:val="22"/>
        </w:rPr>
        <w:t>No contingent rents were receivable in the years of account.</w:t>
      </w:r>
    </w:p>
    <w:p w14:paraId="3D42DE38" w14:textId="77777777" w:rsidR="00EF594A" w:rsidRDefault="00EF594A" w:rsidP="007F7857">
      <w:pPr>
        <w:rPr>
          <w:rFonts w:cs="Courier New"/>
          <w:szCs w:val="22"/>
        </w:rPr>
      </w:pPr>
    </w:p>
    <w:p w14:paraId="4953EAED" w14:textId="77777777" w:rsidR="00EA39C5" w:rsidRPr="00EC06E7" w:rsidRDefault="00EA39C5" w:rsidP="00EA39C5">
      <w:pPr>
        <w:rPr>
          <w:rFonts w:cs="Courier New"/>
          <w:szCs w:val="22"/>
          <w:u w:val="single"/>
        </w:rPr>
      </w:pPr>
      <w:r w:rsidRPr="00EC06E7">
        <w:rPr>
          <w:rFonts w:cs="Courier New"/>
          <w:szCs w:val="22"/>
          <w:u w:val="single"/>
        </w:rPr>
        <w:t>Operating leases</w:t>
      </w:r>
    </w:p>
    <w:p w14:paraId="33687092" w14:textId="77777777" w:rsidR="00EA39C5" w:rsidRPr="00EC06E7" w:rsidRDefault="00EA39C5" w:rsidP="00EA39C5">
      <w:pPr>
        <w:rPr>
          <w:rFonts w:cs="Courier New"/>
          <w:szCs w:val="22"/>
        </w:rPr>
      </w:pPr>
    </w:p>
    <w:p w14:paraId="48B36F26" w14:textId="77777777" w:rsidR="00EA39C5" w:rsidRPr="00EC06E7" w:rsidRDefault="00EA39C5" w:rsidP="00EA39C5">
      <w:pPr>
        <w:rPr>
          <w:rFonts w:cs="Courier New"/>
          <w:szCs w:val="22"/>
        </w:rPr>
      </w:pPr>
      <w:r w:rsidRPr="00EC06E7">
        <w:rPr>
          <w:rFonts w:cs="Courier New"/>
          <w:szCs w:val="22"/>
        </w:rPr>
        <w:t xml:space="preserve">The </w:t>
      </w:r>
      <w:r w:rsidR="00DF0341">
        <w:rPr>
          <w:rFonts w:cs="Courier New"/>
          <w:szCs w:val="22"/>
        </w:rPr>
        <w:t>c</w:t>
      </w:r>
      <w:r w:rsidRPr="00EC06E7">
        <w:rPr>
          <w:rFonts w:cs="Courier New"/>
          <w:szCs w:val="22"/>
        </w:rPr>
        <w:t xml:space="preserve">ouncil lets certain offices and industrial units. The future minimum lease payments receivable </w:t>
      </w:r>
      <w:proofErr w:type="gramStart"/>
      <w:r w:rsidRPr="00EC06E7">
        <w:rPr>
          <w:rFonts w:cs="Courier New"/>
          <w:szCs w:val="22"/>
        </w:rPr>
        <w:t>are</w:t>
      </w:r>
      <w:proofErr w:type="gramEnd"/>
      <w:r w:rsidRPr="00EC06E7">
        <w:rPr>
          <w:rFonts w:cs="Courier New"/>
          <w:szCs w:val="22"/>
        </w:rPr>
        <w:t>:</w:t>
      </w:r>
    </w:p>
    <w:p w14:paraId="26BBE40A" w14:textId="71A92D2A" w:rsidR="00EA39C5" w:rsidRDefault="00EA39C5" w:rsidP="00EA39C5">
      <w:pPr>
        <w:rPr>
          <w:rFonts w:cs="Courier New"/>
          <w:szCs w:val="22"/>
        </w:rPr>
      </w:pPr>
    </w:p>
    <w:p w14:paraId="02368838" w14:textId="329A818E" w:rsidR="00DB6908" w:rsidRDefault="00E806BD" w:rsidP="00EA39C5">
      <w:pPr>
        <w:rPr>
          <w:rFonts w:cs="Courier New"/>
          <w:szCs w:val="22"/>
        </w:rPr>
      </w:pPr>
      <w:r>
        <w:rPr>
          <w:rFonts w:cs="Courier New"/>
          <w:szCs w:val="22"/>
        </w:rPr>
        <w:fldChar w:fldCharType="begin"/>
      </w:r>
      <w:r>
        <w:rPr>
          <w:rFonts w:cs="Courier New"/>
          <w:szCs w:val="22"/>
        </w:rPr>
        <w:instrText xml:space="preserve"> LINK Excel.Sheet.12 "\\\\alpha\\accounts$\\CLOSURE\\Closure 20-21\\04 SoA Working Papers\\36 Leases\\Note 36 Leases 2020-21.xlsx!Embedded Table 36a.3&amp;4, 36b.1&amp;3!R30C1:R36C3" "" \a \p </w:instrText>
      </w:r>
      <w:r>
        <w:rPr>
          <w:rFonts w:cs="Courier New"/>
          <w:szCs w:val="22"/>
        </w:rPr>
        <w:fldChar w:fldCharType="separate"/>
      </w:r>
      <w:r w:rsidR="001C71EF">
        <w:rPr>
          <w:rFonts w:cs="Courier New"/>
          <w:szCs w:val="22"/>
        </w:rPr>
        <w:object w:dxaOrig="10995" w:dyaOrig="2318" w14:anchorId="4FDE475A">
          <v:shape id="_x0000_i1079" type="#_x0000_t75" style="width:482.25pt;height:115.45pt" o:ole="">
            <v:imagedata r:id="rId106" o:title=""/>
            <o:lock v:ext="edit" aspectratio="f"/>
          </v:shape>
        </w:object>
      </w:r>
      <w:r>
        <w:rPr>
          <w:rFonts w:cs="Courier New"/>
          <w:szCs w:val="22"/>
        </w:rPr>
        <w:fldChar w:fldCharType="end"/>
      </w:r>
    </w:p>
    <w:p w14:paraId="4C9EF58D" w14:textId="77777777" w:rsidR="006076A4" w:rsidRPr="00EC06E7" w:rsidRDefault="006076A4" w:rsidP="007F7857">
      <w:pPr>
        <w:rPr>
          <w:rFonts w:cs="Courier New"/>
          <w:szCs w:val="22"/>
        </w:rPr>
      </w:pPr>
    </w:p>
    <w:p w14:paraId="093F0B6D" w14:textId="77777777" w:rsidR="00744F76" w:rsidRPr="001422EA" w:rsidRDefault="006E1448" w:rsidP="004E5A07">
      <w:pPr>
        <w:pStyle w:val="Heading2"/>
      </w:pPr>
      <w:bookmarkStart w:id="205" w:name="_Toc483391003"/>
      <w:bookmarkStart w:id="206" w:name="_Ref483392508"/>
      <w:bookmarkStart w:id="207" w:name="_Ref483392759"/>
      <w:bookmarkStart w:id="208" w:name="_Ref483393019"/>
      <w:bookmarkStart w:id="209" w:name="_Ref483393248"/>
      <w:bookmarkStart w:id="210" w:name="_Ref483395076"/>
      <w:bookmarkStart w:id="211" w:name="_Ref483396069"/>
      <w:bookmarkStart w:id="212" w:name="_Ref483407827"/>
      <w:bookmarkStart w:id="213" w:name="_Ref514851600"/>
      <w:bookmarkStart w:id="214" w:name="_Toc77603812"/>
      <w:r w:rsidRPr="001422EA">
        <w:t>Defined benefit pension scheme</w:t>
      </w:r>
      <w:bookmarkEnd w:id="205"/>
      <w:bookmarkEnd w:id="206"/>
      <w:bookmarkEnd w:id="207"/>
      <w:bookmarkEnd w:id="208"/>
      <w:bookmarkEnd w:id="209"/>
      <w:bookmarkEnd w:id="210"/>
      <w:bookmarkEnd w:id="211"/>
      <w:bookmarkEnd w:id="212"/>
      <w:bookmarkEnd w:id="213"/>
      <w:bookmarkEnd w:id="214"/>
    </w:p>
    <w:p w14:paraId="52A608F9" w14:textId="77777777" w:rsidR="00A00FEF" w:rsidRPr="00EC06E7" w:rsidRDefault="00A00FEF" w:rsidP="007F7857">
      <w:pPr>
        <w:rPr>
          <w:rFonts w:cs="Courier New"/>
          <w:szCs w:val="22"/>
        </w:rPr>
      </w:pPr>
    </w:p>
    <w:p w14:paraId="46B31106" w14:textId="77777777" w:rsidR="00A00FEF" w:rsidRPr="00EC06E7" w:rsidRDefault="008F20F4" w:rsidP="007F7857">
      <w:pPr>
        <w:rPr>
          <w:b/>
          <w:szCs w:val="20"/>
          <w:lang w:eastAsia="en-US"/>
        </w:rPr>
      </w:pPr>
      <w:r w:rsidRPr="00EC06E7">
        <w:rPr>
          <w:b/>
          <w:szCs w:val="20"/>
          <w:lang w:eastAsia="en-US"/>
        </w:rPr>
        <w:t>3</w:t>
      </w:r>
      <w:r w:rsidR="0060443D" w:rsidRPr="00EC06E7">
        <w:rPr>
          <w:b/>
          <w:szCs w:val="20"/>
          <w:lang w:eastAsia="en-US"/>
        </w:rPr>
        <w:t>7</w:t>
      </w:r>
      <w:r w:rsidR="00A00FEF" w:rsidRPr="00EC06E7">
        <w:rPr>
          <w:b/>
          <w:szCs w:val="20"/>
          <w:lang w:eastAsia="en-US"/>
        </w:rPr>
        <w:t>a Governance</w:t>
      </w:r>
    </w:p>
    <w:p w14:paraId="5EA0E17A" w14:textId="77777777" w:rsidR="00A00FEF" w:rsidRPr="00EC06E7" w:rsidRDefault="00A00FEF" w:rsidP="007F7857">
      <w:pPr>
        <w:rPr>
          <w:szCs w:val="20"/>
          <w:lang w:eastAsia="en-US"/>
        </w:rPr>
      </w:pPr>
    </w:p>
    <w:p w14:paraId="5CF6FE67" w14:textId="77777777" w:rsidR="00251F2B" w:rsidRPr="00EC06E7" w:rsidRDefault="00A00FEF" w:rsidP="007F7857">
      <w:pPr>
        <w:rPr>
          <w:szCs w:val="20"/>
          <w:lang w:eastAsia="en-US"/>
        </w:rPr>
      </w:pPr>
      <w:r w:rsidRPr="00EC06E7">
        <w:rPr>
          <w:szCs w:val="20"/>
          <w:lang w:eastAsia="en-US"/>
        </w:rPr>
        <w:t xml:space="preserve">As part of the terms and conditions of employment of its officers and other employees, the Authority offers retirement benefits through the Local Government Pension Scheme. This scheme is administered by Lancashire County Council who have appointed a Pension Fund Committee (comprising a mix of County Councillors and representatives from other employers) to manage the Fund. The Committee is assisted by an investment panel which advises on investment strategy and risk management. The scheme is funded and pays defined benefits based on how long employees are active members, and their salary when they leave (a “final salary” scheme) for service up to </w:t>
      </w:r>
      <w:r w:rsidR="002A04DD" w:rsidRPr="00EC06E7">
        <w:rPr>
          <w:szCs w:val="20"/>
          <w:lang w:eastAsia="en-US"/>
        </w:rPr>
        <w:t>31 March 2014</w:t>
      </w:r>
      <w:r w:rsidRPr="00EC06E7">
        <w:rPr>
          <w:szCs w:val="20"/>
          <w:lang w:eastAsia="en-US"/>
        </w:rPr>
        <w:t xml:space="preserve"> and on revalued average salary (a “career average” scheme) for service from </w:t>
      </w:r>
      <w:r w:rsidR="002A04DD" w:rsidRPr="00EC06E7">
        <w:rPr>
          <w:szCs w:val="20"/>
          <w:lang w:eastAsia="en-US"/>
        </w:rPr>
        <w:t>1 April 2014</w:t>
      </w:r>
      <w:r w:rsidRPr="00EC06E7">
        <w:rPr>
          <w:szCs w:val="20"/>
          <w:lang w:eastAsia="en-US"/>
        </w:rPr>
        <w:t xml:space="preserve"> onwards.</w:t>
      </w:r>
    </w:p>
    <w:p w14:paraId="0A8AA3A4" w14:textId="77777777" w:rsidR="001F27A6" w:rsidRDefault="001F27A6" w:rsidP="007F7857">
      <w:pPr>
        <w:rPr>
          <w:szCs w:val="20"/>
          <w:lang w:eastAsia="en-US"/>
        </w:rPr>
      </w:pPr>
    </w:p>
    <w:p w14:paraId="03B4857A" w14:textId="77777777" w:rsidR="001422EA" w:rsidRPr="00EC06E7" w:rsidRDefault="001422EA" w:rsidP="007F7857">
      <w:pPr>
        <w:rPr>
          <w:szCs w:val="20"/>
          <w:lang w:eastAsia="en-US"/>
        </w:rPr>
      </w:pPr>
    </w:p>
    <w:p w14:paraId="3F7143F4" w14:textId="77777777" w:rsidR="00A00FEF" w:rsidRPr="00EC06E7" w:rsidRDefault="008F20F4" w:rsidP="007F7857">
      <w:pPr>
        <w:rPr>
          <w:b/>
          <w:szCs w:val="20"/>
          <w:lang w:eastAsia="en-US"/>
        </w:rPr>
      </w:pPr>
      <w:r w:rsidRPr="00EC06E7">
        <w:rPr>
          <w:b/>
          <w:szCs w:val="20"/>
          <w:lang w:eastAsia="en-US"/>
        </w:rPr>
        <w:t>3</w:t>
      </w:r>
      <w:r w:rsidR="0060443D" w:rsidRPr="00EC06E7">
        <w:rPr>
          <w:b/>
          <w:szCs w:val="20"/>
          <w:lang w:eastAsia="en-US"/>
        </w:rPr>
        <w:t>7</w:t>
      </w:r>
      <w:r w:rsidR="00A00FEF" w:rsidRPr="00EC06E7">
        <w:rPr>
          <w:b/>
          <w:szCs w:val="20"/>
          <w:lang w:eastAsia="en-US"/>
        </w:rPr>
        <w:t>b Funding the liabilities</w:t>
      </w:r>
    </w:p>
    <w:p w14:paraId="7748CF0A" w14:textId="77777777" w:rsidR="00A00FEF" w:rsidRPr="00EC06E7" w:rsidRDefault="00A00FEF" w:rsidP="007F7857">
      <w:pPr>
        <w:rPr>
          <w:szCs w:val="20"/>
          <w:lang w:eastAsia="en-US"/>
        </w:rPr>
      </w:pPr>
    </w:p>
    <w:p w14:paraId="3F3BA5F3" w14:textId="77777777" w:rsidR="0027752E" w:rsidRDefault="00A00FEF" w:rsidP="007F7857">
      <w:pPr>
        <w:rPr>
          <w:szCs w:val="20"/>
          <w:lang w:eastAsia="en-US"/>
        </w:rPr>
      </w:pPr>
      <w:r w:rsidRPr="00EC06E7">
        <w:rPr>
          <w:szCs w:val="20"/>
          <w:lang w:eastAsia="en-US"/>
        </w:rPr>
        <w:t xml:space="preserve">Regulations require actuarial fund valuations to be carried out every 3 years. Contributions for each employer are set having regard to their individual circumstances. Contributions must be set with a view to targeting the Funds solvency (the detailed provisions are set out in the Fund’s Funding Strategy </w:t>
      </w:r>
      <w:r w:rsidRPr="00140283">
        <w:rPr>
          <w:szCs w:val="20"/>
          <w:lang w:eastAsia="en-US"/>
        </w:rPr>
        <w:t xml:space="preserve">Statement). The latest valuation, carried out as at </w:t>
      </w:r>
      <w:r w:rsidR="00FF00D6" w:rsidRPr="00140283">
        <w:rPr>
          <w:szCs w:val="20"/>
          <w:lang w:eastAsia="en-US"/>
        </w:rPr>
        <w:t>31 March 201</w:t>
      </w:r>
      <w:r w:rsidR="00A86637">
        <w:rPr>
          <w:szCs w:val="20"/>
          <w:lang w:eastAsia="en-US"/>
        </w:rPr>
        <w:t>9</w:t>
      </w:r>
      <w:r w:rsidRPr="00140283">
        <w:rPr>
          <w:szCs w:val="20"/>
          <w:lang w:eastAsia="en-US"/>
        </w:rPr>
        <w:t xml:space="preserve">, showed </w:t>
      </w:r>
      <w:r w:rsidR="00A86637">
        <w:rPr>
          <w:szCs w:val="20"/>
          <w:lang w:eastAsia="en-US"/>
        </w:rPr>
        <w:t>there was a surplus</w:t>
      </w:r>
      <w:r w:rsidRPr="00140283">
        <w:rPr>
          <w:szCs w:val="20"/>
          <w:lang w:eastAsia="en-US"/>
        </w:rPr>
        <w:t xml:space="preserve"> for all employers </w:t>
      </w:r>
      <w:r w:rsidRPr="007B28E5">
        <w:rPr>
          <w:szCs w:val="20"/>
          <w:lang w:eastAsia="en-US"/>
        </w:rPr>
        <w:t>of £</w:t>
      </w:r>
      <w:r w:rsidR="00A86637">
        <w:rPr>
          <w:szCs w:val="20"/>
          <w:lang w:eastAsia="en-US"/>
        </w:rPr>
        <w:t>12</w:t>
      </w:r>
      <w:r w:rsidR="006D1EBF" w:rsidRPr="007B28E5">
        <w:rPr>
          <w:szCs w:val="20"/>
          <w:lang w:eastAsia="en-US"/>
        </w:rPr>
        <w:t>m</w:t>
      </w:r>
      <w:r w:rsidRPr="007B28E5">
        <w:rPr>
          <w:szCs w:val="20"/>
          <w:lang w:eastAsia="en-US"/>
        </w:rPr>
        <w:t xml:space="preserve"> or </w:t>
      </w:r>
      <w:r w:rsidR="00A86637">
        <w:rPr>
          <w:szCs w:val="20"/>
          <w:lang w:eastAsia="en-US"/>
        </w:rPr>
        <w:t>against the Fund’s solvency funding target. An alternative way of expressing the position is that the Fund’s assets were sufficient to cover just over 100% of its liabilities – this percentage is known as the solvency funding level of the Fund.</w:t>
      </w:r>
      <w:r w:rsidRPr="007B28E5">
        <w:rPr>
          <w:szCs w:val="20"/>
          <w:lang w:eastAsia="en-US"/>
        </w:rPr>
        <w:t xml:space="preserve"> </w:t>
      </w:r>
    </w:p>
    <w:p w14:paraId="6E5A23BB" w14:textId="77777777" w:rsidR="0027752E" w:rsidRDefault="0027752E" w:rsidP="007F7857">
      <w:pPr>
        <w:rPr>
          <w:szCs w:val="20"/>
          <w:lang w:eastAsia="en-US"/>
        </w:rPr>
      </w:pPr>
    </w:p>
    <w:p w14:paraId="1319AF94" w14:textId="77777777" w:rsidR="0027752E" w:rsidRPr="00A86637" w:rsidRDefault="0027752E" w:rsidP="0027752E">
      <w:pPr>
        <w:rPr>
          <w:szCs w:val="20"/>
          <w:lang w:eastAsia="en-US"/>
        </w:rPr>
      </w:pPr>
      <w:r w:rsidRPr="00A86637">
        <w:rPr>
          <w:szCs w:val="20"/>
          <w:lang w:eastAsia="en-US"/>
        </w:rPr>
        <w:t>At the previous valuation at 31 March 2016 the shortfall was £690m, equivalent to a solvency funding level of 90%.</w:t>
      </w:r>
    </w:p>
    <w:p w14:paraId="5B7170F1" w14:textId="77777777" w:rsidR="0027752E" w:rsidRDefault="0027752E" w:rsidP="007F7857">
      <w:pPr>
        <w:rPr>
          <w:szCs w:val="20"/>
          <w:lang w:eastAsia="en-US"/>
        </w:rPr>
      </w:pPr>
    </w:p>
    <w:p w14:paraId="2A06C5E3" w14:textId="77777777" w:rsidR="00A00FEF" w:rsidRPr="00026CA0" w:rsidRDefault="00A00FEF" w:rsidP="007F7857">
      <w:pPr>
        <w:rPr>
          <w:szCs w:val="20"/>
          <w:lang w:eastAsia="en-US"/>
        </w:rPr>
      </w:pPr>
      <w:bookmarkStart w:id="215" w:name="_Hlk44495335"/>
      <w:r w:rsidRPr="007B28E5">
        <w:rPr>
          <w:szCs w:val="20"/>
          <w:lang w:eastAsia="en-US"/>
        </w:rPr>
        <w:t>Employers</w:t>
      </w:r>
      <w:r w:rsidRPr="00EC06E7">
        <w:rPr>
          <w:szCs w:val="20"/>
          <w:lang w:eastAsia="en-US"/>
        </w:rPr>
        <w:t xml:space="preserve"> are paying additional contributions over 1</w:t>
      </w:r>
      <w:r w:rsidR="006D1EBF" w:rsidRPr="00EC06E7">
        <w:rPr>
          <w:szCs w:val="20"/>
          <w:lang w:eastAsia="en-US"/>
        </w:rPr>
        <w:t>6</w:t>
      </w:r>
      <w:r w:rsidRPr="00EC06E7">
        <w:rPr>
          <w:szCs w:val="20"/>
          <w:lang w:eastAsia="en-US"/>
        </w:rPr>
        <w:t xml:space="preserve"> years to meet the shortfall</w:t>
      </w:r>
      <w:r w:rsidRPr="00140283">
        <w:rPr>
          <w:szCs w:val="20"/>
          <w:lang w:eastAsia="en-US"/>
        </w:rPr>
        <w:t>.</w:t>
      </w:r>
      <w:r w:rsidR="00E13016" w:rsidRPr="00140283">
        <w:rPr>
          <w:szCs w:val="20"/>
          <w:lang w:eastAsia="en-US"/>
        </w:rPr>
        <w:t xml:space="preserve"> </w:t>
      </w:r>
      <w:r w:rsidR="00886665" w:rsidRPr="00140283">
        <w:rPr>
          <w:szCs w:val="20"/>
          <w:lang w:eastAsia="en-US"/>
        </w:rPr>
        <w:t xml:space="preserve">For </w:t>
      </w:r>
      <w:r w:rsidR="00454B0F" w:rsidRPr="00140283">
        <w:rPr>
          <w:szCs w:val="20"/>
          <w:lang w:eastAsia="en-US"/>
        </w:rPr>
        <w:t xml:space="preserve">the </w:t>
      </w:r>
      <w:proofErr w:type="gramStart"/>
      <w:r w:rsidR="00886665" w:rsidRPr="00140283">
        <w:rPr>
          <w:szCs w:val="20"/>
          <w:lang w:eastAsia="en-US"/>
        </w:rPr>
        <w:t>three year</w:t>
      </w:r>
      <w:proofErr w:type="gramEnd"/>
      <w:r w:rsidR="00886665" w:rsidRPr="00140283">
        <w:rPr>
          <w:szCs w:val="20"/>
          <w:lang w:eastAsia="en-US"/>
        </w:rPr>
        <w:t xml:space="preserve"> valuation period beginning 1</w:t>
      </w:r>
      <w:r w:rsidR="00886665" w:rsidRPr="00140283">
        <w:rPr>
          <w:szCs w:val="20"/>
          <w:vertAlign w:val="superscript"/>
          <w:lang w:eastAsia="en-US"/>
        </w:rPr>
        <w:t>st</w:t>
      </w:r>
      <w:r w:rsidR="00886665" w:rsidRPr="00140283">
        <w:rPr>
          <w:szCs w:val="20"/>
          <w:lang w:eastAsia="en-US"/>
        </w:rPr>
        <w:t xml:space="preserve"> April 2</w:t>
      </w:r>
      <w:r w:rsidR="0027752E">
        <w:rPr>
          <w:szCs w:val="20"/>
          <w:lang w:eastAsia="en-US"/>
        </w:rPr>
        <w:t>020</w:t>
      </w:r>
      <w:r w:rsidR="00886665" w:rsidRPr="00140283">
        <w:rPr>
          <w:szCs w:val="20"/>
          <w:lang w:eastAsia="en-US"/>
        </w:rPr>
        <w:t xml:space="preserve"> t</w:t>
      </w:r>
      <w:r w:rsidR="00C93CEB" w:rsidRPr="00140283">
        <w:rPr>
          <w:szCs w:val="20"/>
          <w:lang w:eastAsia="en-US"/>
        </w:rPr>
        <w:t xml:space="preserve">he </w:t>
      </w:r>
      <w:r w:rsidR="00DF0341">
        <w:rPr>
          <w:szCs w:val="20"/>
          <w:lang w:eastAsia="en-US"/>
        </w:rPr>
        <w:t>c</w:t>
      </w:r>
      <w:r w:rsidR="00C93CEB" w:rsidRPr="00140283">
        <w:rPr>
          <w:szCs w:val="20"/>
          <w:lang w:eastAsia="en-US"/>
        </w:rPr>
        <w:t>ouncil</w:t>
      </w:r>
      <w:r w:rsidR="006D1EBF" w:rsidRPr="00140283">
        <w:rPr>
          <w:szCs w:val="20"/>
          <w:lang w:eastAsia="en-US"/>
        </w:rPr>
        <w:t xml:space="preserve"> opted to </w:t>
      </w:r>
      <w:r w:rsidR="00886665" w:rsidRPr="00140283">
        <w:rPr>
          <w:szCs w:val="20"/>
          <w:lang w:eastAsia="en-US"/>
        </w:rPr>
        <w:t xml:space="preserve">pre-pay the new future service rate and </w:t>
      </w:r>
      <w:r w:rsidR="00886665" w:rsidRPr="00026CA0">
        <w:rPr>
          <w:szCs w:val="20"/>
          <w:lang w:eastAsia="en-US"/>
        </w:rPr>
        <w:t xml:space="preserve">deficit recovery payments </w:t>
      </w:r>
      <w:r w:rsidR="0079452B" w:rsidRPr="00026CA0">
        <w:rPr>
          <w:szCs w:val="20"/>
          <w:lang w:eastAsia="en-US"/>
        </w:rPr>
        <w:t>for the full</w:t>
      </w:r>
      <w:r w:rsidR="00886665" w:rsidRPr="00026CA0">
        <w:rPr>
          <w:szCs w:val="20"/>
          <w:lang w:eastAsia="en-US"/>
        </w:rPr>
        <w:t xml:space="preserve"> 3 year valuation period to 20</w:t>
      </w:r>
      <w:r w:rsidR="0079452B" w:rsidRPr="00026CA0">
        <w:rPr>
          <w:szCs w:val="20"/>
          <w:lang w:eastAsia="en-US"/>
        </w:rPr>
        <w:t>22</w:t>
      </w:r>
      <w:r w:rsidR="00886665" w:rsidRPr="00026CA0">
        <w:rPr>
          <w:szCs w:val="20"/>
          <w:lang w:eastAsia="en-US"/>
        </w:rPr>
        <w:t>/</w:t>
      </w:r>
      <w:r w:rsidR="0079452B" w:rsidRPr="00026CA0">
        <w:rPr>
          <w:szCs w:val="20"/>
          <w:lang w:eastAsia="en-US"/>
        </w:rPr>
        <w:t>23</w:t>
      </w:r>
      <w:r w:rsidR="00F379C6" w:rsidRPr="00026CA0">
        <w:rPr>
          <w:szCs w:val="20"/>
          <w:lang w:eastAsia="en-US"/>
        </w:rPr>
        <w:t xml:space="preserve"> in return for a small overall discount</w:t>
      </w:r>
      <w:r w:rsidR="006D1EBF" w:rsidRPr="00026CA0">
        <w:rPr>
          <w:szCs w:val="20"/>
          <w:lang w:eastAsia="en-US"/>
        </w:rPr>
        <w:t>.</w:t>
      </w:r>
      <w:r w:rsidR="00C93CEB" w:rsidRPr="00026CA0">
        <w:rPr>
          <w:szCs w:val="20"/>
          <w:lang w:eastAsia="en-US"/>
        </w:rPr>
        <w:t xml:space="preserve"> The discounted sum paid in April 20</w:t>
      </w:r>
      <w:r w:rsidR="0079452B" w:rsidRPr="00026CA0">
        <w:rPr>
          <w:szCs w:val="20"/>
          <w:lang w:eastAsia="en-US"/>
        </w:rPr>
        <w:t>20</w:t>
      </w:r>
      <w:r w:rsidR="00C93CEB" w:rsidRPr="00026CA0">
        <w:rPr>
          <w:szCs w:val="20"/>
          <w:lang w:eastAsia="en-US"/>
        </w:rPr>
        <w:t xml:space="preserve"> was £</w:t>
      </w:r>
      <w:r w:rsidR="0079452B" w:rsidRPr="00026CA0">
        <w:rPr>
          <w:szCs w:val="20"/>
          <w:lang w:eastAsia="en-US"/>
        </w:rPr>
        <w:t>3</w:t>
      </w:r>
      <w:r w:rsidR="00C93CEB" w:rsidRPr="00026CA0">
        <w:rPr>
          <w:szCs w:val="20"/>
          <w:lang w:eastAsia="en-US"/>
        </w:rPr>
        <w:t>.</w:t>
      </w:r>
      <w:r w:rsidR="0079452B" w:rsidRPr="00026CA0">
        <w:rPr>
          <w:szCs w:val="20"/>
          <w:lang w:eastAsia="en-US"/>
        </w:rPr>
        <w:t>434</w:t>
      </w:r>
      <w:r w:rsidR="00C93CEB" w:rsidRPr="00026CA0">
        <w:rPr>
          <w:szCs w:val="20"/>
          <w:lang w:eastAsia="en-US"/>
        </w:rPr>
        <w:t xml:space="preserve">m for the future service rate and </w:t>
      </w:r>
      <w:r w:rsidR="007B28E5" w:rsidRPr="00026CA0">
        <w:rPr>
          <w:szCs w:val="20"/>
          <w:lang w:eastAsia="en-US"/>
        </w:rPr>
        <w:t>£0.</w:t>
      </w:r>
      <w:r w:rsidR="0079452B" w:rsidRPr="00026CA0">
        <w:rPr>
          <w:szCs w:val="20"/>
          <w:lang w:eastAsia="en-US"/>
        </w:rPr>
        <w:t>21</w:t>
      </w:r>
      <w:r w:rsidR="00C93CEB" w:rsidRPr="00026CA0">
        <w:rPr>
          <w:szCs w:val="20"/>
          <w:lang w:eastAsia="en-US"/>
        </w:rPr>
        <w:t>7m for the deficit recovery sum</w:t>
      </w:r>
      <w:r w:rsidR="0079452B" w:rsidRPr="00026CA0">
        <w:rPr>
          <w:szCs w:val="20"/>
          <w:lang w:eastAsia="en-US"/>
        </w:rPr>
        <w:t>, of which £1.144m future service rate and £0.072m deficit recovery relate to the 2020/21 financial year</w:t>
      </w:r>
      <w:r w:rsidR="00C93CEB" w:rsidRPr="00026CA0">
        <w:rPr>
          <w:szCs w:val="20"/>
          <w:lang w:eastAsia="en-US"/>
        </w:rPr>
        <w:t>.</w:t>
      </w:r>
    </w:p>
    <w:bookmarkEnd w:id="215"/>
    <w:p w14:paraId="60E2645D" w14:textId="77777777" w:rsidR="00A86637" w:rsidRPr="00026CA0" w:rsidRDefault="00A86637" w:rsidP="007F7857">
      <w:pPr>
        <w:rPr>
          <w:szCs w:val="20"/>
          <w:lang w:eastAsia="en-US"/>
        </w:rPr>
      </w:pPr>
    </w:p>
    <w:p w14:paraId="683127E3" w14:textId="77777777" w:rsidR="00A00FEF" w:rsidRPr="00EC06E7" w:rsidRDefault="00A00FEF" w:rsidP="007F7857">
      <w:pPr>
        <w:rPr>
          <w:szCs w:val="20"/>
          <w:lang w:eastAsia="en-US"/>
        </w:rPr>
      </w:pPr>
    </w:p>
    <w:p w14:paraId="40D42314" w14:textId="77777777" w:rsidR="00A00FEF" w:rsidRPr="00EC06E7" w:rsidRDefault="008F20F4" w:rsidP="007F7857">
      <w:pPr>
        <w:rPr>
          <w:b/>
          <w:szCs w:val="20"/>
          <w:lang w:eastAsia="en-US"/>
        </w:rPr>
      </w:pPr>
      <w:r w:rsidRPr="00EC06E7">
        <w:rPr>
          <w:b/>
          <w:szCs w:val="20"/>
          <w:lang w:eastAsia="en-US"/>
        </w:rPr>
        <w:t>3</w:t>
      </w:r>
      <w:r w:rsidR="0060443D" w:rsidRPr="00EC06E7">
        <w:rPr>
          <w:b/>
          <w:szCs w:val="20"/>
          <w:lang w:eastAsia="en-US"/>
        </w:rPr>
        <w:t>7</w:t>
      </w:r>
      <w:r w:rsidR="00A00FEF" w:rsidRPr="00EC06E7">
        <w:rPr>
          <w:b/>
          <w:szCs w:val="20"/>
          <w:lang w:eastAsia="en-US"/>
        </w:rPr>
        <w:t>c Risks</w:t>
      </w:r>
    </w:p>
    <w:p w14:paraId="25529A86" w14:textId="77777777" w:rsidR="00446814" w:rsidRPr="00EC06E7" w:rsidRDefault="00446814" w:rsidP="007F7857">
      <w:pPr>
        <w:rPr>
          <w:b/>
          <w:szCs w:val="20"/>
          <w:lang w:eastAsia="en-US"/>
        </w:rPr>
      </w:pPr>
    </w:p>
    <w:p w14:paraId="6CFEBB80" w14:textId="77777777" w:rsidR="00A00FEF" w:rsidRPr="00EC06E7" w:rsidRDefault="00A00FEF" w:rsidP="007F7857">
      <w:pPr>
        <w:rPr>
          <w:szCs w:val="20"/>
          <w:lang w:eastAsia="en-US"/>
        </w:rPr>
      </w:pPr>
      <w:r w:rsidRPr="00EC06E7">
        <w:rPr>
          <w:szCs w:val="20"/>
          <w:lang w:eastAsia="en-US"/>
        </w:rPr>
        <w:t>The primary risk is that the Fund’s assets will, in the long-term, fall short of its liabilities to pay benefits to members.</w:t>
      </w:r>
    </w:p>
    <w:p w14:paraId="036C1FE1" w14:textId="77777777" w:rsidR="00A00FEF" w:rsidRPr="00EC06E7" w:rsidRDefault="00A00FEF" w:rsidP="007F7857">
      <w:pPr>
        <w:rPr>
          <w:szCs w:val="20"/>
          <w:lang w:eastAsia="en-US"/>
        </w:rPr>
      </w:pPr>
    </w:p>
    <w:p w14:paraId="660FB04F" w14:textId="77777777" w:rsidR="00A00FEF" w:rsidRPr="00EC06E7" w:rsidRDefault="00A00FEF" w:rsidP="007F7857">
      <w:pPr>
        <w:rPr>
          <w:szCs w:val="20"/>
          <w:lang w:eastAsia="en-US"/>
        </w:rPr>
      </w:pPr>
      <w:r w:rsidRPr="00EC06E7">
        <w:rPr>
          <w:szCs w:val="20"/>
          <w:lang w:eastAsia="en-US"/>
        </w:rPr>
        <w:t>Investment risk management seeks to balance the maximisation of the opportunity for gain and minimise the risk of loss, on the fund’s investments. The Fund achieves this through asset diversification to reduce exposure to market risk (price risk, currency risk, and interest rate risk), by ensuring counterparties meet credit criteria, and that investments are within the limits set by the investment strategy.</w:t>
      </w:r>
    </w:p>
    <w:p w14:paraId="02EBC209" w14:textId="77777777" w:rsidR="00A00FEF" w:rsidRPr="00EC06E7" w:rsidRDefault="00A00FEF" w:rsidP="007F7857">
      <w:pPr>
        <w:rPr>
          <w:szCs w:val="20"/>
          <w:lang w:eastAsia="en-US"/>
        </w:rPr>
      </w:pPr>
    </w:p>
    <w:p w14:paraId="297F85FF" w14:textId="77777777" w:rsidR="00A00FEF" w:rsidRPr="00EC06E7" w:rsidRDefault="00A00FEF" w:rsidP="007F7857">
      <w:pPr>
        <w:rPr>
          <w:szCs w:val="20"/>
          <w:lang w:eastAsia="en-US"/>
        </w:rPr>
      </w:pPr>
      <w:r w:rsidRPr="00EC06E7">
        <w:rPr>
          <w:szCs w:val="20"/>
          <w:lang w:eastAsia="en-US"/>
        </w:rPr>
        <w:t xml:space="preserve">Other risks - The fund managers </w:t>
      </w:r>
      <w:proofErr w:type="gramStart"/>
      <w:r w:rsidRPr="00EC06E7">
        <w:rPr>
          <w:szCs w:val="20"/>
          <w:lang w:eastAsia="en-US"/>
        </w:rPr>
        <w:t>have to</w:t>
      </w:r>
      <w:proofErr w:type="gramEnd"/>
      <w:r w:rsidRPr="00EC06E7">
        <w:rPr>
          <w:szCs w:val="20"/>
          <w:lang w:eastAsia="en-US"/>
        </w:rPr>
        <w:t xml:space="preserve"> ensure that the fund has adequate liquidity to meet its obligations as they arise. They must also be sensitive to any actions of government or changes in European legislation which might affect funding requirements.</w:t>
      </w:r>
    </w:p>
    <w:p w14:paraId="1C44605B" w14:textId="77777777" w:rsidR="00A00FEF" w:rsidRPr="00EC06E7" w:rsidRDefault="00A00FEF" w:rsidP="007F7857">
      <w:pPr>
        <w:rPr>
          <w:szCs w:val="20"/>
          <w:lang w:eastAsia="en-US"/>
        </w:rPr>
      </w:pPr>
    </w:p>
    <w:p w14:paraId="06314FF0" w14:textId="601639FA" w:rsidR="00A00FEF" w:rsidRPr="00EC06E7" w:rsidRDefault="00A00FEF" w:rsidP="007F7857">
      <w:pPr>
        <w:rPr>
          <w:szCs w:val="20"/>
          <w:lang w:eastAsia="en-US"/>
        </w:rPr>
      </w:pPr>
      <w:r w:rsidRPr="00EC06E7">
        <w:rPr>
          <w:szCs w:val="20"/>
          <w:lang w:eastAsia="en-US"/>
        </w:rPr>
        <w:t>Sensitivity to these r</w:t>
      </w:r>
      <w:r w:rsidR="0068798F" w:rsidRPr="00EC06E7">
        <w:rPr>
          <w:szCs w:val="20"/>
          <w:lang w:eastAsia="en-US"/>
        </w:rPr>
        <w:t xml:space="preserve">isks is estimated in paragraph </w:t>
      </w:r>
      <w:r w:rsidR="00454B0F" w:rsidRPr="00EC06E7">
        <w:rPr>
          <w:szCs w:val="20"/>
          <w:lang w:eastAsia="en-US"/>
        </w:rPr>
        <w:fldChar w:fldCharType="begin"/>
      </w:r>
      <w:r w:rsidR="00454B0F" w:rsidRPr="00EC06E7">
        <w:rPr>
          <w:szCs w:val="20"/>
          <w:lang w:eastAsia="en-US"/>
        </w:rPr>
        <w:instrText xml:space="preserve"> REF _Ref483395076 \r \h  \* MERGEFORMAT </w:instrText>
      </w:r>
      <w:r w:rsidR="00454B0F" w:rsidRPr="00EC06E7">
        <w:rPr>
          <w:szCs w:val="20"/>
          <w:lang w:eastAsia="en-US"/>
        </w:rPr>
      </w:r>
      <w:r w:rsidR="00454B0F" w:rsidRPr="00EC06E7">
        <w:rPr>
          <w:szCs w:val="20"/>
          <w:lang w:eastAsia="en-US"/>
        </w:rPr>
        <w:fldChar w:fldCharType="separate"/>
      </w:r>
      <w:r w:rsidR="000F49D2">
        <w:rPr>
          <w:szCs w:val="20"/>
          <w:lang w:eastAsia="en-US"/>
        </w:rPr>
        <w:t>37</w:t>
      </w:r>
      <w:r w:rsidR="00454B0F" w:rsidRPr="00EC06E7">
        <w:rPr>
          <w:szCs w:val="20"/>
          <w:lang w:eastAsia="en-US"/>
        </w:rPr>
        <w:fldChar w:fldCharType="end"/>
      </w:r>
      <w:r w:rsidRPr="00EC06E7">
        <w:rPr>
          <w:szCs w:val="20"/>
          <w:lang w:eastAsia="en-US"/>
        </w:rPr>
        <w:t>i.</w:t>
      </w:r>
    </w:p>
    <w:p w14:paraId="2CD46B9A" w14:textId="77777777" w:rsidR="00446814" w:rsidRPr="00EC06E7" w:rsidRDefault="00446814" w:rsidP="007F7857">
      <w:pPr>
        <w:rPr>
          <w:szCs w:val="20"/>
          <w:lang w:eastAsia="en-US"/>
        </w:rPr>
      </w:pPr>
    </w:p>
    <w:p w14:paraId="0478260A" w14:textId="77777777" w:rsidR="00621304" w:rsidRDefault="00621304">
      <w:pPr>
        <w:jc w:val="left"/>
        <w:rPr>
          <w:b/>
          <w:szCs w:val="20"/>
          <w:lang w:eastAsia="en-US"/>
        </w:rPr>
      </w:pPr>
      <w:r>
        <w:rPr>
          <w:b/>
          <w:szCs w:val="20"/>
          <w:lang w:eastAsia="en-US"/>
        </w:rPr>
        <w:br w:type="page"/>
      </w:r>
    </w:p>
    <w:p w14:paraId="6C30BC5F" w14:textId="2CCE6151" w:rsidR="00A00FEF" w:rsidRPr="00EC06E7" w:rsidRDefault="008F20F4" w:rsidP="007F7857">
      <w:pPr>
        <w:rPr>
          <w:b/>
          <w:szCs w:val="20"/>
          <w:lang w:eastAsia="en-US"/>
        </w:rPr>
      </w:pPr>
      <w:r w:rsidRPr="00EC06E7">
        <w:rPr>
          <w:b/>
          <w:szCs w:val="20"/>
          <w:lang w:eastAsia="en-US"/>
        </w:rPr>
        <w:t>3</w:t>
      </w:r>
      <w:r w:rsidR="0060443D" w:rsidRPr="00EC06E7">
        <w:rPr>
          <w:b/>
          <w:szCs w:val="20"/>
          <w:lang w:eastAsia="en-US"/>
        </w:rPr>
        <w:t>7</w:t>
      </w:r>
      <w:r w:rsidR="00A00FEF" w:rsidRPr="00EC06E7">
        <w:rPr>
          <w:b/>
          <w:szCs w:val="20"/>
          <w:lang w:eastAsia="en-US"/>
        </w:rPr>
        <w:t>d Transactions relating to retirement benefits</w:t>
      </w:r>
    </w:p>
    <w:p w14:paraId="24B78904" w14:textId="77777777" w:rsidR="00A00FEF" w:rsidRPr="00EC06E7" w:rsidRDefault="00A00FEF" w:rsidP="007F7857">
      <w:pPr>
        <w:rPr>
          <w:b/>
          <w:szCs w:val="20"/>
          <w:lang w:eastAsia="en-US"/>
        </w:rPr>
      </w:pPr>
    </w:p>
    <w:p w14:paraId="301025B6" w14:textId="77777777" w:rsidR="00BE5C89" w:rsidRDefault="00A00FEF" w:rsidP="007F7857">
      <w:pPr>
        <w:rPr>
          <w:szCs w:val="20"/>
          <w:lang w:eastAsia="en-US"/>
        </w:rPr>
      </w:pPr>
      <w:r w:rsidRPr="00EC06E7">
        <w:rPr>
          <w:szCs w:val="20"/>
          <w:lang w:eastAsia="en-US"/>
        </w:rPr>
        <w:t xml:space="preserve">The </w:t>
      </w:r>
      <w:r w:rsidR="00DF0341">
        <w:rPr>
          <w:szCs w:val="20"/>
          <w:lang w:eastAsia="en-US"/>
        </w:rPr>
        <w:t>c</w:t>
      </w:r>
      <w:r w:rsidRPr="00EC06E7">
        <w:rPr>
          <w:szCs w:val="20"/>
          <w:lang w:eastAsia="en-US"/>
        </w:rPr>
        <w:t>ouncil recognises the cost of retirement benefits in the revenue account in the Cost of Services, when they are earned by employees, rather than when the benefits are actually paid as pensions.  However, the charge required to be made against council tax is based on the cash payable to the fund during the year. An adjustment is therefore made to the General Fund via the Movement in Reserves Statement. The following table shows the transactions made in the Comprehensive Income and Expenditure Statement and the General Fund Balance via the Movement in Reserves Statement during the year:</w:t>
      </w:r>
    </w:p>
    <w:p w14:paraId="768386FD" w14:textId="3EA16598" w:rsidR="00BE5C89" w:rsidRDefault="00BE5C89" w:rsidP="007F7857">
      <w:pPr>
        <w:rPr>
          <w:szCs w:val="20"/>
          <w:lang w:eastAsia="en-US"/>
        </w:rPr>
      </w:pPr>
    </w:p>
    <w:p w14:paraId="50C34BC3" w14:textId="49C6E451" w:rsidR="00191CFE" w:rsidRDefault="00B40F4D" w:rsidP="007F7857">
      <w:pPr>
        <w:rPr>
          <w:szCs w:val="20"/>
          <w:lang w:eastAsia="en-US"/>
        </w:rPr>
      </w:pPr>
      <w:r>
        <w:rPr>
          <w:szCs w:val="20"/>
          <w:lang w:eastAsia="en-US"/>
        </w:rPr>
        <w:fldChar w:fldCharType="begin"/>
      </w:r>
      <w:r>
        <w:rPr>
          <w:szCs w:val="20"/>
          <w:lang w:eastAsia="en-US"/>
        </w:rPr>
        <w:instrText xml:space="preserve"> LINK Excel.Sheet.12 "\\\\alpha\\accounts$\\CLOSURE\\Closure 20-21\\04 SoA Working Papers\\37 Defined Pension Scheme\\Note 37 Pensions 2020-21.xlsx!Embedded Table 37d!R2C1:R28C3" "" \a \p </w:instrText>
      </w:r>
      <w:r>
        <w:rPr>
          <w:szCs w:val="20"/>
          <w:lang w:eastAsia="en-US"/>
        </w:rPr>
        <w:fldChar w:fldCharType="separate"/>
      </w:r>
      <w:r w:rsidR="001C71EF">
        <w:rPr>
          <w:szCs w:val="20"/>
          <w:lang w:eastAsia="en-US"/>
        </w:rPr>
        <w:object w:dxaOrig="10995" w:dyaOrig="9844" w14:anchorId="66772452">
          <v:shape id="_x0000_i1080" type="#_x0000_t75" style="width:482.25pt;height:496.55pt" o:ole="">
            <v:imagedata r:id="rId107" o:title=""/>
            <o:lock v:ext="edit" aspectratio="f"/>
          </v:shape>
        </w:object>
      </w:r>
      <w:r>
        <w:rPr>
          <w:szCs w:val="20"/>
          <w:lang w:eastAsia="en-US"/>
        </w:rPr>
        <w:fldChar w:fldCharType="end"/>
      </w:r>
    </w:p>
    <w:p w14:paraId="47DB4ED6" w14:textId="77777777" w:rsidR="00191CFE" w:rsidRDefault="00191CFE" w:rsidP="007F7857">
      <w:pPr>
        <w:rPr>
          <w:szCs w:val="20"/>
          <w:lang w:eastAsia="en-US"/>
        </w:rPr>
      </w:pPr>
    </w:p>
    <w:p w14:paraId="19B6D1CA" w14:textId="77777777" w:rsidR="00621304" w:rsidRDefault="00621304">
      <w:pPr>
        <w:jc w:val="left"/>
        <w:rPr>
          <w:b/>
          <w:szCs w:val="20"/>
          <w:lang w:eastAsia="en-US"/>
        </w:rPr>
      </w:pPr>
      <w:r>
        <w:rPr>
          <w:b/>
          <w:szCs w:val="20"/>
          <w:lang w:eastAsia="en-US"/>
        </w:rPr>
        <w:br w:type="page"/>
      </w:r>
    </w:p>
    <w:p w14:paraId="2F4AAD4A" w14:textId="1057F74C" w:rsidR="00A00FEF" w:rsidRPr="00BE5C89" w:rsidRDefault="008F20F4" w:rsidP="00454B0F">
      <w:pPr>
        <w:jc w:val="left"/>
        <w:rPr>
          <w:rFonts w:cs="Courier New"/>
          <w:szCs w:val="22"/>
        </w:rPr>
      </w:pPr>
      <w:r w:rsidRPr="00EC06E7">
        <w:rPr>
          <w:b/>
          <w:szCs w:val="20"/>
          <w:lang w:eastAsia="en-US"/>
        </w:rPr>
        <w:t>3</w:t>
      </w:r>
      <w:r w:rsidR="0060443D" w:rsidRPr="00EC06E7">
        <w:rPr>
          <w:b/>
          <w:szCs w:val="20"/>
          <w:lang w:eastAsia="en-US"/>
        </w:rPr>
        <w:t>7</w:t>
      </w:r>
      <w:r w:rsidR="00A00FEF" w:rsidRPr="00EC06E7">
        <w:rPr>
          <w:b/>
          <w:szCs w:val="20"/>
          <w:lang w:eastAsia="en-US"/>
        </w:rPr>
        <w:t>e Pension assets and liabilities recognised in the balance sheet</w:t>
      </w:r>
    </w:p>
    <w:p w14:paraId="5EE6BF88" w14:textId="77777777" w:rsidR="00601A4A" w:rsidRPr="00EC06E7" w:rsidRDefault="00601A4A" w:rsidP="007F7857">
      <w:pPr>
        <w:rPr>
          <w:szCs w:val="20"/>
          <w:lang w:eastAsia="en-US"/>
        </w:rPr>
      </w:pPr>
    </w:p>
    <w:p w14:paraId="554EA177" w14:textId="77777777" w:rsidR="00454B0F" w:rsidRDefault="00A00FEF" w:rsidP="007F7857">
      <w:pPr>
        <w:rPr>
          <w:szCs w:val="20"/>
          <w:lang w:eastAsia="en-US"/>
        </w:rPr>
      </w:pPr>
      <w:r w:rsidRPr="00EC06E7">
        <w:rPr>
          <w:szCs w:val="20"/>
          <w:lang w:eastAsia="en-US"/>
        </w:rPr>
        <w:t>The amount included in the balance sheet arising from the Authority’s obligation in respect of its defined benefit plans is as follows</w:t>
      </w:r>
    </w:p>
    <w:p w14:paraId="449542FF" w14:textId="28F67558" w:rsidR="001422EA" w:rsidRDefault="001422EA" w:rsidP="007F7857">
      <w:pPr>
        <w:rPr>
          <w:szCs w:val="20"/>
          <w:lang w:eastAsia="en-US"/>
        </w:rPr>
      </w:pPr>
    </w:p>
    <w:p w14:paraId="12007CF3" w14:textId="20B57A14" w:rsidR="00B00ABD" w:rsidRDefault="00B40F4D" w:rsidP="007F7857">
      <w:pPr>
        <w:rPr>
          <w:szCs w:val="20"/>
          <w:lang w:eastAsia="en-US"/>
        </w:rPr>
      </w:pPr>
      <w:r>
        <w:rPr>
          <w:szCs w:val="20"/>
          <w:lang w:eastAsia="en-US"/>
        </w:rPr>
        <w:fldChar w:fldCharType="begin"/>
      </w:r>
      <w:r>
        <w:rPr>
          <w:szCs w:val="20"/>
          <w:lang w:eastAsia="en-US"/>
        </w:rPr>
        <w:instrText xml:space="preserve"> LINK Excel.Sheet.12 "\\\\alpha\\accounts$\\CLOSURE\\Closure 20-21\\04 SoA Working Papers\\37 Defined Pension Scheme\\Note 37 Pensions 2020-21.xlsx!Embedded Table 37e!R4C1:R11C3" "" \a \p </w:instrText>
      </w:r>
      <w:r>
        <w:rPr>
          <w:szCs w:val="20"/>
          <w:lang w:eastAsia="en-US"/>
        </w:rPr>
        <w:fldChar w:fldCharType="separate"/>
      </w:r>
      <w:r w:rsidR="001C71EF">
        <w:rPr>
          <w:szCs w:val="20"/>
          <w:lang w:eastAsia="en-US"/>
        </w:rPr>
        <w:object w:dxaOrig="10995" w:dyaOrig="2509" w14:anchorId="4C572638">
          <v:shape id="_x0000_i1081" type="#_x0000_t75" style="width:482.25pt;height:122.25pt" o:ole="">
            <v:imagedata r:id="rId108" o:title=""/>
            <o:lock v:ext="edit" aspectratio="f"/>
          </v:shape>
        </w:object>
      </w:r>
      <w:r>
        <w:rPr>
          <w:szCs w:val="20"/>
          <w:lang w:eastAsia="en-US"/>
        </w:rPr>
        <w:fldChar w:fldCharType="end"/>
      </w:r>
    </w:p>
    <w:p w14:paraId="494AD6A1" w14:textId="77777777" w:rsidR="00B00ABD" w:rsidRDefault="00B00ABD" w:rsidP="007F7857">
      <w:pPr>
        <w:rPr>
          <w:szCs w:val="20"/>
          <w:lang w:eastAsia="en-US"/>
        </w:rPr>
      </w:pPr>
    </w:p>
    <w:p w14:paraId="539305FF" w14:textId="77777777" w:rsidR="00A00FEF" w:rsidRPr="00EC06E7" w:rsidRDefault="008F20F4" w:rsidP="007F7857">
      <w:pPr>
        <w:rPr>
          <w:b/>
          <w:szCs w:val="20"/>
          <w:lang w:eastAsia="en-US"/>
        </w:rPr>
      </w:pPr>
      <w:r w:rsidRPr="00EC06E7">
        <w:rPr>
          <w:b/>
          <w:szCs w:val="20"/>
          <w:lang w:eastAsia="en-US"/>
        </w:rPr>
        <w:t>3</w:t>
      </w:r>
      <w:r w:rsidR="0060443D" w:rsidRPr="00EC06E7">
        <w:rPr>
          <w:b/>
          <w:szCs w:val="20"/>
          <w:lang w:eastAsia="en-US"/>
        </w:rPr>
        <w:t>7</w:t>
      </w:r>
      <w:r w:rsidR="00A00FEF" w:rsidRPr="00EC06E7">
        <w:rPr>
          <w:b/>
          <w:szCs w:val="20"/>
          <w:lang w:eastAsia="en-US"/>
        </w:rPr>
        <w:t>f Reconciliation of fair value of the scheme (plan) assets</w:t>
      </w:r>
    </w:p>
    <w:p w14:paraId="4A59F64E" w14:textId="1A4B8F5D" w:rsidR="00A00FEF" w:rsidRDefault="00A00FEF" w:rsidP="007E2D1B">
      <w:pPr>
        <w:rPr>
          <w:lang w:eastAsia="en-US"/>
        </w:rPr>
      </w:pPr>
    </w:p>
    <w:p w14:paraId="5FC79EF3" w14:textId="57BA12D5" w:rsidR="00B40F4D" w:rsidRDefault="00B40F4D" w:rsidP="007E2D1B">
      <w:pPr>
        <w:rPr>
          <w:lang w:eastAsia="en-US"/>
        </w:rPr>
      </w:pPr>
      <w:r>
        <w:rPr>
          <w:lang w:eastAsia="en-US"/>
        </w:rPr>
        <w:fldChar w:fldCharType="begin"/>
      </w:r>
      <w:r>
        <w:rPr>
          <w:lang w:eastAsia="en-US"/>
        </w:rPr>
        <w:instrText xml:space="preserve"> LINK Excel.Sheet.12 "\\\\alpha\\accounts$\\CLOSURE\\Closure 20-21\\04 SoA Working Papers\\37 Defined Pension Scheme\\Note 37 Pensions 2020-21.xlsx!Embedded Table 37f!R4C1:R19C4" "" \a \p </w:instrText>
      </w:r>
      <w:r>
        <w:rPr>
          <w:lang w:eastAsia="en-US"/>
        </w:rPr>
        <w:fldChar w:fldCharType="separate"/>
      </w:r>
      <w:r w:rsidR="001C71EF">
        <w:rPr>
          <w:lang w:eastAsia="en-US"/>
        </w:rPr>
        <w:object w:dxaOrig="11077" w:dyaOrig="5289" w14:anchorId="03DBC9E7">
          <v:shape id="_x0000_i1082" type="#_x0000_t75" style="width:482.25pt;height:266.25pt" o:ole="">
            <v:imagedata r:id="rId109" o:title=""/>
            <o:lock v:ext="edit" aspectratio="f"/>
          </v:shape>
        </w:object>
      </w:r>
      <w:r>
        <w:rPr>
          <w:lang w:eastAsia="en-US"/>
        </w:rPr>
        <w:fldChar w:fldCharType="end"/>
      </w:r>
    </w:p>
    <w:p w14:paraId="465DF9CC" w14:textId="77777777" w:rsidR="00B40F4D" w:rsidRDefault="00B40F4D" w:rsidP="007E2D1B">
      <w:pPr>
        <w:rPr>
          <w:lang w:eastAsia="en-US"/>
        </w:rPr>
      </w:pPr>
    </w:p>
    <w:p w14:paraId="26830B6E" w14:textId="682A5C37" w:rsidR="0018239C" w:rsidRPr="00EC06E7" w:rsidRDefault="0018239C" w:rsidP="007E2D1B">
      <w:pPr>
        <w:rPr>
          <w:lang w:eastAsia="en-US"/>
        </w:rPr>
      </w:pPr>
      <w:r w:rsidRPr="00400975">
        <w:rPr>
          <w:lang w:eastAsia="en-US"/>
        </w:rPr>
        <w:t>The actual return on the</w:t>
      </w:r>
      <w:r w:rsidR="00524FD5" w:rsidRPr="00400975">
        <w:rPr>
          <w:lang w:eastAsia="en-US"/>
        </w:rPr>
        <w:t xml:space="preserve"> plan assets was £</w:t>
      </w:r>
      <w:r w:rsidR="000F4CDA" w:rsidRPr="00400975">
        <w:rPr>
          <w:lang w:eastAsia="en-US"/>
        </w:rPr>
        <w:t>10</w:t>
      </w:r>
      <w:r w:rsidR="00D56E75" w:rsidRPr="00400975">
        <w:rPr>
          <w:lang w:eastAsia="en-US"/>
        </w:rPr>
        <w:t>.</w:t>
      </w:r>
      <w:r w:rsidR="000F4CDA" w:rsidRPr="00400975">
        <w:rPr>
          <w:lang w:eastAsia="en-US"/>
        </w:rPr>
        <w:t>182</w:t>
      </w:r>
      <w:r w:rsidR="00D56E75" w:rsidRPr="00400975">
        <w:rPr>
          <w:lang w:eastAsia="en-US"/>
        </w:rPr>
        <w:t>m</w:t>
      </w:r>
      <w:r w:rsidR="00524FD5" w:rsidRPr="00400975">
        <w:rPr>
          <w:lang w:eastAsia="en-US"/>
        </w:rPr>
        <w:t xml:space="preserve"> in </w:t>
      </w:r>
      <w:r w:rsidR="00C363EC" w:rsidRPr="00400975">
        <w:rPr>
          <w:lang w:eastAsia="en-US"/>
        </w:rPr>
        <w:t>20</w:t>
      </w:r>
      <w:r w:rsidR="00507DC4" w:rsidRPr="00400975">
        <w:rPr>
          <w:lang w:eastAsia="en-US"/>
        </w:rPr>
        <w:t>20</w:t>
      </w:r>
      <w:r w:rsidR="00C363EC" w:rsidRPr="00400975">
        <w:rPr>
          <w:lang w:eastAsia="en-US"/>
        </w:rPr>
        <w:t>/2</w:t>
      </w:r>
      <w:r w:rsidR="00507DC4" w:rsidRPr="00400975">
        <w:rPr>
          <w:lang w:eastAsia="en-US"/>
        </w:rPr>
        <w:t>1</w:t>
      </w:r>
      <w:r w:rsidR="00524FD5" w:rsidRPr="00400975">
        <w:rPr>
          <w:lang w:eastAsia="en-US"/>
        </w:rPr>
        <w:t xml:space="preserve"> </w:t>
      </w:r>
      <w:r w:rsidR="00507DC4" w:rsidRPr="00400975">
        <w:rPr>
          <w:lang w:eastAsia="en-US"/>
        </w:rPr>
        <w:t>(£0.733m</w:t>
      </w:r>
      <w:r w:rsidR="00524FD5" w:rsidRPr="00400975">
        <w:rPr>
          <w:lang w:eastAsia="en-US"/>
        </w:rPr>
        <w:t xml:space="preserve"> </w:t>
      </w:r>
      <w:r w:rsidR="00C363EC" w:rsidRPr="00400975">
        <w:rPr>
          <w:lang w:eastAsia="en-US"/>
        </w:rPr>
        <w:t>201</w:t>
      </w:r>
      <w:r w:rsidR="00507DC4" w:rsidRPr="00400975">
        <w:rPr>
          <w:lang w:eastAsia="en-US"/>
        </w:rPr>
        <w:t>9</w:t>
      </w:r>
      <w:r w:rsidR="00C363EC" w:rsidRPr="00400975">
        <w:rPr>
          <w:lang w:eastAsia="en-US"/>
        </w:rPr>
        <w:t>/</w:t>
      </w:r>
      <w:r w:rsidR="00507DC4" w:rsidRPr="00400975">
        <w:rPr>
          <w:lang w:eastAsia="en-US"/>
        </w:rPr>
        <w:t>20</w:t>
      </w:r>
      <w:r w:rsidRPr="00400975">
        <w:rPr>
          <w:lang w:eastAsia="en-US"/>
        </w:rPr>
        <w:t>).</w:t>
      </w:r>
      <w:r w:rsidRPr="00EC06E7">
        <w:rPr>
          <w:lang w:eastAsia="en-US"/>
        </w:rPr>
        <w:t xml:space="preserve"> </w:t>
      </w:r>
    </w:p>
    <w:p w14:paraId="0C5A39D4" w14:textId="77777777" w:rsidR="00480033" w:rsidRPr="00854F7A" w:rsidRDefault="00480033" w:rsidP="007E2D1B">
      <w:pPr>
        <w:rPr>
          <w:lang w:eastAsia="en-US"/>
        </w:rPr>
      </w:pPr>
    </w:p>
    <w:p w14:paraId="03D742B0" w14:textId="77777777" w:rsidR="00454B0F" w:rsidRPr="00854F7A" w:rsidRDefault="00454B0F" w:rsidP="007E2D1B">
      <w:pPr>
        <w:rPr>
          <w:lang w:eastAsia="en-US"/>
        </w:rPr>
      </w:pPr>
    </w:p>
    <w:p w14:paraId="7426082A" w14:textId="77777777" w:rsidR="00854F7A" w:rsidRDefault="00854F7A">
      <w:pPr>
        <w:jc w:val="left"/>
        <w:rPr>
          <w:b/>
          <w:szCs w:val="20"/>
          <w:lang w:eastAsia="en-US"/>
        </w:rPr>
      </w:pPr>
      <w:r>
        <w:rPr>
          <w:b/>
          <w:szCs w:val="20"/>
          <w:lang w:eastAsia="en-US"/>
        </w:rPr>
        <w:br w:type="page"/>
      </w:r>
    </w:p>
    <w:p w14:paraId="7214363B" w14:textId="77777777" w:rsidR="00A00FEF" w:rsidRPr="00EC06E7" w:rsidRDefault="00CD748A" w:rsidP="00454B0F">
      <w:pPr>
        <w:jc w:val="left"/>
        <w:rPr>
          <w:b/>
          <w:szCs w:val="20"/>
          <w:lang w:eastAsia="en-US"/>
        </w:rPr>
      </w:pPr>
      <w:r w:rsidRPr="00EC06E7">
        <w:rPr>
          <w:b/>
          <w:szCs w:val="20"/>
          <w:lang w:eastAsia="en-US"/>
        </w:rPr>
        <w:t>3</w:t>
      </w:r>
      <w:r w:rsidR="0060443D" w:rsidRPr="00EC06E7">
        <w:rPr>
          <w:b/>
          <w:szCs w:val="20"/>
          <w:lang w:eastAsia="en-US"/>
        </w:rPr>
        <w:t>7</w:t>
      </w:r>
      <w:r w:rsidR="00A00FEF" w:rsidRPr="00EC06E7">
        <w:rPr>
          <w:b/>
          <w:szCs w:val="20"/>
          <w:lang w:eastAsia="en-US"/>
        </w:rPr>
        <w:t>g Reconciliation of present value of the scheme liabilities (defined benefit obligation)</w:t>
      </w:r>
    </w:p>
    <w:p w14:paraId="0C7162C2" w14:textId="1A1A584F" w:rsidR="00DB2836" w:rsidRDefault="00DB2836" w:rsidP="007F7857">
      <w:pPr>
        <w:rPr>
          <w:sz w:val="20"/>
          <w:szCs w:val="20"/>
          <w:lang w:eastAsia="en-US"/>
        </w:rPr>
      </w:pPr>
    </w:p>
    <w:p w14:paraId="7FBA932E" w14:textId="33DA16CD" w:rsidR="003F20B9" w:rsidRDefault="00084526" w:rsidP="007F7857">
      <w:pPr>
        <w:rPr>
          <w:sz w:val="20"/>
          <w:szCs w:val="20"/>
          <w:lang w:eastAsia="en-US"/>
        </w:rPr>
      </w:pPr>
      <w:r>
        <w:rPr>
          <w:sz w:val="20"/>
          <w:szCs w:val="20"/>
          <w:lang w:eastAsia="en-US"/>
        </w:rPr>
        <w:fldChar w:fldCharType="begin"/>
      </w:r>
      <w:r>
        <w:rPr>
          <w:sz w:val="20"/>
          <w:szCs w:val="20"/>
          <w:lang w:eastAsia="en-US"/>
        </w:rPr>
        <w:instrText xml:space="preserve"> LINK Excel.Sheet.12 "\\\\alpha\\accounts$\\CLOSURE\\Closure 20-21\\04 SoA Working Papers\\37 Defined Pension Scheme\\Note 37 Pensions 2020-21.xlsx!Embedded Table 37g!R4C2:R20C4" "" \a \p </w:instrText>
      </w:r>
      <w:r>
        <w:rPr>
          <w:sz w:val="20"/>
          <w:szCs w:val="20"/>
          <w:lang w:eastAsia="en-US"/>
        </w:rPr>
        <w:fldChar w:fldCharType="separate"/>
      </w:r>
      <w:r w:rsidR="001C71EF">
        <w:rPr>
          <w:sz w:val="20"/>
          <w:szCs w:val="20"/>
          <w:lang w:eastAsia="en-US"/>
        </w:rPr>
        <w:object w:dxaOrig="10995" w:dyaOrig="4987" w14:anchorId="30066F83">
          <v:shape id="_x0000_i1083" type="#_x0000_t75" style="width:474.8pt;height:252pt" o:ole="">
            <v:imagedata r:id="rId110" o:title=""/>
            <o:lock v:ext="edit" aspectratio="f"/>
          </v:shape>
        </w:object>
      </w:r>
      <w:r>
        <w:rPr>
          <w:sz w:val="20"/>
          <w:szCs w:val="20"/>
          <w:lang w:eastAsia="en-US"/>
        </w:rPr>
        <w:fldChar w:fldCharType="end"/>
      </w:r>
    </w:p>
    <w:p w14:paraId="1A62E077" w14:textId="77777777" w:rsidR="003F20B9" w:rsidRDefault="003F20B9" w:rsidP="007F7857">
      <w:pPr>
        <w:rPr>
          <w:sz w:val="20"/>
          <w:szCs w:val="20"/>
          <w:lang w:eastAsia="en-US"/>
        </w:rPr>
      </w:pPr>
    </w:p>
    <w:p w14:paraId="4512E447" w14:textId="77777777" w:rsidR="0074533F" w:rsidRDefault="0074533F">
      <w:pPr>
        <w:jc w:val="left"/>
        <w:rPr>
          <w:b/>
          <w:szCs w:val="22"/>
          <w:lang w:eastAsia="en-US"/>
        </w:rPr>
      </w:pPr>
      <w:r>
        <w:rPr>
          <w:b/>
          <w:szCs w:val="22"/>
          <w:lang w:eastAsia="en-US"/>
        </w:rPr>
        <w:br w:type="page"/>
      </w:r>
    </w:p>
    <w:p w14:paraId="00CC56BB" w14:textId="77777777" w:rsidR="00A00FEF" w:rsidRPr="00EC06E7" w:rsidRDefault="008F20F4" w:rsidP="00D46325">
      <w:pPr>
        <w:jc w:val="left"/>
        <w:rPr>
          <w:b/>
          <w:szCs w:val="22"/>
          <w:lang w:eastAsia="en-US"/>
        </w:rPr>
      </w:pPr>
      <w:r w:rsidRPr="00EC06E7">
        <w:rPr>
          <w:b/>
          <w:szCs w:val="22"/>
          <w:lang w:eastAsia="en-US"/>
        </w:rPr>
        <w:t>3</w:t>
      </w:r>
      <w:r w:rsidR="0060443D" w:rsidRPr="00EC06E7">
        <w:rPr>
          <w:b/>
          <w:szCs w:val="22"/>
          <w:lang w:eastAsia="en-US"/>
        </w:rPr>
        <w:t>7</w:t>
      </w:r>
      <w:r w:rsidR="00A00FEF" w:rsidRPr="00EC06E7">
        <w:rPr>
          <w:b/>
          <w:szCs w:val="22"/>
          <w:lang w:eastAsia="en-US"/>
        </w:rPr>
        <w:t>h Local Government Pension Scheme assets comprised</w:t>
      </w:r>
    </w:p>
    <w:p w14:paraId="3A27FCBB" w14:textId="09D3A683" w:rsidR="00A00FEF" w:rsidRDefault="00A00FEF" w:rsidP="007E2D1B">
      <w:pPr>
        <w:rPr>
          <w:lang w:eastAsia="en-US"/>
        </w:rPr>
      </w:pPr>
    </w:p>
    <w:p w14:paraId="17A7B281" w14:textId="2408E645" w:rsidR="00084526" w:rsidRDefault="004B1CDE" w:rsidP="007E2D1B">
      <w:pPr>
        <w:rPr>
          <w:lang w:eastAsia="en-US"/>
        </w:rPr>
      </w:pPr>
      <w:r>
        <w:rPr>
          <w:lang w:eastAsia="en-US"/>
        </w:rPr>
        <w:fldChar w:fldCharType="begin"/>
      </w:r>
      <w:r>
        <w:rPr>
          <w:lang w:eastAsia="en-US"/>
        </w:rPr>
        <w:instrText xml:space="preserve"> LINK Excel.Sheet.12 "\\\\alpha\\accounts$\\CLOSURE\\Closure 20-21\\04 SoA Working Papers\\37 Defined Pension Scheme\\Note 37 Pensions 2020-21.xlsx!Embedded Table 37h!R2C1:R38C5" "" \a \p </w:instrText>
      </w:r>
      <w:r>
        <w:rPr>
          <w:lang w:eastAsia="en-US"/>
        </w:rPr>
        <w:fldChar w:fldCharType="separate"/>
      </w:r>
      <w:r w:rsidR="001C71EF">
        <w:rPr>
          <w:lang w:eastAsia="en-US"/>
        </w:rPr>
        <w:object w:dxaOrig="9511" w:dyaOrig="10958" w14:anchorId="197EE7FB">
          <v:shape id="_x0000_i1084" type="#_x0000_t75" style="width:410.25pt;height:554.25pt" o:ole="">
            <v:imagedata r:id="rId111" o:title=""/>
            <o:lock v:ext="edit" aspectratio="f"/>
          </v:shape>
        </w:object>
      </w:r>
      <w:r>
        <w:rPr>
          <w:lang w:eastAsia="en-US"/>
        </w:rPr>
        <w:fldChar w:fldCharType="end"/>
      </w:r>
    </w:p>
    <w:p w14:paraId="672F57B2" w14:textId="77777777" w:rsidR="00084526" w:rsidRDefault="00084526" w:rsidP="007E2D1B">
      <w:pPr>
        <w:rPr>
          <w:lang w:eastAsia="en-US"/>
        </w:rPr>
      </w:pPr>
    </w:p>
    <w:p w14:paraId="67D18EE3" w14:textId="77777777" w:rsidR="00A00FEF" w:rsidRPr="00EC06E7" w:rsidRDefault="00A00FEF" w:rsidP="00A00FEF">
      <w:pPr>
        <w:ind w:left="720" w:hanging="720"/>
        <w:rPr>
          <w:sz w:val="20"/>
          <w:szCs w:val="20"/>
          <w:lang w:eastAsia="en-US"/>
        </w:rPr>
      </w:pPr>
    </w:p>
    <w:p w14:paraId="6D639AAA" w14:textId="77777777" w:rsidR="0060443D" w:rsidRPr="00EC06E7" w:rsidRDefault="0060443D">
      <w:pPr>
        <w:jc w:val="left"/>
        <w:rPr>
          <w:b/>
          <w:szCs w:val="20"/>
          <w:lang w:eastAsia="en-US"/>
        </w:rPr>
      </w:pPr>
      <w:r w:rsidRPr="00EC06E7">
        <w:rPr>
          <w:b/>
          <w:szCs w:val="20"/>
          <w:lang w:eastAsia="en-US"/>
        </w:rPr>
        <w:br w:type="page"/>
      </w:r>
    </w:p>
    <w:p w14:paraId="213163CC" w14:textId="77777777" w:rsidR="00A00FEF" w:rsidRPr="00EC06E7" w:rsidRDefault="008F20F4" w:rsidP="007F7857">
      <w:pPr>
        <w:rPr>
          <w:b/>
          <w:szCs w:val="20"/>
          <w:lang w:eastAsia="en-US"/>
        </w:rPr>
      </w:pPr>
      <w:r w:rsidRPr="00EC06E7">
        <w:rPr>
          <w:b/>
          <w:szCs w:val="20"/>
          <w:lang w:eastAsia="en-US"/>
        </w:rPr>
        <w:t>3</w:t>
      </w:r>
      <w:r w:rsidR="0060443D" w:rsidRPr="00EC06E7">
        <w:rPr>
          <w:b/>
          <w:szCs w:val="20"/>
          <w:lang w:eastAsia="en-US"/>
        </w:rPr>
        <w:t>7</w:t>
      </w:r>
      <w:r w:rsidR="00A00FEF" w:rsidRPr="00EC06E7">
        <w:rPr>
          <w:b/>
          <w:szCs w:val="20"/>
          <w:lang w:eastAsia="en-US"/>
        </w:rPr>
        <w:t>i Basis for estimating assets and liabilities</w:t>
      </w:r>
    </w:p>
    <w:p w14:paraId="7ECE3C48" w14:textId="77777777" w:rsidR="00A00FEF" w:rsidRPr="00EC06E7" w:rsidRDefault="00A00FEF" w:rsidP="007F7857">
      <w:pPr>
        <w:rPr>
          <w:b/>
          <w:szCs w:val="20"/>
          <w:lang w:eastAsia="en-US"/>
        </w:rPr>
      </w:pPr>
    </w:p>
    <w:p w14:paraId="48EB98AE" w14:textId="54D33037" w:rsidR="00A00FEF" w:rsidRPr="00EC06E7" w:rsidRDefault="00A00FEF" w:rsidP="007F7857">
      <w:pPr>
        <w:rPr>
          <w:szCs w:val="20"/>
          <w:lang w:eastAsia="en-US"/>
        </w:rPr>
      </w:pPr>
      <w:r w:rsidRPr="00EC06E7">
        <w:rPr>
          <w:szCs w:val="20"/>
          <w:lang w:eastAsia="en-US"/>
        </w:rPr>
        <w:t>Liabilities have been assessed on an actuarial basis using the projected unit credit method, an estimate of the pensions that will be payable in future years dependent on assumptions about mortality rates, salary levels etc.  The liabilities have been assessed by Mercer</w:t>
      </w:r>
      <w:r w:rsidR="00397A64">
        <w:rPr>
          <w:szCs w:val="20"/>
          <w:lang w:eastAsia="en-US"/>
        </w:rPr>
        <w:t xml:space="preserve"> Limited</w:t>
      </w:r>
      <w:r w:rsidRPr="00EC06E7">
        <w:rPr>
          <w:szCs w:val="20"/>
          <w:lang w:eastAsia="en-US"/>
        </w:rPr>
        <w:t>, an independent firm of actuaries. Estimates for the County Council Fund are based on the latest valuation</w:t>
      </w:r>
      <w:r w:rsidR="00530FC2">
        <w:rPr>
          <w:szCs w:val="20"/>
          <w:lang w:eastAsia="en-US"/>
        </w:rPr>
        <w:t>s</w:t>
      </w:r>
      <w:r w:rsidRPr="00EC06E7">
        <w:rPr>
          <w:szCs w:val="20"/>
          <w:lang w:eastAsia="en-US"/>
        </w:rPr>
        <w:t xml:space="preserve"> as at </w:t>
      </w:r>
      <w:r w:rsidR="00425E82">
        <w:rPr>
          <w:szCs w:val="20"/>
          <w:lang w:eastAsia="en-US"/>
        </w:rPr>
        <w:t xml:space="preserve">31 </w:t>
      </w:r>
      <w:r w:rsidR="00425E82" w:rsidRPr="008C69F5">
        <w:rPr>
          <w:szCs w:val="20"/>
          <w:lang w:eastAsia="en-US"/>
        </w:rPr>
        <w:t>March 20</w:t>
      </w:r>
      <w:r w:rsidR="003073CA" w:rsidRPr="008C69F5">
        <w:rPr>
          <w:szCs w:val="20"/>
          <w:lang w:eastAsia="en-US"/>
        </w:rPr>
        <w:t>2</w:t>
      </w:r>
      <w:r w:rsidR="00530FC2">
        <w:rPr>
          <w:szCs w:val="20"/>
          <w:lang w:eastAsia="en-US"/>
        </w:rPr>
        <w:t>1</w:t>
      </w:r>
      <w:r w:rsidRPr="008C69F5">
        <w:rPr>
          <w:szCs w:val="20"/>
          <w:lang w:eastAsia="en-US"/>
        </w:rPr>
        <w:t>.</w:t>
      </w:r>
    </w:p>
    <w:p w14:paraId="114D353D" w14:textId="77777777" w:rsidR="00364379" w:rsidRPr="00EC06E7" w:rsidRDefault="00364379" w:rsidP="007F7857">
      <w:pPr>
        <w:rPr>
          <w:szCs w:val="20"/>
          <w:lang w:eastAsia="en-US"/>
        </w:rPr>
      </w:pPr>
    </w:p>
    <w:p w14:paraId="5A001975" w14:textId="77777777" w:rsidR="00A00FEF" w:rsidRPr="00EC06E7" w:rsidRDefault="00A00FEF" w:rsidP="007F7857">
      <w:pPr>
        <w:rPr>
          <w:szCs w:val="20"/>
          <w:lang w:eastAsia="en-US"/>
        </w:rPr>
      </w:pPr>
      <w:r w:rsidRPr="00EC06E7">
        <w:rPr>
          <w:szCs w:val="20"/>
          <w:lang w:eastAsia="en-US"/>
        </w:rPr>
        <w:t xml:space="preserve">The main assumptions used in their calculations have been as </w:t>
      </w:r>
      <w:proofErr w:type="gramStart"/>
      <w:r w:rsidRPr="00EC06E7">
        <w:rPr>
          <w:szCs w:val="20"/>
          <w:lang w:eastAsia="en-US"/>
        </w:rPr>
        <w:t>follows:</w:t>
      </w:r>
      <w:r w:rsidR="00364379" w:rsidRPr="00EC06E7">
        <w:rPr>
          <w:szCs w:val="20"/>
          <w:lang w:eastAsia="en-US"/>
        </w:rPr>
        <w:t>-</w:t>
      </w:r>
      <w:proofErr w:type="gramEnd"/>
    </w:p>
    <w:p w14:paraId="50DD9577" w14:textId="4F386875" w:rsidR="0060443D" w:rsidRDefault="0060443D" w:rsidP="007F7857">
      <w:pPr>
        <w:rPr>
          <w:rFonts w:cs="Courier New"/>
          <w:szCs w:val="22"/>
        </w:rPr>
      </w:pPr>
    </w:p>
    <w:p w14:paraId="420C2300" w14:textId="51E55CFD" w:rsidR="00887A4E" w:rsidRDefault="002240D2" w:rsidP="007F7857">
      <w:pPr>
        <w:rPr>
          <w:rFonts w:cs="Courier New"/>
          <w:szCs w:val="22"/>
        </w:rPr>
      </w:pPr>
      <w:r>
        <w:rPr>
          <w:rFonts w:cs="Courier New"/>
          <w:szCs w:val="22"/>
        </w:rPr>
        <w:fldChar w:fldCharType="begin"/>
      </w:r>
      <w:r>
        <w:rPr>
          <w:rFonts w:cs="Courier New"/>
          <w:szCs w:val="22"/>
        </w:rPr>
        <w:instrText xml:space="preserve"> LINK Excel.Sheet.12 "\\\\alpha\\accounts$\\CLOSURE\\Closure 20-21\\04 SoA Working Papers\\37 Defined Pension Scheme\\Note 37 Pensions 2020-21.xlsx!Embedded Table 37i (1)!R2C2:R17C4" "" \a \p </w:instrText>
      </w:r>
      <w:r>
        <w:rPr>
          <w:rFonts w:cs="Courier New"/>
          <w:szCs w:val="22"/>
        </w:rPr>
        <w:fldChar w:fldCharType="separate"/>
      </w:r>
      <w:r w:rsidR="001C71EF">
        <w:rPr>
          <w:rFonts w:cs="Courier New"/>
          <w:szCs w:val="22"/>
        </w:rPr>
        <w:object w:dxaOrig="9853" w:dyaOrig="4510" w14:anchorId="64276A8C">
          <v:shape id="_x0000_i1085" type="#_x0000_t75" style="width:6in;height:230.25pt" o:ole="">
            <v:imagedata r:id="rId112" o:title=""/>
            <o:lock v:ext="edit" aspectratio="f"/>
          </v:shape>
        </w:object>
      </w:r>
      <w:r>
        <w:rPr>
          <w:rFonts w:cs="Courier New"/>
          <w:szCs w:val="22"/>
        </w:rPr>
        <w:fldChar w:fldCharType="end"/>
      </w:r>
    </w:p>
    <w:p w14:paraId="45583AAF" w14:textId="77777777" w:rsidR="00887A4E" w:rsidRDefault="00887A4E" w:rsidP="007F7857">
      <w:pPr>
        <w:rPr>
          <w:rFonts w:cs="Courier New"/>
          <w:szCs w:val="22"/>
        </w:rPr>
      </w:pPr>
    </w:p>
    <w:p w14:paraId="1B1B41D5" w14:textId="77777777" w:rsidR="00A00FEF" w:rsidRPr="00EC06E7" w:rsidRDefault="00A00FEF" w:rsidP="007F7857">
      <w:pPr>
        <w:rPr>
          <w:rFonts w:cs="Courier New"/>
          <w:szCs w:val="22"/>
        </w:rPr>
      </w:pPr>
      <w:r w:rsidRPr="00EC06E7">
        <w:rPr>
          <w:rFonts w:cs="Courier New"/>
          <w:szCs w:val="22"/>
        </w:rPr>
        <w:t>The estimation of the defined benefit obligations is sensitive to the actuarial assumptions set out in the table above. The sensitivity analyses below have been determined based on reasonably possible changes in the assumptions occurring at the end of the reporting period, and for each assumption assumes that other factors remain unchanged.</w:t>
      </w:r>
    </w:p>
    <w:p w14:paraId="7FB957E0" w14:textId="379C02E1" w:rsidR="0060443D" w:rsidRDefault="0060443D" w:rsidP="007F7857">
      <w:pPr>
        <w:rPr>
          <w:rFonts w:cs="Courier New"/>
          <w:szCs w:val="22"/>
        </w:rPr>
      </w:pPr>
    </w:p>
    <w:p w14:paraId="77273A57" w14:textId="1CFFABFA" w:rsidR="00887A4E" w:rsidRDefault="002240D2" w:rsidP="007F7857">
      <w:pPr>
        <w:rPr>
          <w:rFonts w:cs="Courier New"/>
          <w:szCs w:val="22"/>
        </w:rPr>
      </w:pPr>
      <w:r>
        <w:rPr>
          <w:rFonts w:cs="Courier New"/>
          <w:szCs w:val="22"/>
        </w:rPr>
        <w:fldChar w:fldCharType="begin"/>
      </w:r>
      <w:r>
        <w:rPr>
          <w:rFonts w:cs="Courier New"/>
          <w:szCs w:val="22"/>
        </w:rPr>
        <w:instrText xml:space="preserve"> LINK Excel.Sheet.12 "\\\\alpha\\accounts$\\CLOSURE\\Closure 20-21\\04 SoA Working Papers\\37 Defined Pension Scheme\\Note 37 Pensions 2020-21.xlsx!Embedded Table 37i (2)!R2C1:R9C2" "" \a \p </w:instrText>
      </w:r>
      <w:r>
        <w:rPr>
          <w:rFonts w:cs="Courier New"/>
          <w:szCs w:val="22"/>
        </w:rPr>
        <w:fldChar w:fldCharType="separate"/>
      </w:r>
      <w:r w:rsidR="001C71EF">
        <w:rPr>
          <w:rFonts w:cs="Courier New"/>
          <w:szCs w:val="22"/>
        </w:rPr>
        <w:object w:dxaOrig="9773" w:dyaOrig="2667" w14:anchorId="2457879A">
          <v:shape id="_x0000_i1086" type="#_x0000_t75" style="width:424.55pt;height:136.55pt" o:ole="">
            <v:imagedata r:id="rId113" o:title=""/>
            <o:lock v:ext="edit" aspectratio="f"/>
          </v:shape>
        </w:object>
      </w:r>
      <w:r>
        <w:rPr>
          <w:rFonts w:cs="Courier New"/>
          <w:szCs w:val="22"/>
        </w:rPr>
        <w:fldChar w:fldCharType="end"/>
      </w:r>
    </w:p>
    <w:p w14:paraId="1AA4053A" w14:textId="77777777" w:rsidR="00887A4E" w:rsidRDefault="00887A4E" w:rsidP="007F7857">
      <w:pPr>
        <w:rPr>
          <w:rFonts w:cs="Courier New"/>
          <w:szCs w:val="22"/>
        </w:rPr>
      </w:pPr>
    </w:p>
    <w:p w14:paraId="69B8EDEE" w14:textId="77777777" w:rsidR="006A6CCA" w:rsidRPr="00EC06E7" w:rsidRDefault="006A6CCA" w:rsidP="007F7857">
      <w:pPr>
        <w:rPr>
          <w:rFonts w:cs="Courier New"/>
          <w:szCs w:val="22"/>
        </w:rPr>
      </w:pPr>
    </w:p>
    <w:p w14:paraId="768CAAB6" w14:textId="77777777" w:rsidR="0023100A" w:rsidRPr="00EC06E7" w:rsidRDefault="0023100A">
      <w:pPr>
        <w:rPr>
          <w:b/>
          <w:szCs w:val="20"/>
          <w:lang w:eastAsia="en-US"/>
        </w:rPr>
      </w:pPr>
      <w:r w:rsidRPr="00EC06E7">
        <w:rPr>
          <w:b/>
          <w:szCs w:val="20"/>
          <w:lang w:eastAsia="en-US"/>
        </w:rPr>
        <w:br w:type="page"/>
      </w:r>
    </w:p>
    <w:p w14:paraId="0D7DED80" w14:textId="77777777" w:rsidR="00796260" w:rsidRPr="00EC06E7" w:rsidRDefault="008F20F4" w:rsidP="007F7857">
      <w:pPr>
        <w:rPr>
          <w:b/>
          <w:szCs w:val="20"/>
          <w:lang w:eastAsia="en-US"/>
        </w:rPr>
      </w:pPr>
      <w:r w:rsidRPr="00EC06E7">
        <w:rPr>
          <w:b/>
          <w:szCs w:val="20"/>
          <w:lang w:eastAsia="en-US"/>
        </w:rPr>
        <w:t>3</w:t>
      </w:r>
      <w:r w:rsidR="0060443D" w:rsidRPr="00EC06E7">
        <w:rPr>
          <w:b/>
          <w:szCs w:val="20"/>
          <w:lang w:eastAsia="en-US"/>
        </w:rPr>
        <w:t>7</w:t>
      </w:r>
      <w:r w:rsidR="001D288C" w:rsidRPr="00EC06E7">
        <w:rPr>
          <w:b/>
          <w:szCs w:val="20"/>
          <w:lang w:eastAsia="en-US"/>
        </w:rPr>
        <w:t xml:space="preserve">j </w:t>
      </w:r>
      <w:r w:rsidR="00796260" w:rsidRPr="00EC06E7">
        <w:rPr>
          <w:b/>
          <w:szCs w:val="20"/>
          <w:lang w:eastAsia="en-US"/>
        </w:rPr>
        <w:t>Impact on the Authority’s</w:t>
      </w:r>
      <w:r w:rsidR="001D288C" w:rsidRPr="00EC06E7">
        <w:rPr>
          <w:b/>
          <w:szCs w:val="20"/>
          <w:lang w:eastAsia="en-US"/>
        </w:rPr>
        <w:t xml:space="preserve"> Future</w:t>
      </w:r>
      <w:r w:rsidR="00796260" w:rsidRPr="00EC06E7">
        <w:rPr>
          <w:b/>
          <w:szCs w:val="20"/>
          <w:lang w:eastAsia="en-US"/>
        </w:rPr>
        <w:t xml:space="preserve"> Cash Flows</w:t>
      </w:r>
    </w:p>
    <w:p w14:paraId="330CF1D6" w14:textId="77777777" w:rsidR="001D288C" w:rsidRPr="00EC06E7" w:rsidRDefault="001D288C" w:rsidP="007F7857">
      <w:pPr>
        <w:rPr>
          <w:rFonts w:cs="Courier New"/>
          <w:szCs w:val="22"/>
        </w:rPr>
      </w:pPr>
    </w:p>
    <w:p w14:paraId="12A66A46" w14:textId="77777777" w:rsidR="001D288C" w:rsidRPr="00EC06E7" w:rsidRDefault="001D288C" w:rsidP="007F7857">
      <w:pPr>
        <w:rPr>
          <w:rFonts w:cs="Courier New"/>
          <w:szCs w:val="22"/>
        </w:rPr>
      </w:pPr>
      <w:r w:rsidRPr="00EC06E7">
        <w:rPr>
          <w:rFonts w:cs="Courier New"/>
          <w:szCs w:val="22"/>
        </w:rPr>
        <w:t xml:space="preserve">The objectives of the scheme are to keep employers’ contributions at as constant </w:t>
      </w:r>
      <w:r w:rsidR="00300A42">
        <w:rPr>
          <w:rFonts w:cs="Courier New"/>
          <w:szCs w:val="22"/>
        </w:rPr>
        <w:t xml:space="preserve">a </w:t>
      </w:r>
      <w:r w:rsidRPr="00EC06E7">
        <w:rPr>
          <w:rFonts w:cs="Courier New"/>
          <w:szCs w:val="22"/>
        </w:rPr>
        <w:t>rate as possible. The County Council has agreed a strategy with the scheme’s actuary to achieve a funding level of 100</w:t>
      </w:r>
      <w:r w:rsidR="00BA1471" w:rsidRPr="00EC06E7">
        <w:rPr>
          <w:rFonts w:cs="Courier New"/>
          <w:szCs w:val="22"/>
        </w:rPr>
        <w:t>% over 16</w:t>
      </w:r>
      <w:r w:rsidRPr="00EC06E7">
        <w:rPr>
          <w:rFonts w:cs="Courier New"/>
          <w:szCs w:val="22"/>
        </w:rPr>
        <w:t xml:space="preserve"> years.  Funding levels are monitored on an annual basis. The next triennial valuation </w:t>
      </w:r>
      <w:r w:rsidR="00EF592A" w:rsidRPr="00EC06E7">
        <w:rPr>
          <w:rFonts w:cs="Courier New"/>
          <w:szCs w:val="22"/>
        </w:rPr>
        <w:t xml:space="preserve">of the Fund </w:t>
      </w:r>
      <w:r w:rsidRPr="00EC06E7">
        <w:rPr>
          <w:rFonts w:cs="Courier New"/>
          <w:szCs w:val="22"/>
        </w:rPr>
        <w:t xml:space="preserve">is due </w:t>
      </w:r>
      <w:r w:rsidR="00EF592A" w:rsidRPr="00EC06E7">
        <w:rPr>
          <w:rFonts w:cs="Courier New"/>
          <w:szCs w:val="22"/>
        </w:rPr>
        <w:t>as at</w:t>
      </w:r>
      <w:r w:rsidRPr="00EC06E7">
        <w:rPr>
          <w:rFonts w:cs="Courier New"/>
          <w:szCs w:val="22"/>
        </w:rPr>
        <w:t xml:space="preserve"> </w:t>
      </w:r>
      <w:r w:rsidR="00E04A59">
        <w:rPr>
          <w:rFonts w:cs="Courier New"/>
          <w:szCs w:val="22"/>
        </w:rPr>
        <w:t>the 31st March 2022</w:t>
      </w:r>
      <w:r w:rsidRPr="00EC06E7">
        <w:rPr>
          <w:rFonts w:cs="Courier New"/>
          <w:szCs w:val="22"/>
        </w:rPr>
        <w:t>.</w:t>
      </w:r>
      <w:r w:rsidR="00EF592A" w:rsidRPr="00EC06E7">
        <w:rPr>
          <w:rFonts w:cs="Courier New"/>
          <w:szCs w:val="22"/>
        </w:rPr>
        <w:t xml:space="preserve"> Based on the results of that valuation, the contribution rates payable by the individual employers will be revised</w:t>
      </w:r>
      <w:r w:rsidR="00E04A59">
        <w:rPr>
          <w:rFonts w:cs="Courier New"/>
          <w:szCs w:val="22"/>
        </w:rPr>
        <w:t xml:space="preserve"> with effect from 1 April 2023</w:t>
      </w:r>
      <w:r w:rsidR="00EF592A" w:rsidRPr="00EC06E7">
        <w:rPr>
          <w:rFonts w:cs="Courier New"/>
          <w:szCs w:val="22"/>
        </w:rPr>
        <w:t>.</w:t>
      </w:r>
    </w:p>
    <w:p w14:paraId="1547B681" w14:textId="77777777" w:rsidR="001D288C" w:rsidRPr="00EC06E7" w:rsidRDefault="001D288C" w:rsidP="007F7857">
      <w:pPr>
        <w:rPr>
          <w:rFonts w:cs="Courier New"/>
          <w:szCs w:val="22"/>
        </w:rPr>
      </w:pPr>
    </w:p>
    <w:p w14:paraId="7B3139BE" w14:textId="77777777" w:rsidR="001D288C" w:rsidRPr="00EC06E7" w:rsidRDefault="001D288C" w:rsidP="007F7857">
      <w:pPr>
        <w:rPr>
          <w:rFonts w:cs="Courier New"/>
          <w:szCs w:val="22"/>
        </w:rPr>
      </w:pPr>
      <w:r w:rsidRPr="00EC06E7">
        <w:rPr>
          <w:rFonts w:cs="Courier New"/>
          <w:szCs w:val="22"/>
        </w:rPr>
        <w:t xml:space="preserve">The scheme will need to take account of the national changes </w:t>
      </w:r>
      <w:r w:rsidR="00300A42">
        <w:rPr>
          <w:rFonts w:cs="Courier New"/>
          <w:szCs w:val="22"/>
        </w:rPr>
        <w:t>made</w:t>
      </w:r>
      <w:r w:rsidRPr="00EC06E7">
        <w:rPr>
          <w:rFonts w:cs="Courier New"/>
          <w:szCs w:val="22"/>
        </w:rPr>
        <w:t xml:space="preserve"> under the Public Pensions Services Act 2013. Under the Act, the Local Government Pension Scheme in England and Wales and the other main existing public service schemes may not provide benefits in relation to service after 31st March 2014. The Act provides for scheme regulations to be made within a common framework, to establish new career average revalued earnings schemes to pay pensions and other benefits to certain public servants. </w:t>
      </w:r>
    </w:p>
    <w:p w14:paraId="2A8127C9" w14:textId="77777777" w:rsidR="001D288C" w:rsidRPr="00EC06E7" w:rsidRDefault="001D288C" w:rsidP="007F7857">
      <w:pPr>
        <w:rPr>
          <w:rFonts w:cs="Courier New"/>
          <w:szCs w:val="22"/>
        </w:rPr>
      </w:pPr>
    </w:p>
    <w:p w14:paraId="37E003F1" w14:textId="2312D44B" w:rsidR="001D288C" w:rsidRPr="00EC06E7" w:rsidRDefault="001D288C" w:rsidP="007F7857">
      <w:pPr>
        <w:rPr>
          <w:rFonts w:cs="Courier New"/>
          <w:szCs w:val="22"/>
        </w:rPr>
      </w:pPr>
      <w:r w:rsidRPr="00EC06E7">
        <w:rPr>
          <w:rFonts w:cs="Courier New"/>
          <w:szCs w:val="22"/>
        </w:rPr>
        <w:t xml:space="preserve">The authority anticipates paying </w:t>
      </w:r>
      <w:r w:rsidRPr="00140283">
        <w:rPr>
          <w:rFonts w:cs="Courier New"/>
          <w:szCs w:val="22"/>
        </w:rPr>
        <w:t>£</w:t>
      </w:r>
      <w:r w:rsidR="00BA1471" w:rsidRPr="00140283">
        <w:rPr>
          <w:rFonts w:cs="Courier New"/>
          <w:szCs w:val="22"/>
        </w:rPr>
        <w:t>1</w:t>
      </w:r>
      <w:r w:rsidR="002F7FAD">
        <w:rPr>
          <w:rFonts w:cs="Courier New"/>
          <w:szCs w:val="22"/>
        </w:rPr>
        <w:t>.</w:t>
      </w:r>
      <w:r w:rsidR="000F4CDA">
        <w:rPr>
          <w:rFonts w:cs="Courier New"/>
          <w:szCs w:val="22"/>
        </w:rPr>
        <w:t>144</w:t>
      </w:r>
      <w:r w:rsidR="002F7FAD">
        <w:rPr>
          <w:rFonts w:cs="Courier New"/>
          <w:szCs w:val="22"/>
        </w:rPr>
        <w:t>m</w:t>
      </w:r>
      <w:r w:rsidRPr="00EC06E7">
        <w:rPr>
          <w:rFonts w:cs="Courier New"/>
          <w:szCs w:val="22"/>
        </w:rPr>
        <w:t xml:space="preserve"> expected con</w:t>
      </w:r>
      <w:r w:rsidR="00E13016" w:rsidRPr="00EC06E7">
        <w:rPr>
          <w:rFonts w:cs="Courier New"/>
          <w:szCs w:val="22"/>
        </w:rPr>
        <w:t xml:space="preserve">tributions to the scheme in </w:t>
      </w:r>
      <w:r w:rsidR="00E04A59">
        <w:rPr>
          <w:rFonts w:cs="Courier New"/>
          <w:szCs w:val="22"/>
        </w:rPr>
        <w:t>202</w:t>
      </w:r>
      <w:r w:rsidR="000F4CDA">
        <w:rPr>
          <w:rFonts w:cs="Courier New"/>
          <w:szCs w:val="22"/>
        </w:rPr>
        <w:t>1</w:t>
      </w:r>
      <w:r w:rsidR="00E04A59">
        <w:rPr>
          <w:rFonts w:cs="Courier New"/>
          <w:szCs w:val="22"/>
        </w:rPr>
        <w:t>/</w:t>
      </w:r>
      <w:r w:rsidR="000F4CDA">
        <w:rPr>
          <w:rFonts w:cs="Courier New"/>
          <w:szCs w:val="22"/>
        </w:rPr>
        <w:t>22</w:t>
      </w:r>
      <w:r w:rsidRPr="00EC06E7">
        <w:rPr>
          <w:rFonts w:cs="Courier New"/>
          <w:szCs w:val="22"/>
        </w:rPr>
        <w:t xml:space="preserve">. </w:t>
      </w:r>
    </w:p>
    <w:p w14:paraId="2803F7B0" w14:textId="77777777" w:rsidR="001D288C" w:rsidRPr="00EC06E7" w:rsidRDefault="001D288C" w:rsidP="007F7857">
      <w:pPr>
        <w:rPr>
          <w:rFonts w:cs="Courier New"/>
          <w:szCs w:val="22"/>
        </w:rPr>
      </w:pPr>
    </w:p>
    <w:p w14:paraId="3B41EB30" w14:textId="77777777" w:rsidR="001D288C" w:rsidRPr="00EC06E7" w:rsidRDefault="001D288C" w:rsidP="007F7857">
      <w:pPr>
        <w:rPr>
          <w:rFonts w:cs="Courier New"/>
          <w:szCs w:val="22"/>
        </w:rPr>
      </w:pPr>
      <w:r w:rsidRPr="00EC06E7">
        <w:rPr>
          <w:rFonts w:cs="Courier New"/>
          <w:szCs w:val="22"/>
        </w:rPr>
        <w:t xml:space="preserve">The weighted average duration of the defined benefit obligation for scheme members is </w:t>
      </w:r>
      <w:r w:rsidRPr="00140283">
        <w:rPr>
          <w:rFonts w:cs="Courier New"/>
          <w:szCs w:val="22"/>
        </w:rPr>
        <w:t>1</w:t>
      </w:r>
      <w:r w:rsidR="00E04A59">
        <w:rPr>
          <w:rFonts w:cs="Courier New"/>
          <w:szCs w:val="22"/>
        </w:rPr>
        <w:t>6</w:t>
      </w:r>
      <w:r w:rsidRPr="00EC06E7">
        <w:rPr>
          <w:rFonts w:cs="Courier New"/>
          <w:szCs w:val="22"/>
        </w:rPr>
        <w:t xml:space="preserve"> years.</w:t>
      </w:r>
    </w:p>
    <w:p w14:paraId="6AE85884" w14:textId="77777777" w:rsidR="001D288C" w:rsidRPr="00EC06E7" w:rsidRDefault="001D288C" w:rsidP="007F7857">
      <w:pPr>
        <w:rPr>
          <w:szCs w:val="22"/>
        </w:rPr>
      </w:pPr>
    </w:p>
    <w:p w14:paraId="6E98B61D" w14:textId="77777777" w:rsidR="00435179" w:rsidRPr="00EC06E7" w:rsidRDefault="00435179" w:rsidP="007F7857">
      <w:pPr>
        <w:rPr>
          <w:szCs w:val="22"/>
        </w:rPr>
      </w:pPr>
    </w:p>
    <w:p w14:paraId="738F619B" w14:textId="3F89B85C" w:rsidR="004E5144" w:rsidRPr="00EC06E7" w:rsidRDefault="006E1448" w:rsidP="004E5A07">
      <w:pPr>
        <w:pStyle w:val="Heading2"/>
        <w:rPr>
          <w:rFonts w:eastAsia="Calibri"/>
        </w:rPr>
      </w:pPr>
      <w:bookmarkStart w:id="216" w:name="_Toc483391004"/>
      <w:bookmarkStart w:id="217" w:name="_Ref483393002"/>
      <w:bookmarkStart w:id="218" w:name="_Toc77603813"/>
      <w:r w:rsidRPr="00EC06E7">
        <w:rPr>
          <w:rFonts w:eastAsia="Calibri"/>
        </w:rPr>
        <w:t xml:space="preserve">Contingent </w:t>
      </w:r>
      <w:r w:rsidR="00B47ED0">
        <w:rPr>
          <w:rFonts w:eastAsia="Calibri"/>
        </w:rPr>
        <w:t xml:space="preserve">assets and </w:t>
      </w:r>
      <w:r w:rsidRPr="00EC06E7">
        <w:rPr>
          <w:rFonts w:eastAsia="Calibri"/>
        </w:rPr>
        <w:t>liabilities</w:t>
      </w:r>
      <w:bookmarkEnd w:id="216"/>
      <w:bookmarkEnd w:id="217"/>
      <w:bookmarkEnd w:id="218"/>
      <w:r w:rsidR="00916E5E" w:rsidRPr="00EC06E7">
        <w:rPr>
          <w:rFonts w:eastAsia="Calibri"/>
        </w:rPr>
        <w:t xml:space="preserve"> </w:t>
      </w:r>
    </w:p>
    <w:p w14:paraId="5EA066E0" w14:textId="64AADA6B" w:rsidR="004E5144" w:rsidRDefault="00B47ED0" w:rsidP="007F7857">
      <w:pPr>
        <w:rPr>
          <w:rFonts w:eastAsia="Calibri" w:cs="Courier New"/>
          <w:bCs/>
          <w:szCs w:val="22"/>
        </w:rPr>
      </w:pPr>
      <w:r>
        <w:rPr>
          <w:rFonts w:eastAsia="Calibri" w:cs="Courier New"/>
          <w:bCs/>
          <w:szCs w:val="22"/>
        </w:rPr>
        <w:t>At 31 March 2021, the Council did not have any contingent assets or liabilities.</w:t>
      </w:r>
    </w:p>
    <w:p w14:paraId="41C13610" w14:textId="2C43CDC5" w:rsidR="00B47ED0" w:rsidRDefault="00B47ED0" w:rsidP="007F7857">
      <w:pPr>
        <w:rPr>
          <w:rFonts w:eastAsia="Calibri" w:cs="Courier New"/>
          <w:bCs/>
          <w:szCs w:val="22"/>
        </w:rPr>
      </w:pPr>
    </w:p>
    <w:p w14:paraId="37C06639" w14:textId="77777777" w:rsidR="00A7472E" w:rsidRPr="00EC06E7" w:rsidRDefault="00A7472E" w:rsidP="007F7857">
      <w:pPr>
        <w:rPr>
          <w:rFonts w:eastAsia="Calibri" w:cs="Courier New"/>
          <w:szCs w:val="22"/>
        </w:rPr>
      </w:pPr>
    </w:p>
    <w:p w14:paraId="6B1E6150" w14:textId="77777777" w:rsidR="00D84DE2" w:rsidRPr="00E11DC2" w:rsidRDefault="00D84DE2" w:rsidP="00011FAC">
      <w:pPr>
        <w:rPr>
          <w:rFonts w:cs="Courier New"/>
          <w:bCs/>
          <w:szCs w:val="22"/>
        </w:rPr>
      </w:pPr>
    </w:p>
    <w:p w14:paraId="07881FBE" w14:textId="77777777" w:rsidR="003161EA" w:rsidRDefault="003161EA">
      <w:pPr>
        <w:jc w:val="left"/>
        <w:rPr>
          <w:rFonts w:cs="Courier New"/>
          <w:b/>
          <w:color w:val="0070C0"/>
          <w:sz w:val="36"/>
          <w:szCs w:val="36"/>
        </w:rPr>
      </w:pPr>
      <w:bookmarkStart w:id="219" w:name="_Ref454395895"/>
      <w:r>
        <w:br w:type="page"/>
      </w:r>
    </w:p>
    <w:p w14:paraId="0C36823C" w14:textId="77777777" w:rsidR="00744F76" w:rsidRPr="00EC06E7" w:rsidRDefault="00737AA2" w:rsidP="00AD57C7">
      <w:pPr>
        <w:pStyle w:val="Heading1"/>
      </w:pPr>
      <w:bookmarkStart w:id="220" w:name="_Ref48292977"/>
      <w:bookmarkStart w:id="221" w:name="_Toc77603814"/>
      <w:r w:rsidRPr="00EC06E7">
        <w:t>C</w:t>
      </w:r>
      <w:r w:rsidR="0051267F" w:rsidRPr="00EC06E7">
        <w:t>ollection Fund</w:t>
      </w:r>
      <w:bookmarkEnd w:id="219"/>
      <w:r w:rsidR="006964FD">
        <w:t xml:space="preserve"> Statement</w:t>
      </w:r>
      <w:bookmarkEnd w:id="220"/>
      <w:bookmarkEnd w:id="221"/>
    </w:p>
    <w:p w14:paraId="222EF2D8" w14:textId="77777777" w:rsidR="00080094" w:rsidRPr="00B05A74" w:rsidRDefault="00080094" w:rsidP="007F7857">
      <w:pPr>
        <w:rPr>
          <w:rFonts w:cs="Courier New"/>
          <w:b/>
          <w:sz w:val="12"/>
          <w:szCs w:val="12"/>
        </w:rPr>
      </w:pPr>
    </w:p>
    <w:p w14:paraId="7E270109" w14:textId="77777777" w:rsidR="00744F76" w:rsidRDefault="0038699A" w:rsidP="007F7857">
      <w:pPr>
        <w:rPr>
          <w:rFonts w:cs="Courier New"/>
          <w:szCs w:val="22"/>
        </w:rPr>
      </w:pPr>
      <w:r w:rsidRPr="00EC06E7">
        <w:rPr>
          <w:rFonts w:cs="Courier New"/>
          <w:szCs w:val="22"/>
        </w:rPr>
        <w:t>The Collection Fund (England) is an agent’s statement that reflects the statutory obligation for billing authorities to maintain a separate Collection Fund. The statement shows the transactions of the billing authority in relation to the collection from taxpayers, and distribution to local authorities and the Government, of council tax and non-domestic rates</w:t>
      </w:r>
      <w:r w:rsidR="00103145" w:rsidRPr="00EC06E7">
        <w:rPr>
          <w:rFonts w:cs="Courier New"/>
          <w:szCs w:val="22"/>
        </w:rPr>
        <w:t xml:space="preserve"> (Business Rates)</w:t>
      </w:r>
      <w:r w:rsidR="00080094" w:rsidRPr="00EC06E7">
        <w:rPr>
          <w:rFonts w:cs="Courier New"/>
          <w:szCs w:val="22"/>
        </w:rPr>
        <w:t>.</w:t>
      </w:r>
    </w:p>
    <w:p w14:paraId="395FBBCB" w14:textId="2D97F877" w:rsidR="000D0003" w:rsidRPr="00B05A74" w:rsidRDefault="000D0003" w:rsidP="007F7857">
      <w:pPr>
        <w:rPr>
          <w:rFonts w:cs="Courier New"/>
          <w:sz w:val="12"/>
          <w:szCs w:val="12"/>
        </w:rPr>
      </w:pPr>
    </w:p>
    <w:p w14:paraId="3A23AD85" w14:textId="3ADEBF8B" w:rsidR="00B05A74" w:rsidRDefault="00B05A74" w:rsidP="007F7857">
      <w:pPr>
        <w:rPr>
          <w:rFonts w:cs="Courier New"/>
          <w:szCs w:val="22"/>
        </w:rPr>
      </w:pPr>
      <w:r>
        <w:rPr>
          <w:rFonts w:cs="Courier New"/>
          <w:szCs w:val="22"/>
        </w:rPr>
        <w:fldChar w:fldCharType="begin"/>
      </w:r>
      <w:r>
        <w:rPr>
          <w:rFonts w:cs="Courier New"/>
          <w:szCs w:val="22"/>
        </w:rPr>
        <w:instrText xml:space="preserve"> LINK Excel.Sheet.12 "\\\\alpha\\accounts$\\CLOSURE\\Closure 20-21\\04 SoA Working Papers\\60 Collection Fund\\Collection Fund Tables 2020-21.xlsx!Collection Fund Statement!R2C1:R49C5" "" \a \p </w:instrText>
      </w:r>
      <w:r>
        <w:rPr>
          <w:rFonts w:cs="Courier New"/>
          <w:szCs w:val="22"/>
        </w:rPr>
        <w:fldChar w:fldCharType="separate"/>
      </w:r>
      <w:r w:rsidR="001C71EF">
        <w:rPr>
          <w:rFonts w:cs="Courier New"/>
          <w:szCs w:val="22"/>
        </w:rPr>
        <w:object w:dxaOrig="9905" w:dyaOrig="12933" w14:anchorId="6B3C68F8">
          <v:shape id="_x0000_i1087" type="#_x0000_t75" style="width:453.75pt;height:633.75pt" o:ole="">
            <v:imagedata r:id="rId114" o:title=""/>
            <o:lock v:ext="edit" aspectratio="f"/>
          </v:shape>
        </w:object>
      </w:r>
      <w:r>
        <w:rPr>
          <w:rFonts w:cs="Courier New"/>
          <w:szCs w:val="22"/>
        </w:rPr>
        <w:fldChar w:fldCharType="end"/>
      </w:r>
    </w:p>
    <w:p w14:paraId="6287174A" w14:textId="77777777" w:rsidR="00B05A74" w:rsidRDefault="00B05A74" w:rsidP="007F7857">
      <w:pPr>
        <w:rPr>
          <w:rFonts w:cs="Courier New"/>
          <w:szCs w:val="22"/>
        </w:rPr>
      </w:pPr>
    </w:p>
    <w:p w14:paraId="3AB75216" w14:textId="77777777" w:rsidR="00376472" w:rsidRPr="00EC06E7" w:rsidRDefault="00376472" w:rsidP="00376472">
      <w:pPr>
        <w:pStyle w:val="Heading1"/>
      </w:pPr>
      <w:bookmarkStart w:id="222" w:name="_Ref454396055"/>
      <w:bookmarkStart w:id="223" w:name="_Toc77603815"/>
      <w:r w:rsidRPr="00EC06E7">
        <w:t>Notes to the Collection Fund</w:t>
      </w:r>
      <w:bookmarkEnd w:id="222"/>
      <w:bookmarkEnd w:id="223"/>
    </w:p>
    <w:p w14:paraId="25D4FC1F" w14:textId="77777777" w:rsidR="00376472" w:rsidRPr="00EC06E7" w:rsidRDefault="00376472" w:rsidP="00E13B4D"/>
    <w:p w14:paraId="76D8FAD7" w14:textId="77777777" w:rsidR="00613790" w:rsidRPr="0074533F" w:rsidRDefault="00613790" w:rsidP="00E948BF">
      <w:pPr>
        <w:pStyle w:val="Heading2"/>
        <w:numPr>
          <w:ilvl w:val="3"/>
          <w:numId w:val="17"/>
        </w:numPr>
      </w:pPr>
      <w:bookmarkStart w:id="224" w:name="_Toc483391006"/>
      <w:bookmarkStart w:id="225" w:name="_Toc77603816"/>
      <w:bookmarkStart w:id="226" w:name="_Toc483391007"/>
      <w:r w:rsidRPr="0074533F">
        <w:t>Accounting for Council Tax</w:t>
      </w:r>
      <w:bookmarkEnd w:id="224"/>
      <w:bookmarkEnd w:id="225"/>
    </w:p>
    <w:p w14:paraId="7D1BF22D" w14:textId="77777777" w:rsidR="00613790" w:rsidRPr="00EC06E7" w:rsidRDefault="00613790" w:rsidP="00613790">
      <w:pPr>
        <w:ind w:left="360" w:hanging="360"/>
        <w:rPr>
          <w:rFonts w:cs="Courier New"/>
          <w:b/>
          <w:szCs w:val="22"/>
        </w:rPr>
      </w:pPr>
    </w:p>
    <w:p w14:paraId="3426B417" w14:textId="77777777" w:rsidR="00613790" w:rsidRPr="00EC06E7" w:rsidRDefault="00613790" w:rsidP="00613790">
      <w:pPr>
        <w:rPr>
          <w:rFonts w:cs="Courier New"/>
          <w:szCs w:val="22"/>
        </w:rPr>
      </w:pPr>
      <w:r w:rsidRPr="00EC06E7">
        <w:rPr>
          <w:rFonts w:cs="Courier New"/>
          <w:szCs w:val="22"/>
        </w:rPr>
        <w:t>The amount of Council Tax to be credited to the Comprehensive Income and Expenditure Statement for both billing authorities and major preceptors is their share of the accrued income. However, statute requires that the amount to be credited to the General Fund should be the authority’s precept or demand for the year plus its share of the previous year’s Collection Fund surplus or deficit. The difference between this regulatory charge and the accrued income is taken to the Collection Fund Adjustment Account</w:t>
      </w:r>
      <w:r>
        <w:rPr>
          <w:rFonts w:cs="Courier New"/>
          <w:szCs w:val="22"/>
        </w:rPr>
        <w:t>. This adjustment is included in the</w:t>
      </w:r>
      <w:r w:rsidRPr="00EC06E7">
        <w:rPr>
          <w:rFonts w:cs="Courier New"/>
          <w:szCs w:val="22"/>
        </w:rPr>
        <w:t xml:space="preserve"> Movement in Reserves Statement</w:t>
      </w:r>
      <w:r>
        <w:rPr>
          <w:rFonts w:cs="Courier New"/>
          <w:szCs w:val="22"/>
        </w:rPr>
        <w:t xml:space="preserve"> </w:t>
      </w:r>
      <w:proofErr w:type="gramStart"/>
      <w:r>
        <w:rPr>
          <w:rFonts w:cs="Courier New"/>
          <w:szCs w:val="22"/>
        </w:rPr>
        <w:t>and also</w:t>
      </w:r>
      <w:proofErr w:type="gramEnd"/>
      <w:r>
        <w:rPr>
          <w:rFonts w:cs="Courier New"/>
          <w:szCs w:val="22"/>
        </w:rPr>
        <w:t xml:space="preserve"> appears in N</w:t>
      </w:r>
      <w:r w:rsidRPr="00EC06E7">
        <w:rPr>
          <w:rFonts w:cs="Courier New"/>
          <w:szCs w:val="22"/>
        </w:rPr>
        <w:t>ote</w:t>
      </w:r>
      <w:r>
        <w:rPr>
          <w:rFonts w:cs="Courier New"/>
          <w:szCs w:val="22"/>
        </w:rPr>
        <w:t xml:space="preserve"> 10</w:t>
      </w:r>
      <w:r w:rsidRPr="00EC06E7">
        <w:rPr>
          <w:rFonts w:cs="Courier New"/>
          <w:szCs w:val="22"/>
        </w:rPr>
        <w:t>.</w:t>
      </w:r>
    </w:p>
    <w:p w14:paraId="4BD7A70E" w14:textId="77777777" w:rsidR="00613790" w:rsidRPr="00EC06E7" w:rsidRDefault="00613790" w:rsidP="00613790">
      <w:pPr>
        <w:rPr>
          <w:rFonts w:cs="Courier New"/>
          <w:szCs w:val="22"/>
        </w:rPr>
      </w:pPr>
    </w:p>
    <w:p w14:paraId="2B308F9E" w14:textId="77777777" w:rsidR="00613790" w:rsidRPr="00EC06E7" w:rsidRDefault="00613790" w:rsidP="00613790">
      <w:pPr>
        <w:rPr>
          <w:rFonts w:cs="Courier New"/>
          <w:szCs w:val="22"/>
        </w:rPr>
      </w:pPr>
      <w:r w:rsidRPr="00EC06E7">
        <w:rPr>
          <w:rFonts w:cs="Courier New"/>
          <w:szCs w:val="22"/>
        </w:rPr>
        <w:t>Revenue relating to council tax shall be measured at the full amount receivable (net of any impairment losses) as they are non-contractual, non-exchange transactions and there can be no difference between the delivery and payment dates.</w:t>
      </w:r>
    </w:p>
    <w:p w14:paraId="0102577A" w14:textId="77777777" w:rsidR="00613790" w:rsidRPr="00EC06E7" w:rsidRDefault="00613790" w:rsidP="00613790">
      <w:pPr>
        <w:rPr>
          <w:rFonts w:cs="Courier New"/>
          <w:szCs w:val="22"/>
        </w:rPr>
      </w:pPr>
    </w:p>
    <w:p w14:paraId="51E283D7" w14:textId="77777777" w:rsidR="00613790" w:rsidRPr="00EC06E7" w:rsidRDefault="00613790" w:rsidP="00613790">
      <w:pPr>
        <w:rPr>
          <w:rFonts w:cs="Courier New"/>
          <w:szCs w:val="22"/>
        </w:rPr>
      </w:pPr>
      <w:r>
        <w:rPr>
          <w:rFonts w:cs="Courier New"/>
          <w:szCs w:val="22"/>
        </w:rPr>
        <w:t>Since the collection of c</w:t>
      </w:r>
      <w:r w:rsidRPr="00EC06E7">
        <w:rPr>
          <w:rFonts w:cs="Courier New"/>
          <w:szCs w:val="22"/>
        </w:rPr>
        <w:t>ouncil tax is an agency arrangement, debtor and creditor balances belong proportionately to the billing authority and the major preceptors. This results in a debtor/creditor position between the billing authority and each major preceptor.</w:t>
      </w:r>
    </w:p>
    <w:p w14:paraId="79E8A280" w14:textId="77777777" w:rsidR="00613790" w:rsidRPr="00EC06E7" w:rsidRDefault="00613790" w:rsidP="00613790"/>
    <w:p w14:paraId="6CAEF42B" w14:textId="77777777" w:rsidR="00613790" w:rsidRPr="00EC06E7" w:rsidRDefault="00613790" w:rsidP="00613790"/>
    <w:p w14:paraId="0EDA1693" w14:textId="77777777" w:rsidR="00B5551A" w:rsidRPr="0074533F" w:rsidRDefault="00C92ADF" w:rsidP="00E948BF">
      <w:pPr>
        <w:pStyle w:val="Heading2"/>
        <w:numPr>
          <w:ilvl w:val="3"/>
          <w:numId w:val="17"/>
        </w:numPr>
      </w:pPr>
      <w:bookmarkStart w:id="227" w:name="_Toc77603817"/>
      <w:r w:rsidRPr="0074533F">
        <w:t>Council Tax details of charg</w:t>
      </w:r>
      <w:bookmarkEnd w:id="226"/>
      <w:r w:rsidR="0074533F">
        <w:t>e</w:t>
      </w:r>
      <w:bookmarkEnd w:id="227"/>
    </w:p>
    <w:p w14:paraId="5FA0D01B" w14:textId="77777777" w:rsidR="00E17235" w:rsidRPr="00EC06E7" w:rsidRDefault="00E17235" w:rsidP="00B5551A">
      <w:pPr>
        <w:ind w:left="360" w:hanging="360"/>
        <w:rPr>
          <w:rFonts w:cs="Courier New"/>
          <w:b/>
          <w:szCs w:val="22"/>
        </w:rPr>
      </w:pPr>
    </w:p>
    <w:p w14:paraId="375C7952" w14:textId="339D7B59" w:rsidR="00FA14AD" w:rsidRPr="00EC06E7" w:rsidRDefault="00FA14AD" w:rsidP="00B5551A">
      <w:pPr>
        <w:rPr>
          <w:rFonts w:cs="Arial"/>
          <w:szCs w:val="22"/>
        </w:rPr>
      </w:pPr>
      <w:r w:rsidRPr="00EC06E7">
        <w:rPr>
          <w:rFonts w:cs="Arial"/>
          <w:szCs w:val="22"/>
        </w:rPr>
        <w:t xml:space="preserve">For the purpose of calculating </w:t>
      </w:r>
      <w:r w:rsidR="00B5551A" w:rsidRPr="00EC06E7">
        <w:rPr>
          <w:rFonts w:cs="Arial"/>
          <w:szCs w:val="22"/>
        </w:rPr>
        <w:t>Council Tax residential properties</w:t>
      </w:r>
      <w:r w:rsidRPr="00EC06E7">
        <w:rPr>
          <w:rFonts w:cs="Arial"/>
          <w:szCs w:val="22"/>
        </w:rPr>
        <w:t xml:space="preserve"> are</w:t>
      </w:r>
      <w:r w:rsidR="00B5551A" w:rsidRPr="00EC06E7">
        <w:rPr>
          <w:rFonts w:cs="Arial"/>
          <w:szCs w:val="22"/>
        </w:rPr>
        <w:t xml:space="preserve"> classified into eight valuation bands.  </w:t>
      </w:r>
      <w:r w:rsidRPr="00EC06E7">
        <w:rPr>
          <w:rFonts w:cs="Arial"/>
          <w:szCs w:val="22"/>
        </w:rPr>
        <w:t xml:space="preserve">Each valuation band is proportionate to the central Band D property. This enables calculation of the total tax base. The Council Tax Base for </w:t>
      </w:r>
      <w:r w:rsidR="005B33E8">
        <w:rPr>
          <w:rFonts w:cs="Arial"/>
          <w:szCs w:val="22"/>
        </w:rPr>
        <w:t>20</w:t>
      </w:r>
      <w:r w:rsidR="00053D84">
        <w:rPr>
          <w:rFonts w:cs="Arial"/>
          <w:szCs w:val="22"/>
        </w:rPr>
        <w:t>20</w:t>
      </w:r>
      <w:r w:rsidR="00B476A7">
        <w:rPr>
          <w:rFonts w:cs="Arial"/>
          <w:szCs w:val="22"/>
        </w:rPr>
        <w:t>/21</w:t>
      </w:r>
      <w:r w:rsidRPr="00EC06E7">
        <w:rPr>
          <w:rFonts w:cs="Arial"/>
          <w:szCs w:val="22"/>
        </w:rPr>
        <w:t xml:space="preserve"> was calculated as follows: </w:t>
      </w:r>
      <w:r w:rsidR="0086767F" w:rsidRPr="00EC06E7">
        <w:rPr>
          <w:rFonts w:cs="Arial"/>
          <w:szCs w:val="22"/>
        </w:rPr>
        <w:t>-</w:t>
      </w:r>
    </w:p>
    <w:p w14:paraId="71A70CA3" w14:textId="5165460C" w:rsidR="00E17235" w:rsidRDefault="00E17235" w:rsidP="00B5551A">
      <w:pPr>
        <w:rPr>
          <w:rFonts w:cs="Arial"/>
          <w:szCs w:val="22"/>
        </w:rPr>
      </w:pPr>
    </w:p>
    <w:p w14:paraId="353D0B35" w14:textId="0AFE84A4" w:rsidR="00301ED0" w:rsidRDefault="00DF0735" w:rsidP="00B5551A">
      <w:pPr>
        <w:rPr>
          <w:rFonts w:cs="Arial"/>
          <w:szCs w:val="22"/>
        </w:rPr>
      </w:pPr>
      <w:r>
        <w:rPr>
          <w:rFonts w:cs="Arial"/>
          <w:szCs w:val="22"/>
        </w:rPr>
        <w:fldChar w:fldCharType="begin"/>
      </w:r>
      <w:r>
        <w:rPr>
          <w:rFonts w:cs="Arial"/>
          <w:szCs w:val="22"/>
        </w:rPr>
        <w:instrText xml:space="preserve"> LINK Excel.Sheet.12 "\\\\alpha\\accounts$\\CLOSURE\\Closure 20-21\\04 SoA Working Papers\\60 Collection Fund\\Collection Fund Tables 2020-21.xlsx!Note 2a!R3C1:R18C5" "" \a \p </w:instrText>
      </w:r>
      <w:r>
        <w:rPr>
          <w:rFonts w:cs="Arial"/>
          <w:szCs w:val="22"/>
        </w:rPr>
        <w:fldChar w:fldCharType="separate"/>
      </w:r>
      <w:r w:rsidR="001C71EF">
        <w:rPr>
          <w:rFonts w:cs="Arial"/>
          <w:szCs w:val="22"/>
        </w:rPr>
        <w:object w:dxaOrig="10469" w:dyaOrig="5232" w14:anchorId="3D63FC6D">
          <v:shape id="_x0000_i1088" type="#_x0000_t75" style="width:482.25pt;height:266.25pt" o:ole="">
            <v:imagedata r:id="rId115" o:title=""/>
            <o:lock v:ext="edit" aspectratio="f"/>
          </v:shape>
        </w:object>
      </w:r>
      <w:r>
        <w:rPr>
          <w:rFonts w:cs="Arial"/>
          <w:szCs w:val="22"/>
        </w:rPr>
        <w:fldChar w:fldCharType="end"/>
      </w:r>
    </w:p>
    <w:p w14:paraId="76CD740E" w14:textId="77777777" w:rsidR="00301ED0" w:rsidRDefault="00301ED0" w:rsidP="00B5551A">
      <w:pPr>
        <w:rPr>
          <w:rFonts w:cs="Arial"/>
          <w:szCs w:val="22"/>
        </w:rPr>
      </w:pPr>
    </w:p>
    <w:p w14:paraId="594E69E1" w14:textId="77777777" w:rsidR="00376472" w:rsidRPr="00EC06E7" w:rsidRDefault="00376472">
      <w:pPr>
        <w:rPr>
          <w:rFonts w:cs="Arial"/>
          <w:szCs w:val="22"/>
        </w:rPr>
      </w:pPr>
      <w:r w:rsidRPr="00EC06E7">
        <w:rPr>
          <w:rFonts w:cs="Arial"/>
          <w:szCs w:val="22"/>
        </w:rPr>
        <w:br w:type="page"/>
      </w:r>
    </w:p>
    <w:p w14:paraId="3040CD6F" w14:textId="77777777" w:rsidR="00376472" w:rsidRPr="00EC06E7" w:rsidRDefault="00376472" w:rsidP="00224C6C">
      <w:pPr>
        <w:rPr>
          <w:rFonts w:cs="Arial"/>
          <w:szCs w:val="22"/>
        </w:rPr>
      </w:pPr>
    </w:p>
    <w:p w14:paraId="4115D5FE" w14:textId="054B2E49" w:rsidR="005B4405" w:rsidRPr="00EC06E7" w:rsidRDefault="00B5551A" w:rsidP="00224C6C">
      <w:pPr>
        <w:rPr>
          <w:snapToGrid w:val="0"/>
        </w:rPr>
      </w:pPr>
      <w:r w:rsidRPr="00EC06E7">
        <w:rPr>
          <w:rFonts w:cs="Arial"/>
          <w:szCs w:val="22"/>
        </w:rPr>
        <w:t>Individual charges are calculated by estimating the amount of income required to be taken from the Collection Fund by the precepting authorities for the forthcoming year and dividing this by the council tax base</w:t>
      </w:r>
      <w:r w:rsidR="00364B25" w:rsidRPr="00EC06E7">
        <w:rPr>
          <w:rFonts w:cs="Arial"/>
          <w:szCs w:val="22"/>
        </w:rPr>
        <w:t>.</w:t>
      </w:r>
      <w:r w:rsidRPr="00EC06E7">
        <w:rPr>
          <w:rFonts w:cs="Arial"/>
          <w:szCs w:val="22"/>
        </w:rPr>
        <w:t xml:space="preserve">  This</w:t>
      </w:r>
      <w:r w:rsidR="00364B25" w:rsidRPr="00EC06E7">
        <w:rPr>
          <w:rFonts w:cs="Arial"/>
          <w:szCs w:val="22"/>
        </w:rPr>
        <w:t xml:space="preserve"> results in a </w:t>
      </w:r>
      <w:r w:rsidRPr="00EC06E7">
        <w:rPr>
          <w:rFonts w:cs="Arial"/>
          <w:szCs w:val="22"/>
        </w:rPr>
        <w:t xml:space="preserve">basic Band D </w:t>
      </w:r>
      <w:r w:rsidR="00364B25" w:rsidRPr="00EC06E7">
        <w:rPr>
          <w:rFonts w:cs="Arial"/>
          <w:szCs w:val="22"/>
        </w:rPr>
        <w:t>charge</w:t>
      </w:r>
      <w:r w:rsidRPr="00EC06E7">
        <w:rPr>
          <w:rFonts w:cs="Arial"/>
          <w:szCs w:val="22"/>
        </w:rPr>
        <w:t xml:space="preserve"> (excluding Parish </w:t>
      </w:r>
      <w:r w:rsidRPr="00ED493E">
        <w:rPr>
          <w:rFonts w:cs="Arial"/>
          <w:szCs w:val="22"/>
        </w:rPr>
        <w:t>Precepts</w:t>
      </w:r>
      <w:r w:rsidR="00364B25" w:rsidRPr="00ED493E">
        <w:rPr>
          <w:rFonts w:cs="Arial"/>
          <w:szCs w:val="22"/>
        </w:rPr>
        <w:t>) of</w:t>
      </w:r>
      <w:r w:rsidRPr="00ED493E">
        <w:rPr>
          <w:rFonts w:cs="Arial"/>
          <w:szCs w:val="22"/>
        </w:rPr>
        <w:t xml:space="preserve"> </w:t>
      </w:r>
      <w:r w:rsidR="00FC408D" w:rsidRPr="00ED493E">
        <w:rPr>
          <w:rFonts w:cs="Arial"/>
          <w:szCs w:val="22"/>
        </w:rPr>
        <w:t>£1,</w:t>
      </w:r>
      <w:r w:rsidR="003870AC">
        <w:rPr>
          <w:rFonts w:cs="Arial"/>
          <w:szCs w:val="22"/>
        </w:rPr>
        <w:t>905.87</w:t>
      </w:r>
      <w:r w:rsidRPr="00ED493E">
        <w:rPr>
          <w:rFonts w:cs="Arial"/>
          <w:szCs w:val="22"/>
        </w:rPr>
        <w:t xml:space="preserve"> for</w:t>
      </w:r>
      <w:r w:rsidRPr="00EC06E7">
        <w:rPr>
          <w:rFonts w:cs="Arial"/>
          <w:szCs w:val="22"/>
        </w:rPr>
        <w:t xml:space="preserve"> </w:t>
      </w:r>
      <w:r w:rsidR="00B476A7">
        <w:rPr>
          <w:rFonts w:cs="Arial"/>
          <w:szCs w:val="22"/>
        </w:rPr>
        <w:t>2020/21</w:t>
      </w:r>
      <w:r w:rsidRPr="00EC06E7">
        <w:rPr>
          <w:rFonts w:cs="Arial"/>
          <w:szCs w:val="22"/>
        </w:rPr>
        <w:t xml:space="preserve"> </w:t>
      </w:r>
      <w:r w:rsidR="004B1CDE">
        <w:rPr>
          <w:rFonts w:cs="Arial"/>
          <w:szCs w:val="22"/>
        </w:rPr>
        <w:t>(</w:t>
      </w:r>
      <w:r w:rsidR="00B476A7" w:rsidRPr="00ED493E">
        <w:rPr>
          <w:rFonts w:cs="Arial"/>
          <w:szCs w:val="22"/>
        </w:rPr>
        <w:t>£1,</w:t>
      </w:r>
      <w:r w:rsidR="00B476A7">
        <w:rPr>
          <w:rFonts w:cs="Arial"/>
          <w:szCs w:val="22"/>
        </w:rPr>
        <w:t>836.40</w:t>
      </w:r>
      <w:r w:rsidR="00B476A7" w:rsidRPr="00ED493E">
        <w:rPr>
          <w:rFonts w:cs="Arial"/>
          <w:szCs w:val="22"/>
        </w:rPr>
        <w:t xml:space="preserve"> </w:t>
      </w:r>
      <w:r w:rsidR="006F57E3" w:rsidRPr="00EC06E7">
        <w:rPr>
          <w:rFonts w:cs="Arial"/>
          <w:szCs w:val="22"/>
        </w:rPr>
        <w:t xml:space="preserve">for </w:t>
      </w:r>
      <w:r w:rsidR="004060D1">
        <w:rPr>
          <w:rFonts w:cs="Arial"/>
          <w:szCs w:val="22"/>
        </w:rPr>
        <w:t>201</w:t>
      </w:r>
      <w:r w:rsidR="00B476A7">
        <w:rPr>
          <w:rFonts w:cs="Arial"/>
          <w:szCs w:val="22"/>
        </w:rPr>
        <w:t>9</w:t>
      </w:r>
      <w:r w:rsidR="004060D1">
        <w:rPr>
          <w:rFonts w:cs="Arial"/>
          <w:szCs w:val="22"/>
        </w:rPr>
        <w:t>/</w:t>
      </w:r>
      <w:r w:rsidR="00B476A7">
        <w:rPr>
          <w:rFonts w:cs="Arial"/>
          <w:szCs w:val="22"/>
        </w:rPr>
        <w:t>20</w:t>
      </w:r>
      <w:r w:rsidRPr="00EC06E7">
        <w:rPr>
          <w:rFonts w:cs="Arial"/>
          <w:szCs w:val="22"/>
        </w:rPr>
        <w:t>)</w:t>
      </w:r>
      <w:r w:rsidR="00364B25" w:rsidRPr="00EC06E7">
        <w:rPr>
          <w:rFonts w:cs="Arial"/>
          <w:szCs w:val="22"/>
        </w:rPr>
        <w:t>. The other valuation bands are proportionate to this. The full list of charges is as follows:</w:t>
      </w:r>
    </w:p>
    <w:p w14:paraId="7DBF53BA" w14:textId="0B829EC5" w:rsidR="005209D5" w:rsidRDefault="005209D5" w:rsidP="005209D5">
      <w:pPr>
        <w:widowControl w:val="0"/>
        <w:tabs>
          <w:tab w:val="left" w:pos="718"/>
          <w:tab w:val="left" w:pos="2881"/>
        </w:tabs>
        <w:ind w:left="1080"/>
        <w:rPr>
          <w:snapToGrid w:val="0"/>
        </w:rPr>
      </w:pPr>
    </w:p>
    <w:p w14:paraId="2D119228" w14:textId="2520CAD7" w:rsidR="00EC6C85" w:rsidRDefault="003870AC" w:rsidP="005209D5">
      <w:pPr>
        <w:widowControl w:val="0"/>
        <w:tabs>
          <w:tab w:val="left" w:pos="718"/>
          <w:tab w:val="left" w:pos="2881"/>
        </w:tabs>
        <w:ind w:left="1080"/>
        <w:rPr>
          <w:snapToGrid w:val="0"/>
        </w:rPr>
      </w:pPr>
      <w:r>
        <w:rPr>
          <w:snapToGrid w:val="0"/>
        </w:rPr>
        <w:fldChar w:fldCharType="begin"/>
      </w:r>
      <w:r>
        <w:rPr>
          <w:snapToGrid w:val="0"/>
        </w:rPr>
        <w:instrText xml:space="preserve"> LINK Excel.Sheet.12 "\\\\alpha\\accounts$\\CLOSURE\\Closure 20-21\\04 SoA Working Papers\\60 Collection Fund\\Collection Fund Tables 2020-21.xlsx!Note 2b!R2C1:R14C4" "" \a \p </w:instrText>
      </w:r>
      <w:r>
        <w:rPr>
          <w:snapToGrid w:val="0"/>
        </w:rPr>
        <w:fldChar w:fldCharType="separate"/>
      </w:r>
      <w:r w:rsidR="001C71EF">
        <w:rPr>
          <w:snapToGrid w:val="0"/>
        </w:rPr>
        <w:object w:dxaOrig="7342" w:dyaOrig="3384" w14:anchorId="4570E577">
          <v:shape id="_x0000_i1089" type="#_x0000_t75" style="width:345.75pt;height:172.55pt" o:ole="">
            <v:imagedata r:id="rId116" o:title=""/>
            <o:lock v:ext="edit" aspectratio="f"/>
          </v:shape>
        </w:object>
      </w:r>
      <w:r>
        <w:rPr>
          <w:snapToGrid w:val="0"/>
        </w:rPr>
        <w:fldChar w:fldCharType="end"/>
      </w:r>
    </w:p>
    <w:p w14:paraId="03FB6652" w14:textId="77777777" w:rsidR="00EC6C85" w:rsidRDefault="00EC6C85" w:rsidP="005209D5">
      <w:pPr>
        <w:widowControl w:val="0"/>
        <w:tabs>
          <w:tab w:val="left" w:pos="718"/>
          <w:tab w:val="left" w:pos="2881"/>
        </w:tabs>
        <w:ind w:left="1080"/>
        <w:rPr>
          <w:snapToGrid w:val="0"/>
        </w:rPr>
      </w:pPr>
    </w:p>
    <w:p w14:paraId="7DCA425A" w14:textId="6C6C893C" w:rsidR="005B4405" w:rsidRDefault="005B4405" w:rsidP="00B5551A">
      <w:pPr>
        <w:ind w:left="360" w:hanging="360"/>
        <w:rPr>
          <w:rFonts w:cs="Courier New"/>
          <w:szCs w:val="22"/>
        </w:rPr>
      </w:pPr>
    </w:p>
    <w:p w14:paraId="1AD9C639" w14:textId="77777777" w:rsidR="00326F1E" w:rsidRPr="00EC06E7" w:rsidRDefault="00326F1E" w:rsidP="00B5551A">
      <w:pPr>
        <w:ind w:left="360" w:hanging="360"/>
        <w:rPr>
          <w:rFonts w:cs="Courier New"/>
          <w:szCs w:val="22"/>
        </w:rPr>
      </w:pPr>
    </w:p>
    <w:p w14:paraId="536075B3" w14:textId="77777777" w:rsidR="00364B25" w:rsidRPr="0074533F" w:rsidRDefault="00C92ADF" w:rsidP="00E948BF">
      <w:pPr>
        <w:pStyle w:val="Heading2"/>
        <w:numPr>
          <w:ilvl w:val="3"/>
          <w:numId w:val="17"/>
        </w:numPr>
      </w:pPr>
      <w:bookmarkStart w:id="228" w:name="_Toc483391008"/>
      <w:bookmarkStart w:id="229" w:name="_Ref483576078"/>
      <w:bookmarkStart w:id="230" w:name="_Ref483576088"/>
      <w:bookmarkStart w:id="231" w:name="_Toc77603818"/>
      <w:r w:rsidRPr="0074533F">
        <w:t>Accounting for business rates</w:t>
      </w:r>
      <w:bookmarkEnd w:id="228"/>
      <w:bookmarkEnd w:id="229"/>
      <w:bookmarkEnd w:id="230"/>
      <w:bookmarkEnd w:id="231"/>
    </w:p>
    <w:p w14:paraId="3690295F" w14:textId="77777777" w:rsidR="00364B25" w:rsidRPr="00EC6C85" w:rsidRDefault="00364B25" w:rsidP="00364B25">
      <w:pPr>
        <w:widowControl w:val="0"/>
        <w:tabs>
          <w:tab w:val="left" w:pos="718"/>
          <w:tab w:val="left" w:pos="2881"/>
        </w:tabs>
        <w:ind w:left="717" w:hanging="717"/>
        <w:rPr>
          <w:snapToGrid w:val="0"/>
        </w:rPr>
      </w:pPr>
    </w:p>
    <w:p w14:paraId="538FF714" w14:textId="77777777" w:rsidR="00047F4F" w:rsidRPr="00EC06E7" w:rsidRDefault="00047F4F" w:rsidP="00613790">
      <w:pPr>
        <w:widowControl w:val="0"/>
        <w:tabs>
          <w:tab w:val="left" w:pos="0"/>
          <w:tab w:val="left" w:pos="2881"/>
        </w:tabs>
        <w:rPr>
          <w:snapToGrid w:val="0"/>
          <w:color w:val="000000" w:themeColor="text1"/>
        </w:rPr>
      </w:pPr>
      <w:r w:rsidRPr="00EC6C85">
        <w:rPr>
          <w:snapToGrid w:val="0"/>
        </w:rPr>
        <w:t xml:space="preserve">The </w:t>
      </w:r>
      <w:r w:rsidRPr="00EC06E7">
        <w:rPr>
          <w:snapToGrid w:val="0"/>
          <w:color w:val="000000" w:themeColor="text1"/>
        </w:rPr>
        <w:t xml:space="preserve">NDR income for the year credited to the Collection Fund is the accrued income for the year, regulations determine when it should be released from the Collection Fund and paid out to major preceptors (excluding police bodies) and the Government. The amount credited to the General Fund under statute is the Authority’s estimated share of NDR for the year from the National </w:t>
      </w:r>
      <w:r w:rsidR="00343D53" w:rsidRPr="00EC06E7">
        <w:rPr>
          <w:snapToGrid w:val="0"/>
          <w:color w:val="000000" w:themeColor="text1"/>
        </w:rPr>
        <w:t>Non-</w:t>
      </w:r>
      <w:r w:rsidRPr="00EC06E7">
        <w:rPr>
          <w:snapToGrid w:val="0"/>
          <w:color w:val="000000" w:themeColor="text1"/>
        </w:rPr>
        <w:t>Domestic Rates (NNDR) 1 return.</w:t>
      </w:r>
    </w:p>
    <w:p w14:paraId="5506A4BD" w14:textId="77777777" w:rsidR="00047F4F" w:rsidRPr="00EC06E7" w:rsidRDefault="00047F4F" w:rsidP="00613790">
      <w:pPr>
        <w:widowControl w:val="0"/>
        <w:tabs>
          <w:tab w:val="left" w:pos="0"/>
          <w:tab w:val="left" w:pos="2881"/>
        </w:tabs>
        <w:rPr>
          <w:snapToGrid w:val="0"/>
          <w:color w:val="000000" w:themeColor="text1"/>
        </w:rPr>
      </w:pPr>
    </w:p>
    <w:p w14:paraId="7AEAC4C4" w14:textId="77777777" w:rsidR="00047F4F" w:rsidRPr="00EC06E7" w:rsidRDefault="00047F4F" w:rsidP="00613790">
      <w:pPr>
        <w:widowControl w:val="0"/>
        <w:tabs>
          <w:tab w:val="left" w:pos="0"/>
          <w:tab w:val="left" w:pos="2881"/>
        </w:tabs>
        <w:rPr>
          <w:snapToGrid w:val="0"/>
          <w:color w:val="000000" w:themeColor="text1"/>
        </w:rPr>
      </w:pPr>
      <w:r w:rsidRPr="00EC06E7">
        <w:rPr>
          <w:snapToGrid w:val="0"/>
          <w:color w:val="000000" w:themeColor="text1"/>
        </w:rPr>
        <w:t>The NDR income included in the Comprehensive Income and Expenditure Statement is the Authority’s share of the Collection Fund’s accrued income for the year from the NNDR 3 return. The difference between this value and the amount required by regulation to be credited to the General Fund is taken to the Collection Fund Adjustment Account via the Movement in Reserves Statement.</w:t>
      </w:r>
    </w:p>
    <w:p w14:paraId="1B8B98CE" w14:textId="77777777" w:rsidR="00047F4F" w:rsidRPr="00EC06E7" w:rsidRDefault="00047F4F" w:rsidP="00613790">
      <w:pPr>
        <w:widowControl w:val="0"/>
        <w:tabs>
          <w:tab w:val="left" w:pos="0"/>
          <w:tab w:val="left" w:pos="2881"/>
        </w:tabs>
        <w:rPr>
          <w:snapToGrid w:val="0"/>
          <w:color w:val="000000" w:themeColor="text1"/>
        </w:rPr>
      </w:pPr>
    </w:p>
    <w:p w14:paraId="5571C537" w14:textId="77777777" w:rsidR="00047F4F" w:rsidRPr="00EC06E7" w:rsidRDefault="00047F4F" w:rsidP="00613790">
      <w:pPr>
        <w:widowControl w:val="0"/>
        <w:tabs>
          <w:tab w:val="left" w:pos="0"/>
          <w:tab w:val="left" w:pos="2881"/>
        </w:tabs>
        <w:rPr>
          <w:snapToGrid w:val="0"/>
          <w:color w:val="000000" w:themeColor="text1"/>
        </w:rPr>
      </w:pPr>
      <w:r w:rsidRPr="00EC06E7">
        <w:rPr>
          <w:snapToGrid w:val="0"/>
          <w:color w:val="000000" w:themeColor="text1"/>
        </w:rPr>
        <w:t>Revenue relating to non-domestic rates shall be measured at the full amount receivable (net of any impairment losses) as they are non-contractual, non-exchange transactions and there can be no</w:t>
      </w:r>
      <w:r w:rsidR="00144BD8" w:rsidRPr="00EC06E7">
        <w:rPr>
          <w:snapToGrid w:val="0"/>
          <w:color w:val="000000" w:themeColor="text1"/>
        </w:rPr>
        <w:t xml:space="preserve"> </w:t>
      </w:r>
      <w:r w:rsidRPr="00EC06E7">
        <w:rPr>
          <w:snapToGrid w:val="0"/>
          <w:color w:val="000000" w:themeColor="text1"/>
        </w:rPr>
        <w:t>difference between the delivery and payment dates.</w:t>
      </w:r>
    </w:p>
    <w:p w14:paraId="08A7B988" w14:textId="77777777" w:rsidR="00047F4F" w:rsidRPr="00EC06E7" w:rsidRDefault="00047F4F" w:rsidP="00613790">
      <w:pPr>
        <w:widowControl w:val="0"/>
        <w:tabs>
          <w:tab w:val="left" w:pos="0"/>
          <w:tab w:val="left" w:pos="2881"/>
        </w:tabs>
        <w:rPr>
          <w:snapToGrid w:val="0"/>
          <w:color w:val="000000" w:themeColor="text1"/>
        </w:rPr>
      </w:pPr>
    </w:p>
    <w:p w14:paraId="25855520" w14:textId="77777777" w:rsidR="00047F4F" w:rsidRPr="00EC06E7" w:rsidRDefault="00047F4F" w:rsidP="00CA199F">
      <w:pPr>
        <w:widowControl w:val="0"/>
        <w:tabs>
          <w:tab w:val="left" w:pos="0"/>
          <w:tab w:val="left" w:pos="2881"/>
        </w:tabs>
        <w:rPr>
          <w:snapToGrid w:val="0"/>
          <w:color w:val="000000" w:themeColor="text1"/>
        </w:rPr>
      </w:pPr>
      <w:r w:rsidRPr="00EC06E7">
        <w:rPr>
          <w:snapToGrid w:val="0"/>
          <w:color w:val="000000" w:themeColor="text1"/>
        </w:rPr>
        <w:t>The cash collected by the Authority from NDR payers belongs proportionately to all the major preceptors (excluding police bodies) and Government. The difference between the amounts collected on behalf of the other major preceptors, Government and the payments made to them is reflected as a debtor or creditor balance as appropriate.</w:t>
      </w:r>
    </w:p>
    <w:p w14:paraId="071F6161" w14:textId="77777777" w:rsidR="00224C6C" w:rsidRPr="00EC06E7" w:rsidRDefault="00224C6C" w:rsidP="00CA199F">
      <w:pPr>
        <w:widowControl w:val="0"/>
        <w:tabs>
          <w:tab w:val="left" w:pos="0"/>
          <w:tab w:val="left" w:pos="2881"/>
        </w:tabs>
        <w:rPr>
          <w:snapToGrid w:val="0"/>
          <w:color w:val="000000" w:themeColor="text1"/>
        </w:rPr>
      </w:pPr>
    </w:p>
    <w:p w14:paraId="59E774EB" w14:textId="788428F7" w:rsidR="009608D9" w:rsidRPr="00EC06E7" w:rsidRDefault="00E64896" w:rsidP="00CA199F">
      <w:pPr>
        <w:widowControl w:val="0"/>
        <w:tabs>
          <w:tab w:val="left" w:pos="0"/>
          <w:tab w:val="left" w:pos="2881"/>
        </w:tabs>
        <w:rPr>
          <w:snapToGrid w:val="0"/>
          <w:color w:val="000000" w:themeColor="text1"/>
        </w:rPr>
      </w:pPr>
      <w:r w:rsidRPr="00CA199F">
        <w:rPr>
          <w:snapToGrid w:val="0"/>
          <w:color w:val="000000" w:themeColor="text1"/>
        </w:rPr>
        <w:t xml:space="preserve">Regulations require </w:t>
      </w:r>
      <w:r w:rsidR="00823341" w:rsidRPr="00CA199F">
        <w:rPr>
          <w:snapToGrid w:val="0"/>
          <w:color w:val="000000" w:themeColor="text1"/>
        </w:rPr>
        <w:t xml:space="preserve">that only </w:t>
      </w:r>
      <w:r w:rsidRPr="00CA199F">
        <w:rPr>
          <w:snapToGrid w:val="0"/>
          <w:color w:val="000000" w:themeColor="text1"/>
        </w:rPr>
        <w:t xml:space="preserve">the deficit or surplus estimated in the annual National </w:t>
      </w:r>
      <w:proofErr w:type="gramStart"/>
      <w:r w:rsidRPr="00CA199F">
        <w:rPr>
          <w:snapToGrid w:val="0"/>
          <w:color w:val="000000" w:themeColor="text1"/>
        </w:rPr>
        <w:t>Non Domestic</w:t>
      </w:r>
      <w:proofErr w:type="gramEnd"/>
      <w:r w:rsidRPr="00CA199F">
        <w:rPr>
          <w:snapToGrid w:val="0"/>
          <w:color w:val="000000" w:themeColor="text1"/>
        </w:rPr>
        <w:t xml:space="preserve"> Rates (NNDR) 1 Return </w:t>
      </w:r>
      <w:r w:rsidR="00E15E48" w:rsidRPr="00CA199F">
        <w:rPr>
          <w:snapToGrid w:val="0"/>
          <w:color w:val="000000" w:themeColor="text1"/>
        </w:rPr>
        <w:t xml:space="preserve">before the year-end </w:t>
      </w:r>
      <w:r w:rsidRPr="00CA199F">
        <w:rPr>
          <w:snapToGrid w:val="0"/>
          <w:color w:val="000000" w:themeColor="text1"/>
        </w:rPr>
        <w:t>be recovered from or shared</w:t>
      </w:r>
      <w:r w:rsidR="00620298" w:rsidRPr="00CA199F">
        <w:rPr>
          <w:snapToGrid w:val="0"/>
          <w:color w:val="000000" w:themeColor="text1"/>
        </w:rPr>
        <w:t xml:space="preserve"> with preceptors. Therefore, a</w:t>
      </w:r>
      <w:r w:rsidRPr="00CA199F">
        <w:rPr>
          <w:snapToGrid w:val="0"/>
          <w:color w:val="000000" w:themeColor="text1"/>
        </w:rPr>
        <w:t xml:space="preserve"> </w:t>
      </w:r>
      <w:r w:rsidR="00CA199F" w:rsidRPr="00CA199F">
        <w:rPr>
          <w:snapToGrid w:val="0"/>
          <w:color w:val="000000" w:themeColor="text1"/>
        </w:rPr>
        <w:t>surplus</w:t>
      </w:r>
      <w:r w:rsidRPr="00CA199F">
        <w:rPr>
          <w:snapToGrid w:val="0"/>
          <w:color w:val="000000" w:themeColor="text1"/>
        </w:rPr>
        <w:t xml:space="preserve"> </w:t>
      </w:r>
      <w:r w:rsidR="00620298" w:rsidRPr="00CA199F">
        <w:rPr>
          <w:snapToGrid w:val="0"/>
          <w:color w:val="000000" w:themeColor="text1"/>
        </w:rPr>
        <w:t>of £0.</w:t>
      </w:r>
      <w:r w:rsidR="00265D0A">
        <w:rPr>
          <w:snapToGrid w:val="0"/>
          <w:color w:val="000000" w:themeColor="text1"/>
        </w:rPr>
        <w:t>0</w:t>
      </w:r>
      <w:r w:rsidR="00620298" w:rsidRPr="00CA199F">
        <w:rPr>
          <w:snapToGrid w:val="0"/>
          <w:color w:val="000000" w:themeColor="text1"/>
        </w:rPr>
        <w:t>3</w:t>
      </w:r>
      <w:r w:rsidR="00265D0A">
        <w:rPr>
          <w:snapToGrid w:val="0"/>
          <w:color w:val="000000" w:themeColor="text1"/>
        </w:rPr>
        <w:t>0</w:t>
      </w:r>
      <w:r w:rsidR="00620298" w:rsidRPr="00CA199F">
        <w:rPr>
          <w:snapToGrid w:val="0"/>
          <w:color w:val="000000" w:themeColor="text1"/>
        </w:rPr>
        <w:t xml:space="preserve">m was </w:t>
      </w:r>
      <w:r w:rsidR="00E15E48" w:rsidRPr="00CA199F">
        <w:rPr>
          <w:snapToGrid w:val="0"/>
          <w:color w:val="000000" w:themeColor="text1"/>
        </w:rPr>
        <w:t>shared between preceptors</w:t>
      </w:r>
      <w:r w:rsidRPr="00CA199F">
        <w:rPr>
          <w:snapToGrid w:val="0"/>
          <w:color w:val="000000" w:themeColor="text1"/>
        </w:rPr>
        <w:t xml:space="preserve"> during </w:t>
      </w:r>
      <w:r w:rsidR="005B33E8" w:rsidRPr="00CA199F">
        <w:rPr>
          <w:snapToGrid w:val="0"/>
          <w:color w:val="000000" w:themeColor="text1"/>
        </w:rPr>
        <w:t>20</w:t>
      </w:r>
      <w:r w:rsidR="00265D0A">
        <w:rPr>
          <w:snapToGrid w:val="0"/>
          <w:color w:val="000000" w:themeColor="text1"/>
        </w:rPr>
        <w:t>20</w:t>
      </w:r>
      <w:r w:rsidR="005B33E8" w:rsidRPr="00CA199F">
        <w:rPr>
          <w:snapToGrid w:val="0"/>
          <w:color w:val="000000" w:themeColor="text1"/>
        </w:rPr>
        <w:t>/</w:t>
      </w:r>
      <w:r w:rsidR="00CA199F" w:rsidRPr="00CA199F">
        <w:rPr>
          <w:snapToGrid w:val="0"/>
          <w:color w:val="000000" w:themeColor="text1"/>
        </w:rPr>
        <w:t>2</w:t>
      </w:r>
      <w:r w:rsidR="00265D0A">
        <w:rPr>
          <w:snapToGrid w:val="0"/>
          <w:color w:val="000000" w:themeColor="text1"/>
        </w:rPr>
        <w:t>1</w:t>
      </w:r>
      <w:r w:rsidR="00823341" w:rsidRPr="00CA199F">
        <w:rPr>
          <w:snapToGrid w:val="0"/>
          <w:color w:val="000000" w:themeColor="text1"/>
        </w:rPr>
        <w:t xml:space="preserve">, being the </w:t>
      </w:r>
      <w:r w:rsidRPr="00CA199F">
        <w:rPr>
          <w:snapToGrid w:val="0"/>
          <w:color w:val="000000" w:themeColor="text1"/>
        </w:rPr>
        <w:t>est</w:t>
      </w:r>
      <w:r w:rsidR="00E15E48" w:rsidRPr="00CA199F">
        <w:rPr>
          <w:snapToGrid w:val="0"/>
          <w:color w:val="000000" w:themeColor="text1"/>
        </w:rPr>
        <w:t xml:space="preserve">imate included in NNDR1 </w:t>
      </w:r>
      <w:r w:rsidR="005B33E8" w:rsidRPr="00CA199F">
        <w:rPr>
          <w:snapToGrid w:val="0"/>
          <w:color w:val="000000" w:themeColor="text1"/>
        </w:rPr>
        <w:t>20</w:t>
      </w:r>
      <w:r w:rsidR="00265D0A">
        <w:rPr>
          <w:snapToGrid w:val="0"/>
          <w:color w:val="000000" w:themeColor="text1"/>
        </w:rPr>
        <w:t>20</w:t>
      </w:r>
      <w:r w:rsidR="005B33E8" w:rsidRPr="00CA199F">
        <w:rPr>
          <w:snapToGrid w:val="0"/>
          <w:color w:val="000000" w:themeColor="text1"/>
        </w:rPr>
        <w:t>/</w:t>
      </w:r>
      <w:r w:rsidR="00CA199F" w:rsidRPr="00CA199F">
        <w:rPr>
          <w:snapToGrid w:val="0"/>
          <w:color w:val="000000" w:themeColor="text1"/>
        </w:rPr>
        <w:t>2</w:t>
      </w:r>
      <w:r w:rsidR="00265D0A">
        <w:rPr>
          <w:snapToGrid w:val="0"/>
          <w:color w:val="000000" w:themeColor="text1"/>
        </w:rPr>
        <w:t>1</w:t>
      </w:r>
      <w:r w:rsidR="00E15E48" w:rsidRPr="00CA199F">
        <w:rPr>
          <w:snapToGrid w:val="0"/>
          <w:color w:val="000000" w:themeColor="text1"/>
        </w:rPr>
        <w:t xml:space="preserve">, </w:t>
      </w:r>
      <w:r w:rsidR="00907BDB" w:rsidRPr="00CA199F">
        <w:rPr>
          <w:snapToGrid w:val="0"/>
          <w:color w:val="000000" w:themeColor="text1"/>
        </w:rPr>
        <w:t xml:space="preserve">whereas the actual </w:t>
      </w:r>
      <w:r w:rsidR="00620298" w:rsidRPr="00CA199F">
        <w:rPr>
          <w:snapToGrid w:val="0"/>
          <w:color w:val="000000" w:themeColor="text1"/>
        </w:rPr>
        <w:t>amount for 201</w:t>
      </w:r>
      <w:r w:rsidR="00265D0A">
        <w:rPr>
          <w:snapToGrid w:val="0"/>
          <w:color w:val="000000" w:themeColor="text1"/>
        </w:rPr>
        <w:t>9</w:t>
      </w:r>
      <w:r w:rsidR="00620298" w:rsidRPr="00CA199F">
        <w:rPr>
          <w:snapToGrid w:val="0"/>
          <w:color w:val="000000" w:themeColor="text1"/>
        </w:rPr>
        <w:t>/</w:t>
      </w:r>
      <w:r w:rsidR="00265D0A">
        <w:rPr>
          <w:snapToGrid w:val="0"/>
          <w:color w:val="000000" w:themeColor="text1"/>
        </w:rPr>
        <w:t>20</w:t>
      </w:r>
      <w:r w:rsidR="00620298" w:rsidRPr="00CA199F">
        <w:rPr>
          <w:snapToGrid w:val="0"/>
          <w:color w:val="000000" w:themeColor="text1"/>
        </w:rPr>
        <w:t xml:space="preserve"> was a surplus</w:t>
      </w:r>
      <w:r w:rsidR="00907BDB" w:rsidRPr="00CA199F">
        <w:rPr>
          <w:snapToGrid w:val="0"/>
          <w:color w:val="000000" w:themeColor="text1"/>
        </w:rPr>
        <w:t xml:space="preserve"> </w:t>
      </w:r>
      <w:r w:rsidR="00620298" w:rsidRPr="00CA199F">
        <w:rPr>
          <w:snapToGrid w:val="0"/>
          <w:color w:val="000000" w:themeColor="text1"/>
        </w:rPr>
        <w:t xml:space="preserve">of </w:t>
      </w:r>
      <w:r w:rsidR="00907BDB" w:rsidRPr="00CA199F">
        <w:rPr>
          <w:snapToGrid w:val="0"/>
          <w:color w:val="000000" w:themeColor="text1"/>
        </w:rPr>
        <w:t>£</w:t>
      </w:r>
      <w:r w:rsidR="00265D0A">
        <w:rPr>
          <w:snapToGrid w:val="0"/>
          <w:color w:val="000000" w:themeColor="text1"/>
        </w:rPr>
        <w:t>1.693</w:t>
      </w:r>
      <w:r w:rsidR="009608D9" w:rsidRPr="00CA199F">
        <w:rPr>
          <w:snapToGrid w:val="0"/>
          <w:color w:val="000000" w:themeColor="text1"/>
        </w:rPr>
        <w:t>m.</w:t>
      </w:r>
    </w:p>
    <w:p w14:paraId="1F7D3B6E" w14:textId="77777777" w:rsidR="00E64896" w:rsidRPr="00EC06E7" w:rsidRDefault="00E64896" w:rsidP="00CA199F">
      <w:pPr>
        <w:widowControl w:val="0"/>
        <w:tabs>
          <w:tab w:val="left" w:pos="0"/>
          <w:tab w:val="left" w:pos="2881"/>
        </w:tabs>
        <w:rPr>
          <w:snapToGrid w:val="0"/>
          <w:color w:val="000000" w:themeColor="text1"/>
        </w:rPr>
      </w:pPr>
    </w:p>
    <w:p w14:paraId="225DBF8F" w14:textId="20AB2C38" w:rsidR="009608D9" w:rsidRPr="00EC06E7" w:rsidRDefault="000227A5" w:rsidP="00CA199F">
      <w:pPr>
        <w:widowControl w:val="0"/>
        <w:tabs>
          <w:tab w:val="left" w:pos="0"/>
          <w:tab w:val="left" w:pos="2881"/>
        </w:tabs>
        <w:rPr>
          <w:snapToGrid w:val="0"/>
          <w:color w:val="000000" w:themeColor="text1"/>
        </w:rPr>
      </w:pPr>
      <w:r w:rsidRPr="00CA199F">
        <w:rPr>
          <w:snapToGrid w:val="0"/>
          <w:color w:val="000000" w:themeColor="text1"/>
        </w:rPr>
        <w:t xml:space="preserve">Note </w:t>
      </w:r>
      <w:r w:rsidR="000363A4" w:rsidRPr="00CA199F">
        <w:rPr>
          <w:snapToGrid w:val="0"/>
          <w:color w:val="000000" w:themeColor="text1"/>
        </w:rPr>
        <w:t>14</w:t>
      </w:r>
      <w:r w:rsidR="009608D9" w:rsidRPr="00CA199F">
        <w:rPr>
          <w:snapToGrid w:val="0"/>
          <w:color w:val="000000" w:themeColor="text1"/>
        </w:rPr>
        <w:t xml:space="preserve"> Taxation and Non-Specific Grant Income and Expenditure shows net Non-Domestic Rates Income and Expenditure for </w:t>
      </w:r>
      <w:r w:rsidR="002664E0">
        <w:rPr>
          <w:snapToGrid w:val="0"/>
          <w:color w:val="000000" w:themeColor="text1"/>
        </w:rPr>
        <w:t>2020/21</w:t>
      </w:r>
      <w:r w:rsidR="009608D9" w:rsidRPr="00CA199F">
        <w:rPr>
          <w:snapToGrid w:val="0"/>
          <w:color w:val="000000" w:themeColor="text1"/>
        </w:rPr>
        <w:t xml:space="preserve"> to be </w:t>
      </w:r>
      <w:r w:rsidR="002664E0">
        <w:rPr>
          <w:snapToGrid w:val="0"/>
          <w:color w:val="000000" w:themeColor="text1"/>
        </w:rPr>
        <w:t>a net cost of £1.808</w:t>
      </w:r>
      <w:r w:rsidR="009608D9" w:rsidRPr="00CA199F">
        <w:rPr>
          <w:snapToGrid w:val="0"/>
          <w:color w:val="000000" w:themeColor="text1"/>
        </w:rPr>
        <w:t>m (</w:t>
      </w:r>
      <w:r w:rsidR="00620298" w:rsidRPr="00CA199F">
        <w:rPr>
          <w:snapToGrid w:val="0"/>
          <w:color w:val="000000" w:themeColor="text1"/>
        </w:rPr>
        <w:t>201</w:t>
      </w:r>
      <w:r w:rsidR="002664E0">
        <w:rPr>
          <w:snapToGrid w:val="0"/>
          <w:color w:val="000000" w:themeColor="text1"/>
        </w:rPr>
        <w:t>9/20</w:t>
      </w:r>
      <w:r w:rsidR="009608D9" w:rsidRPr="00CA199F">
        <w:rPr>
          <w:snapToGrid w:val="0"/>
          <w:color w:val="000000" w:themeColor="text1"/>
        </w:rPr>
        <w:t xml:space="preserve"> </w:t>
      </w:r>
      <w:r w:rsidR="002664E0">
        <w:rPr>
          <w:snapToGrid w:val="0"/>
          <w:color w:val="000000" w:themeColor="text1"/>
        </w:rPr>
        <w:t xml:space="preserve">net income </w:t>
      </w:r>
      <w:r w:rsidR="004060D1" w:rsidRPr="00CA199F">
        <w:rPr>
          <w:snapToGrid w:val="0"/>
          <w:color w:val="000000" w:themeColor="text1"/>
        </w:rPr>
        <w:t>£5</w:t>
      </w:r>
      <w:r w:rsidR="002664E0">
        <w:rPr>
          <w:snapToGrid w:val="0"/>
          <w:color w:val="000000" w:themeColor="text1"/>
        </w:rPr>
        <w:t>.3</w:t>
      </w:r>
      <w:r w:rsidR="00CA199F" w:rsidRPr="00CA199F">
        <w:rPr>
          <w:snapToGrid w:val="0"/>
          <w:color w:val="000000" w:themeColor="text1"/>
        </w:rPr>
        <w:t>0</w:t>
      </w:r>
      <w:r w:rsidR="002664E0">
        <w:rPr>
          <w:snapToGrid w:val="0"/>
          <w:color w:val="000000" w:themeColor="text1"/>
        </w:rPr>
        <w:t>7m</w:t>
      </w:r>
      <w:r w:rsidR="009608D9" w:rsidRPr="00CA199F">
        <w:rPr>
          <w:snapToGrid w:val="0"/>
          <w:color w:val="000000" w:themeColor="text1"/>
        </w:rPr>
        <w:t xml:space="preserve">). This can be reconciled to </w:t>
      </w:r>
      <w:r w:rsidR="00907BDB" w:rsidRPr="00CA199F">
        <w:rPr>
          <w:snapToGrid w:val="0"/>
          <w:color w:val="000000" w:themeColor="text1"/>
        </w:rPr>
        <w:t xml:space="preserve">South </w:t>
      </w:r>
      <w:proofErr w:type="spellStart"/>
      <w:r w:rsidR="00907BDB" w:rsidRPr="00CA199F">
        <w:rPr>
          <w:snapToGrid w:val="0"/>
          <w:color w:val="000000" w:themeColor="text1"/>
        </w:rPr>
        <w:t>Ribble</w:t>
      </w:r>
      <w:proofErr w:type="spellEnd"/>
      <w:r w:rsidR="00907BDB" w:rsidRPr="00CA199F">
        <w:rPr>
          <w:snapToGrid w:val="0"/>
          <w:color w:val="000000" w:themeColor="text1"/>
        </w:rPr>
        <w:t xml:space="preserve"> Borough</w:t>
      </w:r>
      <w:r w:rsidR="009608D9" w:rsidRPr="00CA199F">
        <w:rPr>
          <w:snapToGrid w:val="0"/>
          <w:color w:val="000000" w:themeColor="text1"/>
        </w:rPr>
        <w:t xml:space="preserve"> Council’s share of Business Rates Income in the Collection Fund statement in the following table:</w:t>
      </w:r>
    </w:p>
    <w:p w14:paraId="018A8734" w14:textId="77777777" w:rsidR="009608D9" w:rsidRPr="00EC06E7" w:rsidRDefault="009608D9" w:rsidP="009608D9">
      <w:pPr>
        <w:rPr>
          <w:snapToGrid w:val="0"/>
          <w:color w:val="000000" w:themeColor="text1"/>
        </w:rPr>
      </w:pPr>
      <w:r w:rsidRPr="00EC06E7">
        <w:rPr>
          <w:snapToGrid w:val="0"/>
          <w:color w:val="000000" w:themeColor="text1"/>
        </w:rPr>
        <w:br w:type="page"/>
      </w:r>
    </w:p>
    <w:p w14:paraId="3A71767C" w14:textId="2E0AB56E" w:rsidR="009608D9" w:rsidRDefault="009608D9" w:rsidP="00936411">
      <w:pPr>
        <w:widowControl w:val="0"/>
        <w:tabs>
          <w:tab w:val="left" w:pos="0"/>
          <w:tab w:val="left" w:pos="2881"/>
        </w:tabs>
        <w:rPr>
          <w:snapToGrid w:val="0"/>
          <w:color w:val="000000" w:themeColor="text1"/>
        </w:rPr>
      </w:pPr>
    </w:p>
    <w:p w14:paraId="6BDF1047" w14:textId="54498612" w:rsidR="00AE4DD5" w:rsidRDefault="00B27BFC" w:rsidP="00936411">
      <w:pPr>
        <w:widowControl w:val="0"/>
        <w:tabs>
          <w:tab w:val="left" w:pos="0"/>
          <w:tab w:val="left" w:pos="2881"/>
        </w:tabs>
        <w:rPr>
          <w:snapToGrid w:val="0"/>
          <w:color w:val="000000" w:themeColor="text1"/>
        </w:rPr>
      </w:pPr>
      <w:r>
        <w:rPr>
          <w:snapToGrid w:val="0"/>
          <w:color w:val="000000" w:themeColor="text1"/>
        </w:rPr>
        <w:fldChar w:fldCharType="begin"/>
      </w:r>
      <w:r>
        <w:rPr>
          <w:snapToGrid w:val="0"/>
          <w:color w:val="000000" w:themeColor="text1"/>
        </w:rPr>
        <w:instrText xml:space="preserve"> LINK Excel.Sheet.12 "\\\\alpha\\accounts$\\CLOSURE\\Closure 20-21\\04 SoA Working Papers\\60 Collection Fund\\Collection Fund Tables 2020-21.xlsx!Note 3!R2C1:R12C3" "" \a \p </w:instrText>
      </w:r>
      <w:r>
        <w:rPr>
          <w:snapToGrid w:val="0"/>
          <w:color w:val="000000" w:themeColor="text1"/>
        </w:rPr>
        <w:fldChar w:fldCharType="separate"/>
      </w:r>
      <w:r w:rsidR="001C71EF">
        <w:rPr>
          <w:snapToGrid w:val="0"/>
          <w:color w:val="000000" w:themeColor="text1"/>
        </w:rPr>
        <w:object w:dxaOrig="10995" w:dyaOrig="4086" w14:anchorId="77FC62AC">
          <v:shape id="_x0000_i1090" type="#_x0000_t75" style="width:489.75pt;height:201.75pt" o:ole="">
            <v:imagedata r:id="rId117" o:title=""/>
            <o:lock v:ext="edit" aspectratio="f"/>
          </v:shape>
        </w:object>
      </w:r>
      <w:r>
        <w:rPr>
          <w:snapToGrid w:val="0"/>
          <w:color w:val="000000" w:themeColor="text1"/>
        </w:rPr>
        <w:fldChar w:fldCharType="end"/>
      </w:r>
    </w:p>
    <w:p w14:paraId="45D7D06B" w14:textId="3CB3C96D" w:rsidR="00AE4DD5" w:rsidRDefault="00AE4DD5" w:rsidP="00936411">
      <w:pPr>
        <w:widowControl w:val="0"/>
        <w:tabs>
          <w:tab w:val="left" w:pos="0"/>
          <w:tab w:val="left" w:pos="2881"/>
        </w:tabs>
        <w:rPr>
          <w:snapToGrid w:val="0"/>
          <w:color w:val="000000" w:themeColor="text1"/>
        </w:rPr>
      </w:pPr>
    </w:p>
    <w:p w14:paraId="10C9338E" w14:textId="41D6A3C3" w:rsidR="00CF3199" w:rsidRDefault="00CF3199" w:rsidP="00563BFE">
      <w:pPr>
        <w:widowControl w:val="0"/>
        <w:tabs>
          <w:tab w:val="left" w:pos="0"/>
          <w:tab w:val="left" w:pos="2881"/>
        </w:tabs>
        <w:rPr>
          <w:snapToGrid w:val="0"/>
          <w:color w:val="000000" w:themeColor="text1"/>
        </w:rPr>
      </w:pPr>
      <w:r w:rsidRPr="00EC06E7">
        <w:rPr>
          <w:snapToGrid w:val="0"/>
          <w:color w:val="000000" w:themeColor="text1"/>
        </w:rPr>
        <w:t xml:space="preserve">This </w:t>
      </w:r>
      <w:r w:rsidR="00DF0341">
        <w:rPr>
          <w:snapToGrid w:val="0"/>
          <w:color w:val="000000" w:themeColor="text1"/>
        </w:rPr>
        <w:t>c</w:t>
      </w:r>
      <w:r w:rsidRPr="00EC06E7">
        <w:rPr>
          <w:snapToGrid w:val="0"/>
          <w:color w:val="000000" w:themeColor="text1"/>
        </w:rPr>
        <w:t xml:space="preserve">ouncil is part of the Lancashire Business Rates Pool which began on 1 April 2016. In a Business Rate Pool, tariffs, top-ups, levies and safety nets can be combined. This can result in a significantly lower levy rate or even a </w:t>
      </w:r>
      <w:proofErr w:type="gramStart"/>
      <w:r w:rsidRPr="00EC06E7">
        <w:rPr>
          <w:snapToGrid w:val="0"/>
          <w:color w:val="000000" w:themeColor="text1"/>
        </w:rPr>
        <w:t>zero levy</w:t>
      </w:r>
      <w:proofErr w:type="gramEnd"/>
      <w:r w:rsidRPr="00EC06E7">
        <w:rPr>
          <w:snapToGrid w:val="0"/>
          <w:color w:val="000000" w:themeColor="text1"/>
        </w:rPr>
        <w:t xml:space="preserve"> rate meaning that more or all of the business rate growth can be retained within the pool area instead of being payable to the Government. For more information on the Lancashire Business Rates Pool see </w:t>
      </w:r>
      <w:r w:rsidR="007E5D02">
        <w:rPr>
          <w:snapToGrid w:val="0"/>
          <w:color w:val="000000" w:themeColor="text1"/>
        </w:rPr>
        <w:t>N</w:t>
      </w:r>
      <w:r w:rsidR="000227A5" w:rsidRPr="00EC06E7">
        <w:rPr>
          <w:snapToGrid w:val="0"/>
          <w:color w:val="000000" w:themeColor="text1"/>
        </w:rPr>
        <w:t>ote</w:t>
      </w:r>
      <w:r w:rsidR="000363A4">
        <w:rPr>
          <w:snapToGrid w:val="0"/>
          <w:color w:val="000000" w:themeColor="text1"/>
        </w:rPr>
        <w:t xml:space="preserve"> 14</w:t>
      </w:r>
      <w:r w:rsidRPr="00EC06E7">
        <w:rPr>
          <w:snapToGrid w:val="0"/>
          <w:color w:val="000000" w:themeColor="text1"/>
        </w:rPr>
        <w:t>.</w:t>
      </w:r>
      <w:r w:rsidR="00CA199F">
        <w:rPr>
          <w:snapToGrid w:val="0"/>
          <w:color w:val="000000" w:themeColor="text1"/>
        </w:rPr>
        <w:t xml:space="preserve"> </w:t>
      </w:r>
      <w:r w:rsidR="00563BFE">
        <w:rPr>
          <w:snapToGrid w:val="0"/>
          <w:color w:val="000000" w:themeColor="text1"/>
        </w:rPr>
        <w:t>For 2019/20, the Pool was based on 75% local retention</w:t>
      </w:r>
      <w:r w:rsidR="00265D0A">
        <w:rPr>
          <w:snapToGrid w:val="0"/>
          <w:color w:val="000000" w:themeColor="text1"/>
        </w:rPr>
        <w:t xml:space="preserve"> of income</w:t>
      </w:r>
      <w:r w:rsidR="00563BFE">
        <w:rPr>
          <w:snapToGrid w:val="0"/>
          <w:color w:val="000000" w:themeColor="text1"/>
        </w:rPr>
        <w:t xml:space="preserve">, </w:t>
      </w:r>
      <w:r w:rsidR="00265D0A">
        <w:rPr>
          <w:snapToGrid w:val="0"/>
          <w:color w:val="000000" w:themeColor="text1"/>
        </w:rPr>
        <w:t xml:space="preserve">of which 56% was attributed to this council, 17.5% to Lancashire County Council and 1.5% to the Lancashire Fire and Rescue Authority. </w:t>
      </w:r>
      <w:r w:rsidR="00563BFE">
        <w:rPr>
          <w:snapToGrid w:val="0"/>
          <w:color w:val="000000" w:themeColor="text1"/>
        </w:rPr>
        <w:t>For 2020/21, th</w:t>
      </w:r>
      <w:r w:rsidR="00265D0A">
        <w:rPr>
          <w:snapToGrid w:val="0"/>
          <w:color w:val="000000" w:themeColor="text1"/>
        </w:rPr>
        <w:t>is</w:t>
      </w:r>
      <w:r w:rsidR="00563BFE">
        <w:rPr>
          <w:snapToGrid w:val="0"/>
          <w:color w:val="000000" w:themeColor="text1"/>
        </w:rPr>
        <w:t xml:space="preserve"> has reverted to 50% local retention</w:t>
      </w:r>
      <w:r w:rsidR="00265D0A">
        <w:rPr>
          <w:snapToGrid w:val="0"/>
          <w:color w:val="000000" w:themeColor="text1"/>
        </w:rPr>
        <w:t>, which had previously been the position up until 2018/19, with shares of 40%, 9% and 1% respectively, giving rise to the proportionately lower amounts shown in the table above.</w:t>
      </w:r>
    </w:p>
    <w:p w14:paraId="69232C9F" w14:textId="77777777" w:rsidR="00265D0A" w:rsidRPr="00EC06E7" w:rsidRDefault="00265D0A" w:rsidP="00563BFE">
      <w:pPr>
        <w:widowControl w:val="0"/>
        <w:tabs>
          <w:tab w:val="left" w:pos="0"/>
          <w:tab w:val="left" w:pos="2881"/>
        </w:tabs>
        <w:rPr>
          <w:snapToGrid w:val="0"/>
          <w:color w:val="000000" w:themeColor="text1"/>
        </w:rPr>
      </w:pPr>
    </w:p>
    <w:p w14:paraId="77A3E14A" w14:textId="2BF29D7A" w:rsidR="00265D0A" w:rsidRDefault="00D57BB2" w:rsidP="00563BFE">
      <w:pPr>
        <w:widowControl w:val="0"/>
        <w:tabs>
          <w:tab w:val="left" w:pos="0"/>
          <w:tab w:val="left" w:pos="2881"/>
        </w:tabs>
        <w:rPr>
          <w:snapToGrid w:val="0"/>
          <w:color w:val="000000" w:themeColor="text1"/>
        </w:rPr>
      </w:pPr>
      <w:r>
        <w:rPr>
          <w:snapToGrid w:val="0"/>
          <w:color w:val="000000" w:themeColor="text1"/>
        </w:rPr>
        <w:t xml:space="preserve">The additional reliefs introduced by the government in response to the Covid-19 pandemic do not affect the amount of </w:t>
      </w:r>
      <w:r w:rsidR="00326F1E">
        <w:rPr>
          <w:snapToGrid w:val="0"/>
          <w:color w:val="000000" w:themeColor="text1"/>
        </w:rPr>
        <w:t xml:space="preserve">business rates </w:t>
      </w:r>
      <w:r>
        <w:rPr>
          <w:snapToGrid w:val="0"/>
          <w:color w:val="000000" w:themeColor="text1"/>
        </w:rPr>
        <w:t xml:space="preserve">income receivable by the </w:t>
      </w:r>
      <w:r w:rsidR="00326F1E">
        <w:rPr>
          <w:snapToGrid w:val="0"/>
          <w:color w:val="000000" w:themeColor="text1"/>
        </w:rPr>
        <w:t>c</w:t>
      </w:r>
      <w:r>
        <w:rPr>
          <w:snapToGrid w:val="0"/>
          <w:color w:val="000000" w:themeColor="text1"/>
        </w:rPr>
        <w:t xml:space="preserve">ouncil for 2020/21, because this was fixed by the NNDR1 return completed in January 2020. They have, however, had a significant </w:t>
      </w:r>
      <w:r w:rsidR="002177FD">
        <w:rPr>
          <w:snapToGrid w:val="0"/>
          <w:color w:val="000000" w:themeColor="text1"/>
        </w:rPr>
        <w:t>e</w:t>
      </w:r>
      <w:r>
        <w:rPr>
          <w:snapToGrid w:val="0"/>
          <w:color w:val="000000" w:themeColor="text1"/>
        </w:rPr>
        <w:t xml:space="preserve">ffect on the </w:t>
      </w:r>
      <w:r w:rsidR="00326F1E">
        <w:rPr>
          <w:snapToGrid w:val="0"/>
          <w:color w:val="000000" w:themeColor="text1"/>
        </w:rPr>
        <w:t xml:space="preserve">council’s share of the </w:t>
      </w:r>
      <w:r>
        <w:rPr>
          <w:snapToGrid w:val="0"/>
          <w:color w:val="000000" w:themeColor="text1"/>
        </w:rPr>
        <w:t>surplus/deficit at the end of the year, producing the deficit of over £5.</w:t>
      </w:r>
      <w:r w:rsidR="00EA01B8">
        <w:rPr>
          <w:snapToGrid w:val="0"/>
          <w:color w:val="000000" w:themeColor="text1"/>
        </w:rPr>
        <w:t>478</w:t>
      </w:r>
      <w:r>
        <w:rPr>
          <w:snapToGrid w:val="0"/>
          <w:color w:val="000000" w:themeColor="text1"/>
        </w:rPr>
        <w:t xml:space="preserve">m </w:t>
      </w:r>
      <w:r w:rsidR="00C74552">
        <w:rPr>
          <w:snapToGrid w:val="0"/>
          <w:color w:val="000000" w:themeColor="text1"/>
        </w:rPr>
        <w:t xml:space="preserve">(£5.514m - £0.036m) </w:t>
      </w:r>
      <w:r>
        <w:rPr>
          <w:snapToGrid w:val="0"/>
          <w:color w:val="000000" w:themeColor="text1"/>
        </w:rPr>
        <w:t>shown above.</w:t>
      </w:r>
      <w:r w:rsidR="00326F1E">
        <w:rPr>
          <w:snapToGrid w:val="0"/>
          <w:color w:val="000000" w:themeColor="text1"/>
        </w:rPr>
        <w:t xml:space="preserve"> In terms of actual income to the council, this deficit is offset by additional government grants. For more detail of this, see Note 14 on page </w:t>
      </w:r>
      <w:r w:rsidR="002E7B90">
        <w:rPr>
          <w:snapToGrid w:val="0"/>
          <w:color w:val="000000" w:themeColor="text1"/>
        </w:rPr>
        <w:t>72</w:t>
      </w:r>
      <w:r w:rsidR="00326F1E">
        <w:rPr>
          <w:snapToGrid w:val="0"/>
          <w:color w:val="000000" w:themeColor="text1"/>
        </w:rPr>
        <w:t>.</w:t>
      </w:r>
    </w:p>
    <w:p w14:paraId="492F3BA1" w14:textId="70C37C78" w:rsidR="006D49A3" w:rsidRDefault="006D49A3" w:rsidP="00047F4F">
      <w:pPr>
        <w:widowControl w:val="0"/>
        <w:tabs>
          <w:tab w:val="left" w:pos="0"/>
          <w:tab w:val="left" w:pos="2881"/>
        </w:tabs>
        <w:rPr>
          <w:snapToGrid w:val="0"/>
          <w:color w:val="000000" w:themeColor="text1"/>
        </w:rPr>
      </w:pPr>
    </w:p>
    <w:p w14:paraId="168AF883" w14:textId="77777777" w:rsidR="00326F1E" w:rsidRPr="00EC06E7" w:rsidRDefault="00326F1E" w:rsidP="00047F4F">
      <w:pPr>
        <w:widowControl w:val="0"/>
        <w:tabs>
          <w:tab w:val="left" w:pos="0"/>
          <w:tab w:val="left" w:pos="2881"/>
        </w:tabs>
        <w:rPr>
          <w:snapToGrid w:val="0"/>
          <w:color w:val="000000" w:themeColor="text1"/>
        </w:rPr>
      </w:pPr>
    </w:p>
    <w:p w14:paraId="340F62F6" w14:textId="77777777" w:rsidR="00364B25" w:rsidRPr="0074533F" w:rsidRDefault="00C92ADF" w:rsidP="00E948BF">
      <w:pPr>
        <w:pStyle w:val="Heading2"/>
        <w:numPr>
          <w:ilvl w:val="3"/>
          <w:numId w:val="17"/>
        </w:numPr>
      </w:pPr>
      <w:bookmarkStart w:id="232" w:name="_Toc483391009"/>
      <w:bookmarkStart w:id="233" w:name="_Toc77603819"/>
      <w:r w:rsidRPr="0074533F">
        <w:t>Business rates details of charge</w:t>
      </w:r>
      <w:bookmarkEnd w:id="232"/>
      <w:bookmarkEnd w:id="233"/>
    </w:p>
    <w:p w14:paraId="4D54382E" w14:textId="77777777" w:rsidR="00364B25" w:rsidRPr="00EC06E7" w:rsidRDefault="00364B25" w:rsidP="00613790">
      <w:pPr>
        <w:rPr>
          <w:rFonts w:cs="Arial"/>
          <w:b/>
          <w:szCs w:val="22"/>
        </w:rPr>
      </w:pPr>
    </w:p>
    <w:p w14:paraId="32FC1B1F" w14:textId="4BB442B4" w:rsidR="00364B25" w:rsidRPr="00613790" w:rsidRDefault="00364B25" w:rsidP="00613790">
      <w:pPr>
        <w:rPr>
          <w:rFonts w:cs="Arial"/>
          <w:szCs w:val="22"/>
        </w:rPr>
      </w:pPr>
      <w:r w:rsidRPr="00613790">
        <w:rPr>
          <w:rFonts w:cs="Arial"/>
          <w:szCs w:val="22"/>
        </w:rPr>
        <w:t xml:space="preserve">Business Rates are organised on a national basis.  In 2005/2006 the Government introduced a Small Business Rate Relief Scheme.  This results in there being two multipliers – one for small businesses at </w:t>
      </w:r>
      <w:r w:rsidR="00613790" w:rsidRPr="00613790">
        <w:rPr>
          <w:rFonts w:cs="Arial"/>
          <w:szCs w:val="22"/>
        </w:rPr>
        <w:t>49.</w:t>
      </w:r>
      <w:r w:rsidR="00E5419F">
        <w:rPr>
          <w:rFonts w:cs="Arial"/>
          <w:szCs w:val="22"/>
        </w:rPr>
        <w:t>9</w:t>
      </w:r>
      <w:r w:rsidRPr="00613790">
        <w:rPr>
          <w:rFonts w:cs="Arial"/>
          <w:szCs w:val="22"/>
        </w:rPr>
        <w:t xml:space="preserve">p in </w:t>
      </w:r>
      <w:r w:rsidR="005B33E8" w:rsidRPr="00613790">
        <w:rPr>
          <w:rFonts w:cs="Arial"/>
          <w:szCs w:val="22"/>
        </w:rPr>
        <w:t>20</w:t>
      </w:r>
      <w:r w:rsidR="00E5419F">
        <w:rPr>
          <w:rFonts w:cs="Arial"/>
          <w:szCs w:val="22"/>
        </w:rPr>
        <w:t>20</w:t>
      </w:r>
      <w:r w:rsidR="005B33E8" w:rsidRPr="00613790">
        <w:rPr>
          <w:rFonts w:cs="Arial"/>
          <w:szCs w:val="22"/>
        </w:rPr>
        <w:t>/</w:t>
      </w:r>
      <w:r w:rsidR="00613790" w:rsidRPr="00613790">
        <w:rPr>
          <w:rFonts w:cs="Arial"/>
          <w:szCs w:val="22"/>
        </w:rPr>
        <w:t>2</w:t>
      </w:r>
      <w:r w:rsidR="00E5419F">
        <w:rPr>
          <w:rFonts w:cs="Arial"/>
          <w:szCs w:val="22"/>
        </w:rPr>
        <w:t>1</w:t>
      </w:r>
      <w:r w:rsidRPr="00613790">
        <w:rPr>
          <w:rFonts w:cs="Arial"/>
          <w:szCs w:val="22"/>
        </w:rPr>
        <w:t xml:space="preserve"> </w:t>
      </w:r>
      <w:r w:rsidR="006F57E3" w:rsidRPr="00613790">
        <w:rPr>
          <w:rFonts w:cs="Arial"/>
          <w:szCs w:val="22"/>
        </w:rPr>
        <w:t>(</w:t>
      </w:r>
      <w:r w:rsidR="00E5419F" w:rsidRPr="00613790">
        <w:rPr>
          <w:rFonts w:cs="Arial"/>
          <w:szCs w:val="22"/>
        </w:rPr>
        <w:t>49.1p in 2019/20</w:t>
      </w:r>
      <w:r w:rsidR="006F57E3" w:rsidRPr="00613790">
        <w:rPr>
          <w:rFonts w:cs="Arial"/>
          <w:szCs w:val="22"/>
        </w:rPr>
        <w:t xml:space="preserve">) </w:t>
      </w:r>
      <w:r w:rsidRPr="00613790">
        <w:rPr>
          <w:rFonts w:cs="Arial"/>
          <w:szCs w:val="22"/>
        </w:rPr>
        <w:t xml:space="preserve">and one for larger businesses at </w:t>
      </w:r>
      <w:r w:rsidR="00613790" w:rsidRPr="00613790">
        <w:rPr>
          <w:rFonts w:cs="Arial"/>
          <w:szCs w:val="22"/>
        </w:rPr>
        <w:t>5</w:t>
      </w:r>
      <w:r w:rsidR="00E5419F">
        <w:rPr>
          <w:rFonts w:cs="Arial"/>
          <w:szCs w:val="22"/>
        </w:rPr>
        <w:t>1</w:t>
      </w:r>
      <w:r w:rsidR="00613790" w:rsidRPr="00613790">
        <w:rPr>
          <w:rFonts w:cs="Arial"/>
          <w:szCs w:val="22"/>
        </w:rPr>
        <w:t>.</w:t>
      </w:r>
      <w:r w:rsidR="00E5419F">
        <w:rPr>
          <w:rFonts w:cs="Arial"/>
          <w:szCs w:val="22"/>
        </w:rPr>
        <w:t>2</w:t>
      </w:r>
      <w:r w:rsidR="00FB2FA4" w:rsidRPr="00613790">
        <w:rPr>
          <w:rFonts w:cs="Arial"/>
          <w:szCs w:val="22"/>
        </w:rPr>
        <w:t>p</w:t>
      </w:r>
      <w:r w:rsidR="006F57E3" w:rsidRPr="00613790">
        <w:rPr>
          <w:rFonts w:cs="Arial"/>
          <w:szCs w:val="22"/>
        </w:rPr>
        <w:t xml:space="preserve"> in </w:t>
      </w:r>
      <w:r w:rsidR="00E5419F" w:rsidRPr="00613790">
        <w:rPr>
          <w:rFonts w:cs="Arial"/>
          <w:szCs w:val="22"/>
        </w:rPr>
        <w:t>20</w:t>
      </w:r>
      <w:r w:rsidR="00E5419F">
        <w:rPr>
          <w:rFonts w:cs="Arial"/>
          <w:szCs w:val="22"/>
        </w:rPr>
        <w:t>20</w:t>
      </w:r>
      <w:r w:rsidR="00E5419F" w:rsidRPr="00613790">
        <w:rPr>
          <w:rFonts w:cs="Arial"/>
          <w:szCs w:val="22"/>
        </w:rPr>
        <w:t>/2</w:t>
      </w:r>
      <w:r w:rsidR="00E5419F">
        <w:rPr>
          <w:rFonts w:cs="Arial"/>
          <w:szCs w:val="22"/>
        </w:rPr>
        <w:t>1</w:t>
      </w:r>
      <w:r w:rsidR="00E5419F" w:rsidRPr="00613790">
        <w:rPr>
          <w:rFonts w:cs="Arial"/>
          <w:szCs w:val="22"/>
        </w:rPr>
        <w:t xml:space="preserve"> </w:t>
      </w:r>
      <w:r w:rsidR="006F57E3" w:rsidRPr="00613790">
        <w:rPr>
          <w:rFonts w:cs="Arial"/>
          <w:szCs w:val="22"/>
        </w:rPr>
        <w:t>(</w:t>
      </w:r>
      <w:r w:rsidR="00E5419F" w:rsidRPr="00613790">
        <w:rPr>
          <w:rFonts w:cs="Arial"/>
          <w:szCs w:val="22"/>
        </w:rPr>
        <w:t>50.4p in 2019/20</w:t>
      </w:r>
      <w:r w:rsidR="006F57E3" w:rsidRPr="00613790">
        <w:rPr>
          <w:rFonts w:cs="Arial"/>
          <w:szCs w:val="22"/>
        </w:rPr>
        <w:t>)</w:t>
      </w:r>
      <w:r w:rsidR="00FB2FA4" w:rsidRPr="00613790">
        <w:rPr>
          <w:rFonts w:cs="Arial"/>
          <w:szCs w:val="22"/>
        </w:rPr>
        <w:t xml:space="preserve">. </w:t>
      </w:r>
    </w:p>
    <w:p w14:paraId="0CA94902" w14:textId="77777777" w:rsidR="00FB2FA4" w:rsidRPr="00613790" w:rsidRDefault="00FB2FA4" w:rsidP="00613790">
      <w:pPr>
        <w:rPr>
          <w:rFonts w:cs="Arial"/>
          <w:szCs w:val="22"/>
        </w:rPr>
      </w:pPr>
    </w:p>
    <w:p w14:paraId="556295E9" w14:textId="68A27CC8" w:rsidR="00FB2FA4" w:rsidRPr="00613790" w:rsidRDefault="001F3834" w:rsidP="00613790">
      <w:pPr>
        <w:rPr>
          <w:rFonts w:cs="Arial"/>
          <w:szCs w:val="22"/>
        </w:rPr>
      </w:pPr>
      <w:r w:rsidRPr="00613790">
        <w:rPr>
          <w:rFonts w:cs="Arial"/>
          <w:szCs w:val="22"/>
        </w:rPr>
        <w:t>The Business Rates income</w:t>
      </w:r>
      <w:r w:rsidR="00747091" w:rsidRPr="00613790">
        <w:rPr>
          <w:rFonts w:cs="Arial"/>
          <w:szCs w:val="22"/>
        </w:rPr>
        <w:t xml:space="preserve"> for </w:t>
      </w:r>
      <w:r w:rsidR="00E5419F" w:rsidRPr="00613790">
        <w:rPr>
          <w:rFonts w:cs="Arial"/>
          <w:szCs w:val="22"/>
        </w:rPr>
        <w:t>20</w:t>
      </w:r>
      <w:r w:rsidR="00E5419F">
        <w:rPr>
          <w:rFonts w:cs="Arial"/>
          <w:szCs w:val="22"/>
        </w:rPr>
        <w:t>20</w:t>
      </w:r>
      <w:r w:rsidR="00E5419F" w:rsidRPr="00613790">
        <w:rPr>
          <w:rFonts w:cs="Arial"/>
          <w:szCs w:val="22"/>
        </w:rPr>
        <w:t>/2</w:t>
      </w:r>
      <w:r w:rsidR="00E5419F">
        <w:rPr>
          <w:rFonts w:cs="Arial"/>
          <w:szCs w:val="22"/>
        </w:rPr>
        <w:t>1</w:t>
      </w:r>
      <w:r w:rsidRPr="00613790">
        <w:rPr>
          <w:rFonts w:cs="Arial"/>
          <w:szCs w:val="22"/>
        </w:rPr>
        <w:t>, after reliefs</w:t>
      </w:r>
      <w:r w:rsidR="00212A43" w:rsidRPr="00613790">
        <w:rPr>
          <w:rFonts w:cs="Arial"/>
          <w:szCs w:val="22"/>
        </w:rPr>
        <w:t xml:space="preserve"> and provisions, was </w:t>
      </w:r>
      <w:r w:rsidR="00D20B1C" w:rsidRPr="00613790">
        <w:rPr>
          <w:rFonts w:cs="Arial"/>
          <w:szCs w:val="22"/>
        </w:rPr>
        <w:t>£</w:t>
      </w:r>
      <w:r w:rsidR="00E5419F">
        <w:rPr>
          <w:rFonts w:cs="Arial"/>
          <w:szCs w:val="22"/>
        </w:rPr>
        <w:t>21.965</w:t>
      </w:r>
      <w:r w:rsidR="00212A43" w:rsidRPr="00613790">
        <w:rPr>
          <w:rFonts w:cs="Arial"/>
          <w:szCs w:val="22"/>
        </w:rPr>
        <w:t xml:space="preserve">m </w:t>
      </w:r>
      <w:r w:rsidR="00D20B1C" w:rsidRPr="00613790">
        <w:rPr>
          <w:rFonts w:cs="Arial"/>
          <w:szCs w:val="22"/>
        </w:rPr>
        <w:t>(£</w:t>
      </w:r>
      <w:r w:rsidR="00E5419F" w:rsidRPr="00613790">
        <w:rPr>
          <w:rFonts w:cs="Arial"/>
          <w:szCs w:val="22"/>
        </w:rPr>
        <w:t>36.503</w:t>
      </w:r>
      <w:r w:rsidR="00D20B1C" w:rsidRPr="00613790">
        <w:rPr>
          <w:rFonts w:cs="Arial"/>
          <w:szCs w:val="22"/>
        </w:rPr>
        <w:t>m</w:t>
      </w:r>
      <w:r w:rsidR="00212A43" w:rsidRPr="00613790">
        <w:rPr>
          <w:rFonts w:cs="Arial"/>
          <w:szCs w:val="22"/>
        </w:rPr>
        <w:t xml:space="preserve"> in </w:t>
      </w:r>
      <w:r w:rsidR="00E5419F" w:rsidRPr="00613790">
        <w:rPr>
          <w:rFonts w:cs="Arial"/>
          <w:szCs w:val="22"/>
        </w:rPr>
        <w:t>2019/20</w:t>
      </w:r>
      <w:r w:rsidRPr="00613790">
        <w:rPr>
          <w:rFonts w:cs="Arial"/>
          <w:szCs w:val="22"/>
        </w:rPr>
        <w:t>).</w:t>
      </w:r>
    </w:p>
    <w:p w14:paraId="421DF0B9" w14:textId="77777777" w:rsidR="00364B25" w:rsidRPr="00613790" w:rsidRDefault="00364B25" w:rsidP="00613790">
      <w:pPr>
        <w:widowControl w:val="0"/>
        <w:tabs>
          <w:tab w:val="left" w:pos="718"/>
          <w:tab w:val="left" w:pos="2881"/>
        </w:tabs>
        <w:ind w:left="717" w:hanging="717"/>
        <w:rPr>
          <w:snapToGrid w:val="0"/>
        </w:rPr>
      </w:pPr>
    </w:p>
    <w:p w14:paraId="11A8C453" w14:textId="2C0256DA" w:rsidR="00B5551A" w:rsidRDefault="00364B25" w:rsidP="00613790">
      <w:pPr>
        <w:widowControl w:val="0"/>
        <w:tabs>
          <w:tab w:val="left" w:pos="426"/>
          <w:tab w:val="left" w:pos="2881"/>
        </w:tabs>
        <w:rPr>
          <w:rFonts w:cs="Arial"/>
          <w:szCs w:val="22"/>
        </w:rPr>
      </w:pPr>
      <w:r w:rsidRPr="00613790">
        <w:rPr>
          <w:rFonts w:cs="Arial"/>
          <w:szCs w:val="22"/>
        </w:rPr>
        <w:t xml:space="preserve">The rateable value for the </w:t>
      </w:r>
      <w:r w:rsidR="00DF0341">
        <w:rPr>
          <w:rFonts w:cs="Arial"/>
          <w:szCs w:val="22"/>
        </w:rPr>
        <w:t>c</w:t>
      </w:r>
      <w:r w:rsidRPr="00613790">
        <w:rPr>
          <w:rFonts w:cs="Arial"/>
          <w:szCs w:val="22"/>
        </w:rPr>
        <w:t xml:space="preserve">ouncil's area at the end of the financial year </w:t>
      </w:r>
      <w:r w:rsidR="005B33E8" w:rsidRPr="00613790">
        <w:rPr>
          <w:rFonts w:cs="Arial"/>
          <w:szCs w:val="22"/>
        </w:rPr>
        <w:t>20</w:t>
      </w:r>
      <w:r w:rsidR="00613790" w:rsidRPr="00613790">
        <w:rPr>
          <w:rFonts w:cs="Arial"/>
          <w:szCs w:val="22"/>
        </w:rPr>
        <w:t>20</w:t>
      </w:r>
      <w:r w:rsidR="00C0361B">
        <w:rPr>
          <w:rFonts w:cs="Arial"/>
          <w:szCs w:val="22"/>
        </w:rPr>
        <w:t>/21</w:t>
      </w:r>
      <w:r w:rsidRPr="00613790">
        <w:rPr>
          <w:rFonts w:cs="Arial"/>
          <w:szCs w:val="22"/>
        </w:rPr>
        <w:t xml:space="preserve"> was £</w:t>
      </w:r>
      <w:r w:rsidR="00613790" w:rsidRPr="00613790">
        <w:rPr>
          <w:rFonts w:cs="Arial"/>
          <w:szCs w:val="22"/>
        </w:rPr>
        <w:t>89.</w:t>
      </w:r>
      <w:r w:rsidR="00E5419F">
        <w:rPr>
          <w:rFonts w:cs="Arial"/>
          <w:szCs w:val="22"/>
        </w:rPr>
        <w:t>29</w:t>
      </w:r>
      <w:r w:rsidR="00613790" w:rsidRPr="00613790">
        <w:rPr>
          <w:rFonts w:cs="Arial"/>
          <w:szCs w:val="22"/>
        </w:rPr>
        <w:t>8</w:t>
      </w:r>
      <w:r w:rsidR="00512629" w:rsidRPr="00613790">
        <w:rPr>
          <w:rFonts w:cs="Arial"/>
          <w:szCs w:val="22"/>
        </w:rPr>
        <w:t>m</w:t>
      </w:r>
      <w:r w:rsidRPr="00613790">
        <w:rPr>
          <w:rFonts w:cs="Arial"/>
          <w:szCs w:val="22"/>
        </w:rPr>
        <w:t xml:space="preserve"> (£</w:t>
      </w:r>
      <w:r w:rsidR="00E5419F" w:rsidRPr="00613790">
        <w:rPr>
          <w:rFonts w:cs="Arial"/>
          <w:szCs w:val="22"/>
        </w:rPr>
        <w:t>89.183</w:t>
      </w:r>
      <w:r w:rsidR="006E5B8F" w:rsidRPr="00613790">
        <w:rPr>
          <w:rFonts w:cs="Arial"/>
          <w:szCs w:val="22"/>
        </w:rPr>
        <w:t xml:space="preserve">m </w:t>
      </w:r>
      <w:r w:rsidRPr="00613790">
        <w:rPr>
          <w:rFonts w:cs="Arial"/>
          <w:szCs w:val="22"/>
        </w:rPr>
        <w:t xml:space="preserve">in </w:t>
      </w:r>
      <w:r w:rsidR="00E5419F" w:rsidRPr="00613790">
        <w:rPr>
          <w:rFonts w:cs="Arial"/>
          <w:szCs w:val="22"/>
        </w:rPr>
        <w:t>2019/20</w:t>
      </w:r>
      <w:r w:rsidRPr="00613790">
        <w:rPr>
          <w:rFonts w:cs="Arial"/>
          <w:szCs w:val="22"/>
        </w:rPr>
        <w:t>).</w:t>
      </w:r>
    </w:p>
    <w:p w14:paraId="128052D6" w14:textId="77777777" w:rsidR="00950E2E" w:rsidRDefault="00950E2E" w:rsidP="00613790">
      <w:pPr>
        <w:widowControl w:val="0"/>
        <w:tabs>
          <w:tab w:val="left" w:pos="426"/>
          <w:tab w:val="left" w:pos="2881"/>
        </w:tabs>
        <w:rPr>
          <w:rFonts w:cs="Arial"/>
          <w:szCs w:val="22"/>
        </w:rPr>
      </w:pPr>
    </w:p>
    <w:p w14:paraId="5FF6956F" w14:textId="77777777" w:rsidR="00950E2E" w:rsidRDefault="00950E2E" w:rsidP="00613790">
      <w:pPr>
        <w:widowControl w:val="0"/>
        <w:tabs>
          <w:tab w:val="left" w:pos="426"/>
          <w:tab w:val="left" w:pos="2881"/>
        </w:tabs>
        <w:rPr>
          <w:rFonts w:cs="Arial"/>
          <w:szCs w:val="22"/>
        </w:rPr>
      </w:pPr>
    </w:p>
    <w:p w14:paraId="11CFBE49" w14:textId="77777777" w:rsidR="00950E2E" w:rsidRDefault="00950E2E" w:rsidP="00613790">
      <w:pPr>
        <w:widowControl w:val="0"/>
        <w:tabs>
          <w:tab w:val="left" w:pos="426"/>
          <w:tab w:val="left" w:pos="2881"/>
        </w:tabs>
        <w:rPr>
          <w:rFonts w:cs="Arial"/>
          <w:szCs w:val="22"/>
        </w:rPr>
      </w:pPr>
    </w:p>
    <w:p w14:paraId="69C3ACC4" w14:textId="77777777" w:rsidR="00CD4B9F" w:rsidRDefault="00CD4B9F">
      <w:pPr>
        <w:jc w:val="left"/>
        <w:rPr>
          <w:rFonts w:cs="Arial"/>
          <w:szCs w:val="22"/>
        </w:rPr>
      </w:pPr>
    </w:p>
    <w:p w14:paraId="12C7C887" w14:textId="77777777" w:rsidR="00546414" w:rsidRDefault="00546414" w:rsidP="00613790">
      <w:pPr>
        <w:widowControl w:val="0"/>
        <w:tabs>
          <w:tab w:val="left" w:pos="426"/>
          <w:tab w:val="left" w:pos="2881"/>
        </w:tabs>
        <w:rPr>
          <w:rFonts w:cs="Arial"/>
          <w:szCs w:val="22"/>
        </w:rPr>
        <w:sectPr w:rsidR="00546414" w:rsidSect="00A535A0">
          <w:pgSz w:w="11906" w:h="16838"/>
          <w:pgMar w:top="1134" w:right="1134" w:bottom="1134" w:left="1134" w:header="567" w:footer="567" w:gutter="0"/>
          <w:cols w:space="720"/>
          <w:docGrid w:linePitch="360"/>
        </w:sectPr>
      </w:pPr>
    </w:p>
    <w:p w14:paraId="3A380E13" w14:textId="77777777" w:rsidR="00571CCB" w:rsidRPr="00571CCB" w:rsidRDefault="00571CCB" w:rsidP="00571CCB">
      <w:pPr>
        <w:keepNext/>
        <w:keepLines/>
        <w:spacing w:line="259" w:lineRule="auto"/>
        <w:outlineLvl w:val="0"/>
        <w:rPr>
          <w:rFonts w:eastAsia="Century Gothic" w:cs="Arial"/>
          <w:bCs/>
          <w:sz w:val="96"/>
          <w:szCs w:val="22"/>
        </w:rPr>
      </w:pPr>
      <w:bookmarkStart w:id="234" w:name="_Toc77603820"/>
      <w:r w:rsidRPr="00571CCB">
        <w:rPr>
          <w:rFonts w:eastAsia="Century Gothic" w:cs="Arial"/>
          <w:bCs/>
          <w:sz w:val="96"/>
          <w:szCs w:val="22"/>
        </w:rPr>
        <w:t>Annual Governance Statement 2020/21</w:t>
      </w:r>
      <w:bookmarkEnd w:id="234"/>
    </w:p>
    <w:p w14:paraId="1380CAB1" w14:textId="77777777" w:rsidR="00571CCB" w:rsidRPr="006A11D0" w:rsidRDefault="00571CCB" w:rsidP="00571CCB">
      <w:pPr>
        <w:jc w:val="center"/>
        <w:rPr>
          <w:b/>
          <w:snapToGrid w:val="0"/>
          <w:lang w:eastAsia="en-US"/>
        </w:rPr>
      </w:pPr>
    </w:p>
    <w:p w14:paraId="4EECAF55" w14:textId="77777777" w:rsidR="00571CCB" w:rsidRDefault="00571CCB" w:rsidP="00571CCB">
      <w:pPr>
        <w:rPr>
          <w:b/>
          <w:snapToGrid w:val="0"/>
          <w:lang w:eastAsia="en-US"/>
        </w:rPr>
      </w:pPr>
    </w:p>
    <w:p w14:paraId="690F3135" w14:textId="77777777" w:rsidR="00571CCB" w:rsidRDefault="00571CCB" w:rsidP="00571CCB">
      <w:pPr>
        <w:rPr>
          <w:b/>
          <w:snapToGrid w:val="0"/>
          <w:lang w:eastAsia="en-US"/>
        </w:rPr>
      </w:pPr>
    </w:p>
    <w:p w14:paraId="06DFBC96" w14:textId="77777777" w:rsidR="00571CCB" w:rsidRDefault="00571CCB" w:rsidP="00571CCB">
      <w:pPr>
        <w:rPr>
          <w:b/>
          <w:snapToGrid w:val="0"/>
          <w:lang w:eastAsia="en-US"/>
        </w:rPr>
      </w:pPr>
      <w:r>
        <w:rPr>
          <w:b/>
          <w:snapToGrid w:val="0"/>
          <w:lang w:eastAsia="en-US"/>
        </w:rPr>
        <w:br w:type="page"/>
      </w:r>
    </w:p>
    <w:p w14:paraId="50528369" w14:textId="77777777" w:rsidR="00571CCB" w:rsidRDefault="00571CCB" w:rsidP="00571CCB">
      <w:pPr>
        <w:rPr>
          <w:b/>
          <w:snapToGrid w:val="0"/>
          <w:u w:val="single"/>
          <w:lang w:eastAsia="en-US"/>
        </w:rPr>
      </w:pPr>
    </w:p>
    <w:p w14:paraId="08882079" w14:textId="77777777" w:rsidR="00571CCB" w:rsidRPr="009053C4" w:rsidRDefault="00571CCB" w:rsidP="00E948BF">
      <w:pPr>
        <w:pStyle w:val="ListParagraph"/>
        <w:numPr>
          <w:ilvl w:val="0"/>
          <w:numId w:val="45"/>
        </w:numPr>
        <w:spacing w:after="200" w:line="276" w:lineRule="auto"/>
        <w:contextualSpacing/>
        <w:rPr>
          <w:b/>
          <w:snapToGrid w:val="0"/>
          <w:u w:val="single"/>
        </w:rPr>
      </w:pPr>
      <w:r w:rsidRPr="009053C4">
        <w:rPr>
          <w:b/>
          <w:snapToGrid w:val="0"/>
          <w:u w:val="single"/>
        </w:rPr>
        <w:t>INTRODUCTION</w:t>
      </w:r>
    </w:p>
    <w:p w14:paraId="695286D0" w14:textId="77777777" w:rsidR="00571CCB" w:rsidRDefault="00571CCB" w:rsidP="00571CCB">
      <w:pPr>
        <w:rPr>
          <w:b/>
          <w:snapToGrid w:val="0"/>
          <w:u w:val="single"/>
          <w:lang w:eastAsia="en-US"/>
        </w:rPr>
      </w:pPr>
    </w:p>
    <w:p w14:paraId="1E0AD6FF" w14:textId="77777777" w:rsidR="00571CCB" w:rsidRDefault="00571CCB" w:rsidP="00571CCB">
      <w:pPr>
        <w:rPr>
          <w:bCs/>
          <w:snapToGrid w:val="0"/>
          <w:lang w:eastAsia="en-US"/>
        </w:rPr>
      </w:pPr>
      <w:r>
        <w:rPr>
          <w:bCs/>
          <w:snapToGrid w:val="0"/>
          <w:lang w:eastAsia="en-US"/>
        </w:rPr>
        <w:t xml:space="preserve">The Annual Governance Statement is a point in time assessment of the council’s governance framework. It considers information assembled over the course of the previous 12 months to make an evidence-based assessment of the systems, processes, culture and values that feed into our internal control environment and our compliance with them. This document draws the evidence together and provides a valued judgement of our governance environment.  </w:t>
      </w:r>
    </w:p>
    <w:p w14:paraId="20E6AAAA" w14:textId="77777777" w:rsidR="00571CCB" w:rsidRDefault="00571CCB" w:rsidP="00571CCB">
      <w:pPr>
        <w:rPr>
          <w:bCs/>
          <w:snapToGrid w:val="0"/>
          <w:lang w:eastAsia="en-US"/>
        </w:rPr>
      </w:pPr>
    </w:p>
    <w:p w14:paraId="4C2DEDCF" w14:textId="77777777" w:rsidR="00571CCB" w:rsidRDefault="00571CCB" w:rsidP="00571CCB">
      <w:pPr>
        <w:rPr>
          <w:bCs/>
          <w:snapToGrid w:val="0"/>
          <w:lang w:eastAsia="en-US"/>
        </w:rPr>
      </w:pPr>
      <w:r>
        <w:rPr>
          <w:bCs/>
          <w:snapToGrid w:val="0"/>
          <w:lang w:eastAsia="en-US"/>
        </w:rPr>
        <w:t>The AGS provides an overview of the council’s key governance systems and explains how they are tested and the assurance that can be relied upon to show that these systems and processes operating effectively.  The Statement comprises an overview of the key elements of its governance framework and what evidence has been received in order to determine the effectiveness of the arrangements.  In addition, the Statement contains an update on the areas for improvement identified last year, together with proposed areas for improvement for the coming year.</w:t>
      </w:r>
    </w:p>
    <w:p w14:paraId="190904EE" w14:textId="77777777" w:rsidR="00571CCB" w:rsidRDefault="00571CCB" w:rsidP="00571CCB">
      <w:pPr>
        <w:rPr>
          <w:bCs/>
          <w:snapToGrid w:val="0"/>
          <w:lang w:eastAsia="en-US"/>
        </w:rPr>
      </w:pPr>
    </w:p>
    <w:p w14:paraId="0A0ED310" w14:textId="77777777" w:rsidR="00571CCB" w:rsidRDefault="00571CCB" w:rsidP="00571CCB">
      <w:pPr>
        <w:rPr>
          <w:bCs/>
          <w:snapToGrid w:val="0"/>
          <w:lang w:eastAsia="en-US"/>
        </w:rPr>
      </w:pPr>
    </w:p>
    <w:p w14:paraId="75C3D3EB" w14:textId="77777777" w:rsidR="00571CCB" w:rsidRDefault="00571CCB" w:rsidP="00571CCB">
      <w:pPr>
        <w:rPr>
          <w:bCs/>
          <w:snapToGrid w:val="0"/>
          <w:lang w:eastAsia="en-US"/>
        </w:rPr>
      </w:pPr>
    </w:p>
    <w:p w14:paraId="74A5C6AB" w14:textId="77777777" w:rsidR="00571CCB" w:rsidRDefault="00571CCB" w:rsidP="00571CCB">
      <w:pPr>
        <w:rPr>
          <w:bCs/>
          <w:snapToGrid w:val="0"/>
          <w:lang w:eastAsia="en-US"/>
        </w:rPr>
      </w:pPr>
      <w:r>
        <w:rPr>
          <w:bCs/>
          <w:snapToGrid w:val="0"/>
          <w:lang w:eastAsia="en-US"/>
        </w:rPr>
        <w:br w:type="page"/>
      </w:r>
    </w:p>
    <w:p w14:paraId="16C38855" w14:textId="77777777" w:rsidR="00571CCB" w:rsidRPr="007D3DD5" w:rsidRDefault="00571CCB" w:rsidP="00571CCB">
      <w:pPr>
        <w:rPr>
          <w:bCs/>
          <w:snapToGrid w:val="0"/>
          <w:lang w:eastAsia="en-US"/>
        </w:rPr>
      </w:pPr>
    </w:p>
    <w:p w14:paraId="6651E23E" w14:textId="77777777" w:rsidR="00571CCB" w:rsidRPr="00864F10" w:rsidRDefault="00571CCB" w:rsidP="00E948BF">
      <w:pPr>
        <w:pStyle w:val="BodyText2"/>
        <w:numPr>
          <w:ilvl w:val="0"/>
          <w:numId w:val="45"/>
        </w:numPr>
        <w:spacing w:after="0" w:line="240" w:lineRule="auto"/>
        <w:rPr>
          <w:b/>
          <w:sz w:val="28"/>
          <w:szCs w:val="28"/>
        </w:rPr>
      </w:pPr>
      <w:r w:rsidRPr="00864F10">
        <w:rPr>
          <w:b/>
          <w:sz w:val="28"/>
          <w:szCs w:val="28"/>
        </w:rPr>
        <w:t>What is Corporate Governance</w:t>
      </w:r>
    </w:p>
    <w:p w14:paraId="6E615BA8" w14:textId="77777777" w:rsidR="00571CCB" w:rsidRPr="003F1913" w:rsidRDefault="00571CCB" w:rsidP="00571CCB">
      <w:pPr>
        <w:pStyle w:val="BodyText2"/>
      </w:pPr>
    </w:p>
    <w:p w14:paraId="280634E4" w14:textId="77777777" w:rsidR="00571CCB" w:rsidRPr="003322A5" w:rsidRDefault="00571CCB" w:rsidP="00571CCB">
      <w:pPr>
        <w:pStyle w:val="BodyText2"/>
        <w:spacing w:line="240" w:lineRule="auto"/>
        <w:rPr>
          <w:rFonts w:cs="Arial"/>
        </w:rPr>
      </w:pPr>
      <w:r w:rsidRPr="003322A5">
        <w:rPr>
          <w:rFonts w:cs="Arial"/>
        </w:rPr>
        <w:t xml:space="preserve">South </w:t>
      </w:r>
      <w:proofErr w:type="spellStart"/>
      <w:r w:rsidRPr="003322A5">
        <w:rPr>
          <w:rFonts w:cs="Arial"/>
        </w:rPr>
        <w:t>Ribble</w:t>
      </w:r>
      <w:proofErr w:type="spellEnd"/>
      <w:r w:rsidRPr="003322A5">
        <w:rPr>
          <w:rFonts w:cs="Arial"/>
        </w:rPr>
        <w:t xml:space="preserve"> Borough Council is responsible for ensuring that its business is conducted in accordance with the law, to </w:t>
      </w:r>
      <w:r>
        <w:rPr>
          <w:rFonts w:cs="Arial"/>
        </w:rPr>
        <w:t xml:space="preserve">the </w:t>
      </w:r>
      <w:r w:rsidRPr="003322A5">
        <w:rPr>
          <w:rFonts w:cs="Arial"/>
        </w:rPr>
        <w:t>high</w:t>
      </w:r>
      <w:r>
        <w:rPr>
          <w:rFonts w:cs="Arial"/>
        </w:rPr>
        <w:t>est</w:t>
      </w:r>
      <w:r w:rsidRPr="003322A5">
        <w:rPr>
          <w:rFonts w:cs="Arial"/>
        </w:rPr>
        <w:t xml:space="preserve"> standards and that there is a sound system of governance (incorporating the system of internal control). Public money must be protected and properly accounted for. We also have a duty under the Local Government Act 1999 to continually review and improve the way we work, while at the same time offering value for money and delivering an efficient and effective service.  </w:t>
      </w:r>
    </w:p>
    <w:p w14:paraId="43047A92" w14:textId="77777777" w:rsidR="00571CCB" w:rsidRPr="003322A5" w:rsidRDefault="00571CCB" w:rsidP="00571CCB">
      <w:pPr>
        <w:pStyle w:val="BodyText2"/>
        <w:spacing w:line="240" w:lineRule="auto"/>
        <w:rPr>
          <w:rFonts w:cs="Arial"/>
        </w:rPr>
      </w:pPr>
      <w:r w:rsidRPr="003322A5">
        <w:rPr>
          <w:rFonts w:cs="Arial"/>
        </w:rPr>
        <w:t xml:space="preserve">To meet this responsibility, we </w:t>
      </w:r>
      <w:r>
        <w:rPr>
          <w:rFonts w:cs="Arial"/>
        </w:rPr>
        <w:t>have</w:t>
      </w:r>
      <w:r w:rsidRPr="003322A5">
        <w:rPr>
          <w:rFonts w:cs="Arial"/>
        </w:rPr>
        <w:t xml:space="preserve"> put in place arrangements for overseeing what we do (this is what we mean by governance). These arrangements are intended to make sure we do the right things, in the right way, for the right people, in a fair, open, honest and accountable way.</w:t>
      </w:r>
    </w:p>
    <w:p w14:paraId="0EE17DBA" w14:textId="77777777" w:rsidR="00571CCB" w:rsidRDefault="00571CCB" w:rsidP="00571CCB">
      <w:pPr>
        <w:autoSpaceDE w:val="0"/>
        <w:autoSpaceDN w:val="0"/>
        <w:adjustRightInd w:val="0"/>
        <w:rPr>
          <w:szCs w:val="22"/>
        </w:rPr>
      </w:pPr>
      <w:r w:rsidRPr="003322A5">
        <w:rPr>
          <w:szCs w:val="22"/>
        </w:rPr>
        <w:t xml:space="preserve">Our Governance Framework </w:t>
      </w:r>
      <w:r>
        <w:rPr>
          <w:szCs w:val="22"/>
        </w:rPr>
        <w:t xml:space="preserve">is based on the </w:t>
      </w:r>
      <w:r w:rsidRPr="003B2FA7">
        <w:rPr>
          <w:rFonts w:cs="Arial"/>
          <w:szCs w:val="22"/>
        </w:rPr>
        <w:t>CIPFA/SOLACE Framework</w:t>
      </w:r>
      <w:r>
        <w:rPr>
          <w:rStyle w:val="FootnoteReference"/>
          <w:rFonts w:cs="Arial"/>
          <w:szCs w:val="22"/>
        </w:rPr>
        <w:footnoteReference w:id="1"/>
      </w:r>
      <w:r>
        <w:rPr>
          <w:rFonts w:cs="Arial"/>
          <w:szCs w:val="22"/>
        </w:rPr>
        <w:t xml:space="preserve"> </w:t>
      </w:r>
      <w:r>
        <w:rPr>
          <w:rStyle w:val="FootnoteReference"/>
          <w:rFonts w:cs="Arial"/>
          <w:szCs w:val="22"/>
        </w:rPr>
        <w:footnoteReference w:id="2"/>
      </w:r>
      <w:r w:rsidRPr="006B19FD">
        <w:rPr>
          <w:rFonts w:cs="Arial"/>
          <w:sz w:val="16"/>
          <w:szCs w:val="16"/>
        </w:rPr>
        <w:t xml:space="preserve">. </w:t>
      </w:r>
      <w:r>
        <w:rPr>
          <w:szCs w:val="22"/>
        </w:rPr>
        <w:t xml:space="preserve">It </w:t>
      </w:r>
      <w:r w:rsidRPr="003322A5">
        <w:rPr>
          <w:szCs w:val="22"/>
        </w:rPr>
        <w:t xml:space="preserve">promotes and demonstrates our commitment to the principles of good governance and incorporates the council’s values that emphasise how we do things at South </w:t>
      </w:r>
      <w:proofErr w:type="spellStart"/>
      <w:r w:rsidRPr="003322A5">
        <w:rPr>
          <w:szCs w:val="22"/>
        </w:rPr>
        <w:t>Ribble</w:t>
      </w:r>
      <w:proofErr w:type="spellEnd"/>
      <w:r w:rsidRPr="003322A5">
        <w:rPr>
          <w:szCs w:val="22"/>
        </w:rPr>
        <w:t xml:space="preserve"> Borough Council. </w:t>
      </w:r>
      <w:r>
        <w:rPr>
          <w:szCs w:val="22"/>
        </w:rPr>
        <w:t xml:space="preserve">It is important to note that a robust governance framework only has value if it is complied with and contains sufficient controls to ensure this. </w:t>
      </w:r>
    </w:p>
    <w:p w14:paraId="7BA10316" w14:textId="77777777" w:rsidR="00571CCB" w:rsidRDefault="00571CCB" w:rsidP="00571CCB">
      <w:pPr>
        <w:autoSpaceDE w:val="0"/>
        <w:autoSpaceDN w:val="0"/>
        <w:adjustRightInd w:val="0"/>
        <w:rPr>
          <w:szCs w:val="22"/>
        </w:rPr>
      </w:pPr>
    </w:p>
    <w:p w14:paraId="6B005DDF" w14:textId="77777777" w:rsidR="00571CCB" w:rsidRDefault="00571CCB" w:rsidP="00571CCB">
      <w:pPr>
        <w:autoSpaceDE w:val="0"/>
        <w:autoSpaceDN w:val="0"/>
        <w:adjustRightInd w:val="0"/>
        <w:rPr>
          <w:szCs w:val="22"/>
        </w:rPr>
      </w:pPr>
      <w:r>
        <w:rPr>
          <w:szCs w:val="22"/>
        </w:rPr>
        <w:t xml:space="preserve">The adopted Local Code of Corporate Governance incorporates and demonstrates how the 7 principles detailed by the CIPFA/SOLACE Framework, and set out below, are complied with. </w:t>
      </w:r>
    </w:p>
    <w:p w14:paraId="081E3006" w14:textId="77777777" w:rsidR="00571CCB" w:rsidRDefault="00571CCB" w:rsidP="00571CCB">
      <w:pPr>
        <w:autoSpaceDE w:val="0"/>
        <w:autoSpaceDN w:val="0"/>
        <w:adjustRightInd w:val="0"/>
        <w:rPr>
          <w:szCs w:val="22"/>
        </w:rPr>
      </w:pPr>
    </w:p>
    <w:p w14:paraId="0924FAF9" w14:textId="77777777" w:rsidR="00571CCB" w:rsidRDefault="00571CCB" w:rsidP="00571CCB">
      <w:pPr>
        <w:spacing w:line="239" w:lineRule="auto"/>
        <w:rPr>
          <w:bCs/>
        </w:rPr>
      </w:pPr>
      <w:r w:rsidRPr="00957805">
        <w:rPr>
          <w:bCs/>
          <w:szCs w:val="22"/>
        </w:rPr>
        <w:t xml:space="preserve">Good governance </w:t>
      </w:r>
      <w:proofErr w:type="gramStart"/>
      <w:r w:rsidRPr="00957805">
        <w:rPr>
          <w:bCs/>
          <w:szCs w:val="22"/>
        </w:rPr>
        <w:t>means</w:t>
      </w:r>
      <w:r>
        <w:rPr>
          <w:bCs/>
          <w:szCs w:val="22"/>
        </w:rPr>
        <w:t>:-</w:t>
      </w:r>
      <w:proofErr w:type="gramEnd"/>
      <w:r w:rsidRPr="00957805">
        <w:rPr>
          <w:bCs/>
          <w:szCs w:val="22"/>
        </w:rPr>
        <w:t xml:space="preserve"> </w:t>
      </w:r>
    </w:p>
    <w:p w14:paraId="6ABCDD0C" w14:textId="77777777" w:rsidR="00571CCB" w:rsidRPr="00957805" w:rsidRDefault="00571CCB" w:rsidP="00E948BF">
      <w:pPr>
        <w:pStyle w:val="ListParagraph"/>
        <w:numPr>
          <w:ilvl w:val="0"/>
          <w:numId w:val="40"/>
        </w:numPr>
        <w:spacing w:after="200" w:line="239" w:lineRule="auto"/>
        <w:contextualSpacing/>
        <w:jc w:val="left"/>
        <w:rPr>
          <w:bCs/>
        </w:rPr>
      </w:pPr>
      <w:r w:rsidRPr="00957805">
        <w:rPr>
          <w:bCs/>
        </w:rPr>
        <w:t xml:space="preserve">behaving with integrity, demonstrating strong commitment to ethical values, and respecting the rule of law. </w:t>
      </w:r>
    </w:p>
    <w:p w14:paraId="6A791735" w14:textId="77777777" w:rsidR="00571CCB" w:rsidRDefault="00571CCB" w:rsidP="00E948BF">
      <w:pPr>
        <w:pStyle w:val="ListParagraph"/>
        <w:numPr>
          <w:ilvl w:val="0"/>
          <w:numId w:val="40"/>
        </w:numPr>
        <w:autoSpaceDE w:val="0"/>
        <w:autoSpaceDN w:val="0"/>
        <w:adjustRightInd w:val="0"/>
        <w:spacing w:after="200" w:line="276" w:lineRule="auto"/>
        <w:contextualSpacing/>
        <w:rPr>
          <w:bCs/>
        </w:rPr>
      </w:pPr>
      <w:r w:rsidRPr="00957805">
        <w:rPr>
          <w:bCs/>
        </w:rPr>
        <w:t>ensuring openness and comprehensive stakeholder engagement</w:t>
      </w:r>
    </w:p>
    <w:p w14:paraId="427C4424" w14:textId="77777777" w:rsidR="00571CCB" w:rsidRPr="00957805" w:rsidRDefault="00571CCB" w:rsidP="00E948BF">
      <w:pPr>
        <w:pStyle w:val="ListParagraph"/>
        <w:numPr>
          <w:ilvl w:val="0"/>
          <w:numId w:val="40"/>
        </w:numPr>
        <w:autoSpaceDE w:val="0"/>
        <w:autoSpaceDN w:val="0"/>
        <w:adjustRightInd w:val="0"/>
        <w:spacing w:after="200" w:line="276" w:lineRule="auto"/>
        <w:contextualSpacing/>
        <w:rPr>
          <w:bCs/>
        </w:rPr>
      </w:pPr>
      <w:r>
        <w:rPr>
          <w:bCs/>
        </w:rPr>
        <w:t>defining outcomes in terms of sustainable economic, social and environmental benefits</w:t>
      </w:r>
    </w:p>
    <w:p w14:paraId="344EE488" w14:textId="77777777" w:rsidR="00571CCB" w:rsidRPr="00957805" w:rsidRDefault="00571CCB" w:rsidP="00E948BF">
      <w:pPr>
        <w:pStyle w:val="ListParagraph"/>
        <w:numPr>
          <w:ilvl w:val="0"/>
          <w:numId w:val="40"/>
        </w:numPr>
        <w:spacing w:after="200" w:line="239" w:lineRule="auto"/>
        <w:contextualSpacing/>
        <w:jc w:val="left"/>
        <w:rPr>
          <w:bCs/>
        </w:rPr>
      </w:pPr>
      <w:r w:rsidRPr="00957805">
        <w:rPr>
          <w:bCs/>
        </w:rPr>
        <w:t>determining the interventions necessary to optimise the achievement of the intended outcomes</w:t>
      </w:r>
    </w:p>
    <w:p w14:paraId="51A20BDF" w14:textId="77777777" w:rsidR="00571CCB" w:rsidRPr="00957805" w:rsidRDefault="00571CCB" w:rsidP="00E948BF">
      <w:pPr>
        <w:pStyle w:val="ListParagraph"/>
        <w:numPr>
          <w:ilvl w:val="0"/>
          <w:numId w:val="40"/>
        </w:numPr>
        <w:spacing w:after="144" w:line="239" w:lineRule="auto"/>
        <w:contextualSpacing/>
        <w:jc w:val="left"/>
        <w:rPr>
          <w:bCs/>
        </w:rPr>
      </w:pPr>
      <w:r w:rsidRPr="00957805">
        <w:rPr>
          <w:bCs/>
        </w:rPr>
        <w:t xml:space="preserve">developing the council’s capacity, including the capability of its leadership and the individuals within it </w:t>
      </w:r>
    </w:p>
    <w:p w14:paraId="50AE5B61" w14:textId="77777777" w:rsidR="00571CCB" w:rsidRPr="00957805" w:rsidRDefault="00571CCB" w:rsidP="00E948BF">
      <w:pPr>
        <w:pStyle w:val="ListParagraph"/>
        <w:numPr>
          <w:ilvl w:val="0"/>
          <w:numId w:val="40"/>
        </w:numPr>
        <w:spacing w:after="200" w:line="239" w:lineRule="auto"/>
        <w:ind w:right="2086"/>
        <w:contextualSpacing/>
        <w:jc w:val="left"/>
        <w:rPr>
          <w:bCs/>
        </w:rPr>
      </w:pPr>
      <w:r w:rsidRPr="00957805">
        <w:rPr>
          <w:bCs/>
        </w:rPr>
        <w:t xml:space="preserve">managing risks and performance through robust internal control and strong public financial management </w:t>
      </w:r>
    </w:p>
    <w:p w14:paraId="4BF46B42" w14:textId="77777777" w:rsidR="00571CCB" w:rsidRPr="00957805" w:rsidRDefault="00571CCB" w:rsidP="00E948BF">
      <w:pPr>
        <w:pStyle w:val="ListParagraph"/>
        <w:numPr>
          <w:ilvl w:val="0"/>
          <w:numId w:val="40"/>
        </w:numPr>
        <w:spacing w:after="200" w:line="239" w:lineRule="auto"/>
        <w:contextualSpacing/>
        <w:jc w:val="left"/>
        <w:rPr>
          <w:bCs/>
        </w:rPr>
      </w:pPr>
      <w:r w:rsidRPr="00957805">
        <w:rPr>
          <w:bCs/>
        </w:rPr>
        <w:t>implementing good practices in transparency, reporting, and audit to deliver effective accountability</w:t>
      </w:r>
    </w:p>
    <w:p w14:paraId="7AC3A6B4" w14:textId="77777777" w:rsidR="00571CCB" w:rsidRPr="00633674" w:rsidRDefault="00571CCB" w:rsidP="00571CCB">
      <w:pPr>
        <w:autoSpaceDE w:val="0"/>
        <w:autoSpaceDN w:val="0"/>
        <w:adjustRightInd w:val="0"/>
        <w:rPr>
          <w:color w:val="FF0000"/>
        </w:rPr>
      </w:pPr>
      <w:r>
        <w:rPr>
          <w:szCs w:val="22"/>
        </w:rPr>
        <w:t>Our Local Code was reviewed and updated this year and approved by Governance Committee on 23 March 2021 and</w:t>
      </w:r>
      <w:r>
        <w:t xml:space="preserve"> can be accessed through this hyperlink </w:t>
      </w:r>
      <w:r w:rsidRPr="007F549D">
        <w:rPr>
          <w:color w:val="FF0000"/>
        </w:rPr>
        <w:t>here</w:t>
      </w:r>
      <w:r>
        <w:t xml:space="preserve">. </w:t>
      </w:r>
    </w:p>
    <w:p w14:paraId="3EDF3E87" w14:textId="77777777" w:rsidR="00571CCB" w:rsidRPr="003322A5" w:rsidRDefault="00571CCB" w:rsidP="00571CCB">
      <w:pPr>
        <w:pStyle w:val="BodyText2"/>
      </w:pPr>
    </w:p>
    <w:p w14:paraId="156E93B1" w14:textId="77777777" w:rsidR="00571CCB" w:rsidRPr="00AE77D6" w:rsidRDefault="00571CCB" w:rsidP="00571CCB">
      <w:pPr>
        <w:ind w:left="720"/>
        <w:rPr>
          <w:rFonts w:cs="Arial"/>
          <w:snapToGrid w:val="0"/>
          <w:sz w:val="16"/>
          <w:szCs w:val="16"/>
          <w:lang w:eastAsia="en-US"/>
        </w:rPr>
      </w:pPr>
    </w:p>
    <w:p w14:paraId="4E24AE30" w14:textId="77777777" w:rsidR="00571CCB" w:rsidRPr="009053C4" w:rsidRDefault="00571CCB" w:rsidP="00E948BF">
      <w:pPr>
        <w:pStyle w:val="ListParagraph"/>
        <w:numPr>
          <w:ilvl w:val="0"/>
          <w:numId w:val="45"/>
        </w:numPr>
        <w:spacing w:after="200" w:line="276" w:lineRule="auto"/>
        <w:contextualSpacing/>
        <w:rPr>
          <w:rFonts w:ascii="Sabon-Roman" w:hAnsi="Sabon-Roman"/>
          <w:b/>
          <w:snapToGrid w:val="0"/>
          <w:sz w:val="28"/>
          <w:szCs w:val="28"/>
        </w:rPr>
      </w:pPr>
      <w:r w:rsidRPr="009053C4">
        <w:rPr>
          <w:rFonts w:ascii="Sabon-Roman" w:hAnsi="Sabon-Roman"/>
          <w:b/>
          <w:snapToGrid w:val="0"/>
          <w:sz w:val="28"/>
          <w:szCs w:val="28"/>
        </w:rPr>
        <w:t xml:space="preserve">The Council’s Governance Framework </w:t>
      </w:r>
    </w:p>
    <w:p w14:paraId="2DFEBE8D" w14:textId="77777777" w:rsidR="00571CCB" w:rsidRPr="003322A5" w:rsidRDefault="00571CCB" w:rsidP="00571CCB">
      <w:pPr>
        <w:autoSpaceDE w:val="0"/>
        <w:autoSpaceDN w:val="0"/>
        <w:adjustRightInd w:val="0"/>
        <w:rPr>
          <w:rFonts w:cs="Arial"/>
          <w:szCs w:val="22"/>
        </w:rPr>
      </w:pPr>
      <w:r w:rsidRPr="003322A5">
        <w:rPr>
          <w:rFonts w:cs="Arial"/>
          <w:szCs w:val="22"/>
        </w:rPr>
        <w:t>The governance framework comprises the systems, processes, culture and values by which we direct and control our activities including those by which we account to, engage with and lead the community.  It enables us to monitor how we are achieving our long-term aims and to demonstrate where this has led to improved services that are delivering value for money. The council has responsibility for ensuring that there is a sound system of governance.</w:t>
      </w:r>
    </w:p>
    <w:p w14:paraId="689C1132" w14:textId="77777777" w:rsidR="00571CCB" w:rsidRDefault="00571CCB" w:rsidP="00571CCB">
      <w:pPr>
        <w:pStyle w:val="BodyText2"/>
        <w:spacing w:after="0" w:line="240" w:lineRule="auto"/>
        <w:rPr>
          <w:rFonts w:cs="Arial"/>
        </w:rPr>
      </w:pPr>
    </w:p>
    <w:p w14:paraId="6FC23936" w14:textId="221DB456" w:rsidR="00571CCB" w:rsidRPr="007F549D" w:rsidRDefault="00571CCB" w:rsidP="00571CCB">
      <w:pPr>
        <w:pStyle w:val="BodyText2"/>
        <w:spacing w:after="0" w:line="240" w:lineRule="auto"/>
        <w:rPr>
          <w:rFonts w:cs="Arial"/>
        </w:rPr>
      </w:pPr>
      <w:r w:rsidRPr="003322A5">
        <w:rPr>
          <w:rFonts w:cs="Arial"/>
        </w:rPr>
        <w:t>The system of internal control is a significant part of the framework and is designed to manage risk to a reasonable level. It cannot remove all risk of failing to achieve our priorities and aims, so it can only offer reasonable protection</w:t>
      </w:r>
      <w:r w:rsidRPr="008F63D1">
        <w:rPr>
          <w:rFonts w:cs="Arial"/>
        </w:rPr>
        <w:t xml:space="preserve">. It is based </w:t>
      </w:r>
      <w:r w:rsidRPr="007F549D">
        <w:rPr>
          <w:rFonts w:cs="Arial"/>
        </w:rPr>
        <w:t xml:space="preserve">on an ongoing process that is designed to: </w:t>
      </w:r>
    </w:p>
    <w:p w14:paraId="0919B97E" w14:textId="77777777" w:rsidR="00571CCB" w:rsidRPr="007F549D" w:rsidRDefault="00571CCB" w:rsidP="00571CCB">
      <w:pPr>
        <w:pStyle w:val="BodyText2"/>
        <w:spacing w:line="240" w:lineRule="auto"/>
        <w:rPr>
          <w:rFonts w:cs="Arial"/>
        </w:rPr>
      </w:pPr>
    </w:p>
    <w:p w14:paraId="3AEDC767" w14:textId="77777777" w:rsidR="00571CCB" w:rsidRPr="007F549D" w:rsidRDefault="00571CCB" w:rsidP="00E948BF">
      <w:pPr>
        <w:pStyle w:val="BodyText2"/>
        <w:numPr>
          <w:ilvl w:val="0"/>
          <w:numId w:val="33"/>
        </w:numPr>
        <w:spacing w:after="0" w:line="240" w:lineRule="auto"/>
        <w:rPr>
          <w:rFonts w:cs="Arial"/>
        </w:rPr>
      </w:pPr>
      <w:r w:rsidRPr="007F549D">
        <w:rPr>
          <w:rFonts w:cs="Arial"/>
        </w:rPr>
        <w:t>Identify and prioritise the risks that could prevent us achieving our aims and objectives</w:t>
      </w:r>
    </w:p>
    <w:p w14:paraId="4F078FD6" w14:textId="77777777" w:rsidR="00571CCB" w:rsidRPr="007F549D" w:rsidRDefault="00571CCB" w:rsidP="00E948BF">
      <w:pPr>
        <w:pStyle w:val="BodyText2"/>
        <w:numPr>
          <w:ilvl w:val="0"/>
          <w:numId w:val="33"/>
        </w:numPr>
        <w:spacing w:after="0" w:line="240" w:lineRule="auto"/>
        <w:rPr>
          <w:rFonts w:cs="Arial"/>
        </w:rPr>
      </w:pPr>
      <w:r w:rsidRPr="007F549D">
        <w:rPr>
          <w:rFonts w:cs="Arial"/>
        </w:rPr>
        <w:t xml:space="preserve">Assess the likelihood and impact of the risk occurring </w:t>
      </w:r>
    </w:p>
    <w:p w14:paraId="7025E147" w14:textId="77777777" w:rsidR="00571CCB" w:rsidRDefault="00571CCB" w:rsidP="00E948BF">
      <w:pPr>
        <w:pStyle w:val="BodyText2"/>
        <w:numPr>
          <w:ilvl w:val="0"/>
          <w:numId w:val="33"/>
        </w:numPr>
        <w:spacing w:after="0" w:line="240" w:lineRule="auto"/>
        <w:rPr>
          <w:rFonts w:cs="Arial"/>
        </w:rPr>
      </w:pPr>
      <w:r w:rsidRPr="007F549D">
        <w:rPr>
          <w:rFonts w:cs="Arial"/>
        </w:rPr>
        <w:t xml:space="preserve">Manage the risks efficiently, effectively and economically. </w:t>
      </w:r>
    </w:p>
    <w:p w14:paraId="78404724" w14:textId="77777777" w:rsidR="00571CCB" w:rsidRDefault="00571CCB" w:rsidP="00571CCB">
      <w:pPr>
        <w:pStyle w:val="BodyText2"/>
        <w:rPr>
          <w:rFonts w:cs="Arial"/>
          <w:color w:val="FF0000"/>
        </w:rPr>
      </w:pPr>
    </w:p>
    <w:p w14:paraId="54F63513" w14:textId="77777777" w:rsidR="00571CCB" w:rsidRPr="004169AE" w:rsidRDefault="00571CCB" w:rsidP="00571CCB">
      <w:pPr>
        <w:pStyle w:val="BodyText2"/>
        <w:spacing w:line="240" w:lineRule="auto"/>
        <w:rPr>
          <w:rFonts w:cs="Arial"/>
        </w:rPr>
      </w:pPr>
      <w:r w:rsidRPr="004169AE">
        <w:rPr>
          <w:rFonts w:cs="Arial"/>
        </w:rPr>
        <w:t xml:space="preserve">The local code should enable members to satisfy themselves that council objectives are being met lawfully, in accordance with the corporate plan, medium term financial strategy and in a way that demonstrates value for money. The framework is the basis for the </w:t>
      </w:r>
      <w:proofErr w:type="gramStart"/>
      <w:r w:rsidRPr="004169AE">
        <w:rPr>
          <w:rFonts w:cs="Arial"/>
        </w:rPr>
        <w:t>decision making</w:t>
      </w:r>
      <w:proofErr w:type="gramEnd"/>
      <w:r w:rsidRPr="004169AE">
        <w:rPr>
          <w:rFonts w:cs="Arial"/>
        </w:rPr>
        <w:t xml:space="preserve"> structures and compliance with it enables members to have sufficient information to test any proposals and / or delivery and to make a reasonable, evidence based decision.</w:t>
      </w:r>
    </w:p>
    <w:p w14:paraId="4C1AF647" w14:textId="77777777" w:rsidR="00571CCB" w:rsidRPr="004169AE" w:rsidRDefault="00571CCB" w:rsidP="00571CCB">
      <w:pPr>
        <w:pStyle w:val="BodyText2"/>
        <w:spacing w:line="240" w:lineRule="auto"/>
        <w:rPr>
          <w:rFonts w:cs="Arial"/>
        </w:rPr>
      </w:pPr>
      <w:r w:rsidRPr="004169AE">
        <w:rPr>
          <w:rFonts w:cs="Arial"/>
        </w:rPr>
        <w:t>Changes introduced this year enhance the framework. Member led executive decision making ensures that decisions are made appropriately and there are clear processes through open cabinet, public speaking provisions and call in to challenge.</w:t>
      </w:r>
    </w:p>
    <w:p w14:paraId="2340D94D" w14:textId="77777777" w:rsidR="00571CCB" w:rsidRDefault="00571CCB" w:rsidP="00571CCB">
      <w:pPr>
        <w:rPr>
          <w:bCs/>
          <w:snapToGrid w:val="0"/>
          <w:lang w:eastAsia="en-US"/>
        </w:rPr>
      </w:pPr>
      <w:r>
        <w:rPr>
          <w:bCs/>
          <w:snapToGrid w:val="0"/>
          <w:lang w:eastAsia="en-US"/>
        </w:rPr>
        <w:t>If you had read last year’s Annual Governance Statement, you will note a marked difference in the conclusions this year. The action plan to address the corporate governance failings identified has been implemented as planned and councillors and members of the public will note that as a result the concerns raised for a number of years have been addressed and are no longer viewed as significant failings. The culture of the organisation has been reviewed and changes implemented in management structures and organisational development to embed good governance. The internal controls have been reviewed and amended where appropriate and training has been provided to both councillors and members of staff. Recruitment to key statutory roles has been completed, and council processes, procedures and the performance monitoring framework have been updated to ensure that the change can be measured consistently. These actions show the organisation is committed not only to improvement but evidencing that improvement.</w:t>
      </w:r>
    </w:p>
    <w:p w14:paraId="09DD190C" w14:textId="77777777" w:rsidR="00571CCB" w:rsidRDefault="00571CCB" w:rsidP="00571CCB">
      <w:pPr>
        <w:rPr>
          <w:bCs/>
          <w:snapToGrid w:val="0"/>
          <w:lang w:eastAsia="en-US"/>
        </w:rPr>
      </w:pPr>
    </w:p>
    <w:p w14:paraId="02168C13" w14:textId="77777777" w:rsidR="00571CCB" w:rsidRPr="004169AE" w:rsidRDefault="00571CCB" w:rsidP="00571CCB">
      <w:pPr>
        <w:pStyle w:val="BodyText2"/>
        <w:rPr>
          <w:rFonts w:cs="Arial"/>
        </w:rPr>
      </w:pPr>
      <w:r w:rsidRPr="004169AE">
        <w:rPr>
          <w:rFonts w:cs="Arial"/>
        </w:rPr>
        <w:t>Since the compilation of the last Annual Governance Statement, the Council has significantly strengthened its governance arrangements by:</w:t>
      </w:r>
    </w:p>
    <w:p w14:paraId="78ED01B0" w14:textId="77777777" w:rsidR="00571CCB" w:rsidRPr="004169AE" w:rsidRDefault="00571CCB" w:rsidP="00E948BF">
      <w:pPr>
        <w:pStyle w:val="BodyText2"/>
        <w:numPr>
          <w:ilvl w:val="0"/>
          <w:numId w:val="39"/>
        </w:numPr>
        <w:spacing w:after="0" w:line="240" w:lineRule="auto"/>
        <w:rPr>
          <w:rFonts w:cs="Arial"/>
        </w:rPr>
      </w:pPr>
      <w:r w:rsidRPr="004169AE">
        <w:rPr>
          <w:rFonts w:cs="Arial"/>
        </w:rPr>
        <w:t>Officer structure – One of the causes of the issues which arose and were identified in the AGS for 2018/19 2019/20 was a lack of a stable senior management team. The Council ha</w:t>
      </w:r>
      <w:r>
        <w:rPr>
          <w:rFonts w:cs="Arial"/>
        </w:rPr>
        <w:t>s</w:t>
      </w:r>
      <w:r w:rsidRPr="004169AE">
        <w:rPr>
          <w:rFonts w:cs="Arial"/>
        </w:rPr>
        <w:t xml:space="preserve"> taken significant actions to address this. The three statutory officer roles are now permanently recruited to and a stable senior management team has been introduced. The Chief Executive (Head of Paid Service) is now shared on a permanent basis with Chorley Council. The same postholder has been in place since 2019. The Director of Governance (Monitoring Officer) has been in post since December 2019. The s151 Officer post was covered by the Deputy Director acting up during 2020/21. The Director of Finance role has now been recruited to permanently, with the new postholder starting in April 2021. In addition, two key roles at service lead</w:t>
      </w:r>
      <w:r>
        <w:rPr>
          <w:rFonts w:cs="Arial"/>
        </w:rPr>
        <w:t xml:space="preserve"> level</w:t>
      </w:r>
      <w:r w:rsidRPr="004169AE">
        <w:rPr>
          <w:rFonts w:cs="Arial"/>
        </w:rPr>
        <w:t xml:space="preserve"> have also been established and filled in December 2019, Communications and Visitor Economy and Transformation and Partner</w:t>
      </w:r>
      <w:r>
        <w:rPr>
          <w:rFonts w:cs="Arial"/>
        </w:rPr>
        <w:t>s</w:t>
      </w:r>
      <w:r w:rsidRPr="004169AE">
        <w:rPr>
          <w:rFonts w:cs="Arial"/>
        </w:rPr>
        <w:t xml:space="preserve">hips. These roles are important </w:t>
      </w:r>
      <w:r>
        <w:rPr>
          <w:rFonts w:cs="Arial"/>
        </w:rPr>
        <w:t>in</w:t>
      </w:r>
      <w:r w:rsidRPr="004169AE">
        <w:rPr>
          <w:rFonts w:cs="Arial"/>
        </w:rPr>
        <w:t xml:space="preserve"> develop</w:t>
      </w:r>
      <w:r>
        <w:rPr>
          <w:rFonts w:cs="Arial"/>
        </w:rPr>
        <w:t>ing</w:t>
      </w:r>
      <w:r w:rsidRPr="004169AE">
        <w:rPr>
          <w:rFonts w:cs="Arial"/>
        </w:rPr>
        <w:t xml:space="preserve"> and improv</w:t>
      </w:r>
      <w:r>
        <w:rPr>
          <w:rFonts w:cs="Arial"/>
        </w:rPr>
        <w:t>ing</w:t>
      </w:r>
      <w:r w:rsidRPr="004169AE">
        <w:rPr>
          <w:rFonts w:cs="Arial"/>
        </w:rPr>
        <w:t xml:space="preserve"> the council’s culture.</w:t>
      </w:r>
    </w:p>
    <w:p w14:paraId="3766C30F" w14:textId="77777777" w:rsidR="00571CCB" w:rsidRPr="004169AE" w:rsidRDefault="00571CCB" w:rsidP="00E948BF">
      <w:pPr>
        <w:pStyle w:val="BodyText2"/>
        <w:numPr>
          <w:ilvl w:val="0"/>
          <w:numId w:val="39"/>
        </w:numPr>
        <w:spacing w:after="0" w:line="240" w:lineRule="auto"/>
        <w:rPr>
          <w:rFonts w:cs="Arial"/>
        </w:rPr>
      </w:pPr>
      <w:r w:rsidRPr="004169AE">
        <w:rPr>
          <w:rFonts w:cs="Arial"/>
        </w:rPr>
        <w:t xml:space="preserve">Organisational development – the council has fully reviewed its OD programme, introducing a new </w:t>
      </w:r>
      <w:proofErr w:type="spellStart"/>
      <w:r w:rsidRPr="004169AE">
        <w:rPr>
          <w:rFonts w:cs="Arial"/>
        </w:rPr>
        <w:t>ELearning</w:t>
      </w:r>
      <w:proofErr w:type="spellEnd"/>
      <w:r w:rsidRPr="004169AE">
        <w:rPr>
          <w:rFonts w:cs="Arial"/>
        </w:rPr>
        <w:t xml:space="preserve"> portal and establishing the Flair Programme to develop staff who aspire to be managers and leaders.</w:t>
      </w:r>
    </w:p>
    <w:p w14:paraId="7C55F5AE" w14:textId="77777777" w:rsidR="00571CCB" w:rsidRPr="004169AE" w:rsidRDefault="00571CCB" w:rsidP="00E948BF">
      <w:pPr>
        <w:pStyle w:val="BodyText2"/>
        <w:numPr>
          <w:ilvl w:val="0"/>
          <w:numId w:val="39"/>
        </w:numPr>
        <w:spacing w:after="0" w:line="240" w:lineRule="auto"/>
        <w:rPr>
          <w:rFonts w:cs="Arial"/>
        </w:rPr>
      </w:pPr>
      <w:r w:rsidRPr="004169AE">
        <w:rPr>
          <w:rFonts w:cs="Arial"/>
        </w:rPr>
        <w:t xml:space="preserve">Review of the constitution </w:t>
      </w:r>
      <w:r>
        <w:rPr>
          <w:rFonts w:cs="Arial"/>
        </w:rPr>
        <w:t>and</w:t>
      </w:r>
      <w:r w:rsidRPr="004169AE">
        <w:rPr>
          <w:rFonts w:cs="Arial"/>
        </w:rPr>
        <w:t xml:space="preserve"> financial procedure rules –the standing orders </w:t>
      </w:r>
      <w:r>
        <w:rPr>
          <w:rFonts w:cs="Arial"/>
        </w:rPr>
        <w:t>for</w:t>
      </w:r>
      <w:r w:rsidRPr="004169AE">
        <w:rPr>
          <w:rFonts w:cs="Arial"/>
        </w:rPr>
        <w:t xml:space="preserve"> </w:t>
      </w:r>
      <w:r>
        <w:rPr>
          <w:rFonts w:cs="Arial"/>
        </w:rPr>
        <w:t>Council</w:t>
      </w:r>
      <w:r w:rsidRPr="004169AE">
        <w:rPr>
          <w:rFonts w:cs="Arial"/>
        </w:rPr>
        <w:t xml:space="preserve"> </w:t>
      </w:r>
      <w:r>
        <w:rPr>
          <w:rFonts w:cs="Arial"/>
        </w:rPr>
        <w:t xml:space="preserve">meetings </w:t>
      </w:r>
      <w:r w:rsidRPr="004169AE">
        <w:rPr>
          <w:rFonts w:cs="Arial"/>
        </w:rPr>
        <w:t xml:space="preserve">and the terms of reference for </w:t>
      </w:r>
      <w:r>
        <w:rPr>
          <w:rFonts w:cs="Arial"/>
        </w:rPr>
        <w:t>all</w:t>
      </w:r>
      <w:r w:rsidRPr="004169AE">
        <w:rPr>
          <w:rFonts w:cs="Arial"/>
        </w:rPr>
        <w:t xml:space="preserve"> committees have been </w:t>
      </w:r>
      <w:r>
        <w:rPr>
          <w:rFonts w:cs="Arial"/>
        </w:rPr>
        <w:t xml:space="preserve">reviewed and </w:t>
      </w:r>
      <w:r w:rsidRPr="004169AE">
        <w:rPr>
          <w:rFonts w:cs="Arial"/>
        </w:rPr>
        <w:t xml:space="preserve">redrafted. The </w:t>
      </w:r>
      <w:r>
        <w:rPr>
          <w:rFonts w:cs="Arial"/>
        </w:rPr>
        <w:t>s</w:t>
      </w:r>
      <w:r w:rsidRPr="004169AE">
        <w:rPr>
          <w:rFonts w:cs="Arial"/>
        </w:rPr>
        <w:t xml:space="preserve">tanding </w:t>
      </w:r>
      <w:r>
        <w:rPr>
          <w:rFonts w:cs="Arial"/>
        </w:rPr>
        <w:t>o</w:t>
      </w:r>
      <w:r w:rsidRPr="004169AE">
        <w:rPr>
          <w:rFonts w:cs="Arial"/>
        </w:rPr>
        <w:t>rders are now more streamlined and the constitution</w:t>
      </w:r>
      <w:r>
        <w:rPr>
          <w:rFonts w:cs="Arial"/>
        </w:rPr>
        <w:t>,</w:t>
      </w:r>
      <w:r w:rsidRPr="004169AE">
        <w:rPr>
          <w:rFonts w:cs="Arial"/>
        </w:rPr>
        <w:t xml:space="preserve"> as a document</w:t>
      </w:r>
      <w:r>
        <w:rPr>
          <w:rFonts w:cs="Arial"/>
        </w:rPr>
        <w:t>,</w:t>
      </w:r>
      <w:r w:rsidRPr="004169AE">
        <w:rPr>
          <w:rFonts w:cs="Arial"/>
        </w:rPr>
        <w:t xml:space="preserve"> has been simplified to avoid repetition and make it clearer</w:t>
      </w:r>
      <w:r>
        <w:rPr>
          <w:rFonts w:cs="Arial"/>
        </w:rPr>
        <w:t xml:space="preserve"> and easier</w:t>
      </w:r>
      <w:r w:rsidRPr="004169AE">
        <w:rPr>
          <w:rFonts w:cs="Arial"/>
        </w:rPr>
        <w:t xml:space="preserve"> to understand. A </w:t>
      </w:r>
      <w:r>
        <w:rPr>
          <w:rFonts w:cs="Arial"/>
        </w:rPr>
        <w:t>revised</w:t>
      </w:r>
      <w:r w:rsidRPr="004169AE">
        <w:rPr>
          <w:rFonts w:cs="Arial"/>
        </w:rPr>
        <w:t xml:space="preserve"> process </w:t>
      </w:r>
      <w:r>
        <w:rPr>
          <w:rFonts w:cs="Arial"/>
        </w:rPr>
        <w:t>for</w:t>
      </w:r>
      <w:r w:rsidRPr="004169AE">
        <w:rPr>
          <w:rFonts w:cs="Arial"/>
        </w:rPr>
        <w:t xml:space="preserve"> </w:t>
      </w:r>
      <w:r>
        <w:rPr>
          <w:rFonts w:cs="Arial"/>
        </w:rPr>
        <w:t>e</w:t>
      </w:r>
      <w:r w:rsidRPr="004169AE">
        <w:rPr>
          <w:rFonts w:cs="Arial"/>
        </w:rPr>
        <w:t xml:space="preserve">xecutive decision making ensures that relevant </w:t>
      </w:r>
      <w:r>
        <w:rPr>
          <w:rFonts w:cs="Arial"/>
        </w:rPr>
        <w:t>c</w:t>
      </w:r>
      <w:r w:rsidRPr="004169AE">
        <w:rPr>
          <w:rFonts w:cs="Arial"/>
        </w:rPr>
        <w:t xml:space="preserve">abinet </w:t>
      </w:r>
      <w:r>
        <w:rPr>
          <w:rFonts w:cs="Arial"/>
        </w:rPr>
        <w:t>m</w:t>
      </w:r>
      <w:r w:rsidRPr="004169AE">
        <w:rPr>
          <w:rFonts w:cs="Arial"/>
        </w:rPr>
        <w:t>embers take decisions in a transparent and consistent manner, strengthening the democratic oversight of the organisation. The Financial Procedure Rules have been updated to reflect organisational changes and changes to authorisation levels.</w:t>
      </w:r>
    </w:p>
    <w:p w14:paraId="08BF0F3F" w14:textId="77777777" w:rsidR="00571CCB" w:rsidRPr="004169AE" w:rsidRDefault="00571CCB" w:rsidP="00E948BF">
      <w:pPr>
        <w:pStyle w:val="BodyText2"/>
        <w:numPr>
          <w:ilvl w:val="0"/>
          <w:numId w:val="39"/>
        </w:numPr>
        <w:spacing w:after="0" w:line="240" w:lineRule="auto"/>
        <w:rPr>
          <w:rFonts w:cs="Arial"/>
        </w:rPr>
      </w:pPr>
      <w:r w:rsidRPr="004169AE">
        <w:rPr>
          <w:rFonts w:cs="Arial"/>
        </w:rPr>
        <w:t>Performance management framework – Showing the benefit of a stronger organisational corporate centre, a new performance management framework has been developed and adopted, aligning it to the corporate plan and ensuring that the council is able to effectively manage its performance and delivery of its priorities.</w:t>
      </w:r>
    </w:p>
    <w:p w14:paraId="24B8A141" w14:textId="77777777" w:rsidR="00571CCB" w:rsidRPr="004169AE" w:rsidRDefault="00571CCB" w:rsidP="00E948BF">
      <w:pPr>
        <w:pStyle w:val="BodyText2"/>
        <w:numPr>
          <w:ilvl w:val="0"/>
          <w:numId w:val="39"/>
        </w:numPr>
        <w:spacing w:after="0" w:line="240" w:lineRule="auto"/>
        <w:rPr>
          <w:rFonts w:cs="Arial"/>
        </w:rPr>
      </w:pPr>
      <w:r w:rsidRPr="004169AE">
        <w:rPr>
          <w:rFonts w:cs="Arial"/>
        </w:rPr>
        <w:t>Management of Projects –</w:t>
      </w:r>
      <w:r>
        <w:rPr>
          <w:rFonts w:cs="Arial"/>
        </w:rPr>
        <w:t xml:space="preserve"> the Senior Management Team meet as Programme Board quarterly to review the progress of corporate projects.</w:t>
      </w:r>
      <w:r w:rsidRPr="004169AE">
        <w:rPr>
          <w:rFonts w:cs="Arial"/>
        </w:rPr>
        <w:t xml:space="preserve"> </w:t>
      </w:r>
    </w:p>
    <w:p w14:paraId="5A0F0B62" w14:textId="77777777" w:rsidR="00571CCB" w:rsidRPr="004169AE" w:rsidRDefault="00571CCB" w:rsidP="00E948BF">
      <w:pPr>
        <w:pStyle w:val="BodyText2"/>
        <w:numPr>
          <w:ilvl w:val="0"/>
          <w:numId w:val="39"/>
        </w:numPr>
        <w:spacing w:after="0" w:line="240" w:lineRule="auto"/>
        <w:rPr>
          <w:rFonts w:cs="Arial"/>
        </w:rPr>
      </w:pPr>
      <w:r w:rsidRPr="004169AE">
        <w:rPr>
          <w:rFonts w:cs="Arial"/>
        </w:rPr>
        <w:t xml:space="preserve">Information governance </w:t>
      </w:r>
      <w:r>
        <w:rPr>
          <w:rFonts w:cs="Arial"/>
        </w:rPr>
        <w:t>–</w:t>
      </w:r>
      <w:r w:rsidRPr="004169AE">
        <w:rPr>
          <w:rFonts w:cs="Arial"/>
        </w:rPr>
        <w:t xml:space="preserve"> </w:t>
      </w:r>
      <w:r>
        <w:rPr>
          <w:rFonts w:cs="Arial"/>
        </w:rPr>
        <w:t>A GDPR Leadership group has been established to lead on the embedding of the council’s information governance policies and processes.</w:t>
      </w:r>
    </w:p>
    <w:p w14:paraId="0E34A777" w14:textId="77777777" w:rsidR="00571CCB" w:rsidRPr="004169AE" w:rsidRDefault="00571CCB" w:rsidP="00E948BF">
      <w:pPr>
        <w:pStyle w:val="BodyText2"/>
        <w:numPr>
          <w:ilvl w:val="0"/>
          <w:numId w:val="39"/>
        </w:numPr>
        <w:spacing w:after="0" w:line="240" w:lineRule="auto"/>
        <w:rPr>
          <w:rFonts w:cs="Arial"/>
        </w:rPr>
      </w:pPr>
      <w:r>
        <w:rPr>
          <w:rFonts w:cs="Arial"/>
        </w:rPr>
        <w:t>Governance Training – training on ethical decision making has been given to both members and officers which incorporated decision making processes and report writing (for officers), training has also been given on procurement.</w:t>
      </w:r>
    </w:p>
    <w:p w14:paraId="1509332F" w14:textId="77777777" w:rsidR="00571CCB" w:rsidRPr="004169AE" w:rsidRDefault="00571CCB" w:rsidP="00E948BF">
      <w:pPr>
        <w:pStyle w:val="BodyText2"/>
        <w:numPr>
          <w:ilvl w:val="0"/>
          <w:numId w:val="39"/>
        </w:numPr>
        <w:spacing w:after="0" w:line="240" w:lineRule="auto"/>
        <w:rPr>
          <w:rFonts w:cs="Arial"/>
        </w:rPr>
      </w:pPr>
      <w:r w:rsidRPr="004169AE">
        <w:rPr>
          <w:rFonts w:cs="Arial"/>
        </w:rPr>
        <w:t xml:space="preserve">Risk Management – </w:t>
      </w:r>
      <w:r>
        <w:rPr>
          <w:rFonts w:cs="Arial"/>
        </w:rPr>
        <w:t>The Risk Management Strategy has been updated and the council have committed to the use of GRACE as the risk management</w:t>
      </w:r>
      <w:r w:rsidRPr="004169AE">
        <w:rPr>
          <w:rFonts w:cs="Arial"/>
        </w:rPr>
        <w:t xml:space="preserve"> </w:t>
      </w:r>
      <w:r>
        <w:rPr>
          <w:rFonts w:cs="Arial"/>
        </w:rPr>
        <w:t>tool. Internal Audit are leading on the training of staff on the use of the system which in addition to risk will be used to monitor the implementation of management actions taken from audits.</w:t>
      </w:r>
    </w:p>
    <w:p w14:paraId="1CFD5955" w14:textId="77777777" w:rsidR="00571CCB" w:rsidRPr="00633674" w:rsidRDefault="00571CCB" w:rsidP="00571CCB">
      <w:pPr>
        <w:pStyle w:val="BodyText2"/>
        <w:ind w:left="1800"/>
        <w:rPr>
          <w:rFonts w:cs="Arial"/>
          <w:color w:val="FF0000"/>
        </w:rPr>
      </w:pPr>
    </w:p>
    <w:p w14:paraId="72D974B7" w14:textId="77777777" w:rsidR="00571CCB" w:rsidRPr="00F968D4" w:rsidRDefault="00571CCB" w:rsidP="00571CCB">
      <w:pPr>
        <w:rPr>
          <w:b/>
          <w:snapToGrid w:val="0"/>
          <w:szCs w:val="22"/>
        </w:rPr>
      </w:pPr>
      <w:r w:rsidRPr="00F968D4">
        <w:rPr>
          <w:b/>
          <w:snapToGrid w:val="0"/>
          <w:szCs w:val="22"/>
        </w:rPr>
        <w:t>Values of good governance</w:t>
      </w:r>
    </w:p>
    <w:p w14:paraId="1B5F74E3" w14:textId="77777777" w:rsidR="00571CCB" w:rsidRDefault="00571CCB" w:rsidP="00571CCB">
      <w:pPr>
        <w:rPr>
          <w:b/>
          <w:snapToGrid w:val="0"/>
          <w:sz w:val="28"/>
          <w:szCs w:val="28"/>
        </w:rPr>
      </w:pPr>
    </w:p>
    <w:p w14:paraId="3813EB3A" w14:textId="77777777" w:rsidR="00571CCB" w:rsidRPr="00F968D4" w:rsidRDefault="00571CCB" w:rsidP="00571CCB">
      <w:pPr>
        <w:rPr>
          <w:bCs/>
          <w:snapToGrid w:val="0"/>
          <w:szCs w:val="22"/>
        </w:rPr>
      </w:pPr>
      <w:r w:rsidRPr="00F968D4">
        <w:rPr>
          <w:bCs/>
          <w:snapToGrid w:val="0"/>
          <w:szCs w:val="22"/>
        </w:rPr>
        <w:t>The Council also promotes and demonstrates the values of good governance by upholding high standards of conduct and behaviour.  The following strong arrangements</w:t>
      </w:r>
      <w:r>
        <w:rPr>
          <w:bCs/>
          <w:snapToGrid w:val="0"/>
          <w:szCs w:val="22"/>
        </w:rPr>
        <w:t xml:space="preserve"> are</w:t>
      </w:r>
      <w:r w:rsidRPr="00F968D4">
        <w:rPr>
          <w:bCs/>
          <w:snapToGrid w:val="0"/>
          <w:szCs w:val="22"/>
        </w:rPr>
        <w:t xml:space="preserve"> in place to ensure that appropriate standards of behaviour are maintained:</w:t>
      </w:r>
    </w:p>
    <w:p w14:paraId="6F33E3D6" w14:textId="77777777" w:rsidR="00571CCB" w:rsidRPr="00F968D4" w:rsidRDefault="00571CCB" w:rsidP="00571CCB">
      <w:pPr>
        <w:rPr>
          <w:bCs/>
          <w:snapToGrid w:val="0"/>
          <w:szCs w:val="22"/>
        </w:rPr>
      </w:pPr>
    </w:p>
    <w:p w14:paraId="34B88BCB" w14:textId="77777777" w:rsidR="00571CCB" w:rsidRPr="00E948BF" w:rsidRDefault="00571CCB" w:rsidP="00E948BF">
      <w:pPr>
        <w:pStyle w:val="ListParagraph"/>
        <w:numPr>
          <w:ilvl w:val="0"/>
          <w:numId w:val="46"/>
        </w:numPr>
        <w:ind w:left="1797" w:hanging="357"/>
        <w:rPr>
          <w:bCs/>
          <w:snapToGrid w:val="0"/>
          <w:szCs w:val="22"/>
        </w:rPr>
      </w:pPr>
      <w:r w:rsidRPr="00E948BF">
        <w:rPr>
          <w:bCs/>
          <w:snapToGrid w:val="0"/>
          <w:szCs w:val="22"/>
        </w:rPr>
        <w:t xml:space="preserve">Codes of Conduct (Members and Officers) </w:t>
      </w:r>
    </w:p>
    <w:p w14:paraId="26D7B8C0" w14:textId="77777777" w:rsidR="00571CCB" w:rsidRPr="00E948BF" w:rsidRDefault="00571CCB" w:rsidP="00E948BF">
      <w:pPr>
        <w:pStyle w:val="ListParagraph"/>
        <w:numPr>
          <w:ilvl w:val="0"/>
          <w:numId w:val="46"/>
        </w:numPr>
        <w:ind w:left="1797" w:hanging="357"/>
        <w:rPr>
          <w:bCs/>
          <w:snapToGrid w:val="0"/>
          <w:szCs w:val="22"/>
        </w:rPr>
      </w:pPr>
      <w:r w:rsidRPr="00E948BF">
        <w:rPr>
          <w:bCs/>
          <w:snapToGrid w:val="0"/>
          <w:szCs w:val="22"/>
        </w:rPr>
        <w:t>Member Officer Protocol</w:t>
      </w:r>
    </w:p>
    <w:p w14:paraId="3CD75499" w14:textId="77777777" w:rsidR="00571CCB" w:rsidRPr="00E948BF" w:rsidRDefault="00571CCB" w:rsidP="00E948BF">
      <w:pPr>
        <w:pStyle w:val="ListParagraph"/>
        <w:numPr>
          <w:ilvl w:val="0"/>
          <w:numId w:val="46"/>
        </w:numPr>
        <w:ind w:left="1797" w:hanging="357"/>
        <w:rPr>
          <w:bCs/>
          <w:snapToGrid w:val="0"/>
          <w:szCs w:val="22"/>
        </w:rPr>
      </w:pPr>
      <w:r w:rsidRPr="00E948BF">
        <w:rPr>
          <w:bCs/>
          <w:snapToGrid w:val="0"/>
          <w:szCs w:val="22"/>
        </w:rPr>
        <w:t xml:space="preserve">Suite of HR policies </w:t>
      </w:r>
    </w:p>
    <w:p w14:paraId="2BD549ED" w14:textId="77777777" w:rsidR="00571CCB" w:rsidRPr="00E948BF" w:rsidRDefault="00571CCB" w:rsidP="00E948BF">
      <w:pPr>
        <w:pStyle w:val="ListParagraph"/>
        <w:numPr>
          <w:ilvl w:val="0"/>
          <w:numId w:val="46"/>
        </w:numPr>
        <w:ind w:left="1797" w:hanging="357"/>
        <w:rPr>
          <w:bCs/>
          <w:snapToGrid w:val="0"/>
          <w:szCs w:val="22"/>
        </w:rPr>
      </w:pPr>
      <w:r w:rsidRPr="00E948BF">
        <w:rPr>
          <w:bCs/>
          <w:snapToGrid w:val="0"/>
          <w:szCs w:val="22"/>
        </w:rPr>
        <w:t>Suite of Counter Fraud Policies</w:t>
      </w:r>
    </w:p>
    <w:p w14:paraId="3081C27E" w14:textId="77777777" w:rsidR="00571CCB" w:rsidRDefault="00571CCB" w:rsidP="00571CCB">
      <w:pPr>
        <w:rPr>
          <w:bCs/>
          <w:snapToGrid w:val="0"/>
          <w:szCs w:val="22"/>
        </w:rPr>
      </w:pPr>
    </w:p>
    <w:p w14:paraId="7D0F3ADB" w14:textId="77777777" w:rsidR="00571CCB" w:rsidRPr="00F968D4" w:rsidRDefault="00571CCB" w:rsidP="00571CCB">
      <w:pPr>
        <w:rPr>
          <w:b/>
          <w:snapToGrid w:val="0"/>
          <w:szCs w:val="22"/>
        </w:rPr>
      </w:pPr>
      <w:r w:rsidRPr="00F968D4">
        <w:rPr>
          <w:b/>
          <w:snapToGrid w:val="0"/>
          <w:szCs w:val="22"/>
        </w:rPr>
        <w:t xml:space="preserve">Impact of </w:t>
      </w:r>
      <w:proofErr w:type="spellStart"/>
      <w:r w:rsidRPr="00F968D4">
        <w:rPr>
          <w:b/>
          <w:snapToGrid w:val="0"/>
          <w:szCs w:val="22"/>
        </w:rPr>
        <w:t>Covid</w:t>
      </w:r>
      <w:proofErr w:type="spellEnd"/>
      <w:r w:rsidRPr="00F968D4">
        <w:rPr>
          <w:b/>
          <w:snapToGrid w:val="0"/>
          <w:szCs w:val="22"/>
        </w:rPr>
        <w:t xml:space="preserve"> on the Council’s governance arrangements</w:t>
      </w:r>
    </w:p>
    <w:p w14:paraId="4C51D0A7" w14:textId="77777777" w:rsidR="00571CCB" w:rsidRDefault="00571CCB" w:rsidP="00571CCB">
      <w:pPr>
        <w:rPr>
          <w:b/>
          <w:snapToGrid w:val="0"/>
          <w:sz w:val="28"/>
          <w:szCs w:val="28"/>
        </w:rPr>
      </w:pPr>
    </w:p>
    <w:p w14:paraId="79BE827D" w14:textId="77777777" w:rsidR="00571CCB" w:rsidRPr="004169AE" w:rsidRDefault="00571CCB" w:rsidP="00571CCB">
      <w:pPr>
        <w:rPr>
          <w:bCs/>
          <w:snapToGrid w:val="0"/>
          <w:szCs w:val="22"/>
        </w:rPr>
      </w:pPr>
      <w:r w:rsidRPr="004169AE">
        <w:rPr>
          <w:bCs/>
          <w:snapToGrid w:val="0"/>
          <w:szCs w:val="22"/>
        </w:rPr>
        <w:t xml:space="preserve">There is no doubt that the COVID pandemic impacted on the Council’s governance arrangements, most clearly evidenced by the change in approach to Council committee meetings and decision making. The constitution provided an urgency procedure which was used appropriately to enable council business to continue when meetings could not be held. However, significant work was undertaken to implement remote and hybrid meeting access. This enabled members to participate in meetings even where access to the Civic Centre was not possible. Whilst public participation was more limited this was still </w:t>
      </w:r>
      <w:proofErr w:type="gramStart"/>
      <w:r w:rsidRPr="004169AE">
        <w:rPr>
          <w:bCs/>
          <w:snapToGrid w:val="0"/>
          <w:szCs w:val="22"/>
        </w:rPr>
        <w:t>enabled</w:t>
      </w:r>
      <w:proofErr w:type="gramEnd"/>
      <w:r w:rsidRPr="004169AE">
        <w:rPr>
          <w:bCs/>
          <w:snapToGrid w:val="0"/>
          <w:szCs w:val="22"/>
        </w:rPr>
        <w:t xml:space="preserve"> and the public could watch the meetings live via the internet.</w:t>
      </w:r>
    </w:p>
    <w:p w14:paraId="1CA0DDDD" w14:textId="77777777" w:rsidR="00571CCB" w:rsidRPr="004169AE" w:rsidRDefault="00571CCB" w:rsidP="00571CCB">
      <w:pPr>
        <w:rPr>
          <w:bCs/>
          <w:snapToGrid w:val="0"/>
          <w:szCs w:val="22"/>
        </w:rPr>
      </w:pPr>
    </w:p>
    <w:p w14:paraId="626C22DA" w14:textId="77777777" w:rsidR="00571CCB" w:rsidRPr="004169AE" w:rsidRDefault="00571CCB" w:rsidP="00571CCB">
      <w:pPr>
        <w:rPr>
          <w:bCs/>
          <w:snapToGrid w:val="0"/>
          <w:szCs w:val="22"/>
        </w:rPr>
      </w:pPr>
      <w:r w:rsidRPr="004169AE">
        <w:rPr>
          <w:bCs/>
          <w:snapToGrid w:val="0"/>
          <w:szCs w:val="22"/>
        </w:rPr>
        <w:t>The pandemic accelerated the roll out technology which has contributed to a more open and engaged culture, which was the cause of some of the previously identified issues. Teams and other technology has been used to improve the sharing of information and building relationships across teams – demonstrated through the implementation extended shared services and Chief Executive Listening sessions, which have enabled the Chief Executive to engage directly with staff across the organisation. The changes to staff policies have improved working conditions and introduced greater consistency across the organisation.</w:t>
      </w:r>
    </w:p>
    <w:p w14:paraId="6981EE8B" w14:textId="77777777" w:rsidR="00571CCB" w:rsidRPr="004169AE" w:rsidRDefault="00571CCB" w:rsidP="00571CCB">
      <w:pPr>
        <w:rPr>
          <w:bCs/>
          <w:snapToGrid w:val="0"/>
          <w:szCs w:val="22"/>
        </w:rPr>
      </w:pPr>
    </w:p>
    <w:p w14:paraId="38A9332C" w14:textId="77777777" w:rsidR="00571CCB" w:rsidRPr="004169AE" w:rsidRDefault="00571CCB" w:rsidP="00571CCB">
      <w:pPr>
        <w:rPr>
          <w:bCs/>
          <w:snapToGrid w:val="0"/>
          <w:szCs w:val="22"/>
        </w:rPr>
      </w:pPr>
      <w:r w:rsidRPr="004169AE">
        <w:rPr>
          <w:bCs/>
          <w:snapToGrid w:val="0"/>
          <w:szCs w:val="22"/>
        </w:rPr>
        <w:t xml:space="preserve">What was changed however was the ability to properly test the internal control and risk management environments. Staff from across the Council including those from Internal Audit, changed roles to facilitate </w:t>
      </w:r>
      <w:proofErr w:type="spellStart"/>
      <w:r w:rsidRPr="004169AE">
        <w:rPr>
          <w:bCs/>
          <w:snapToGrid w:val="0"/>
          <w:szCs w:val="22"/>
        </w:rPr>
        <w:t>Covid</w:t>
      </w:r>
      <w:proofErr w:type="spellEnd"/>
      <w:r w:rsidRPr="004169AE">
        <w:rPr>
          <w:bCs/>
          <w:snapToGrid w:val="0"/>
          <w:szCs w:val="22"/>
        </w:rPr>
        <w:t xml:space="preserve"> support works. This limited the council’s ability to both in terms of undertaking the testing but also of the availability of teams to be tested. This should not be taken as reflecting positively or negatively on performance of the council only that it cannot be evidenced in this way one way or another.</w:t>
      </w:r>
    </w:p>
    <w:p w14:paraId="4E1CEF4F" w14:textId="77777777" w:rsidR="00571CCB" w:rsidRPr="00F968D4" w:rsidRDefault="00571CCB" w:rsidP="00571CCB">
      <w:pPr>
        <w:rPr>
          <w:b/>
          <w:snapToGrid w:val="0"/>
          <w:szCs w:val="22"/>
        </w:rPr>
      </w:pPr>
    </w:p>
    <w:p w14:paraId="471578C0" w14:textId="77777777" w:rsidR="00571CCB" w:rsidRDefault="00571CCB" w:rsidP="00571CCB">
      <w:pPr>
        <w:rPr>
          <w:b/>
          <w:snapToGrid w:val="0"/>
          <w:sz w:val="28"/>
          <w:szCs w:val="28"/>
        </w:rPr>
      </w:pPr>
    </w:p>
    <w:p w14:paraId="1DC6296E" w14:textId="77777777" w:rsidR="00571CCB" w:rsidRDefault="00571CCB" w:rsidP="00571CCB">
      <w:pPr>
        <w:rPr>
          <w:b/>
          <w:snapToGrid w:val="0"/>
          <w:sz w:val="28"/>
          <w:szCs w:val="28"/>
        </w:rPr>
      </w:pPr>
    </w:p>
    <w:p w14:paraId="563025F8" w14:textId="77777777" w:rsidR="00571CCB" w:rsidRDefault="00571CCB" w:rsidP="00571CCB">
      <w:pPr>
        <w:rPr>
          <w:b/>
          <w:snapToGrid w:val="0"/>
          <w:sz w:val="28"/>
          <w:szCs w:val="28"/>
        </w:rPr>
      </w:pPr>
    </w:p>
    <w:p w14:paraId="102D801A" w14:textId="77777777" w:rsidR="00571CCB" w:rsidRDefault="00571CCB" w:rsidP="00571CCB">
      <w:pPr>
        <w:rPr>
          <w:b/>
          <w:snapToGrid w:val="0"/>
          <w:sz w:val="28"/>
          <w:szCs w:val="28"/>
        </w:rPr>
      </w:pPr>
    </w:p>
    <w:p w14:paraId="3C98133A" w14:textId="77777777" w:rsidR="00571CCB" w:rsidRDefault="00571CCB" w:rsidP="00571CCB">
      <w:pPr>
        <w:rPr>
          <w:b/>
          <w:snapToGrid w:val="0"/>
          <w:sz w:val="28"/>
          <w:szCs w:val="28"/>
        </w:rPr>
      </w:pPr>
    </w:p>
    <w:p w14:paraId="3126713C" w14:textId="77777777" w:rsidR="00571CCB" w:rsidRDefault="00571CCB" w:rsidP="00571CCB">
      <w:pPr>
        <w:rPr>
          <w:b/>
          <w:snapToGrid w:val="0"/>
          <w:sz w:val="28"/>
          <w:szCs w:val="28"/>
        </w:rPr>
      </w:pPr>
    </w:p>
    <w:p w14:paraId="2AD2EA7B" w14:textId="77777777" w:rsidR="00571CCB" w:rsidRDefault="00571CCB" w:rsidP="00571CCB">
      <w:pPr>
        <w:rPr>
          <w:b/>
          <w:snapToGrid w:val="0"/>
          <w:sz w:val="28"/>
          <w:szCs w:val="28"/>
        </w:rPr>
      </w:pPr>
      <w:r>
        <w:rPr>
          <w:b/>
          <w:snapToGrid w:val="0"/>
          <w:sz w:val="28"/>
          <w:szCs w:val="28"/>
        </w:rPr>
        <w:br w:type="page"/>
      </w:r>
    </w:p>
    <w:p w14:paraId="787A48CC" w14:textId="77777777" w:rsidR="00571CCB" w:rsidRDefault="00571CCB" w:rsidP="00571CCB">
      <w:pPr>
        <w:rPr>
          <w:b/>
          <w:snapToGrid w:val="0"/>
          <w:sz w:val="28"/>
          <w:szCs w:val="28"/>
        </w:rPr>
      </w:pPr>
    </w:p>
    <w:p w14:paraId="0647AB54" w14:textId="77777777" w:rsidR="00571CCB" w:rsidRDefault="00571CCB" w:rsidP="00571CCB">
      <w:pPr>
        <w:rPr>
          <w:b/>
          <w:snapToGrid w:val="0"/>
          <w:sz w:val="28"/>
          <w:szCs w:val="28"/>
        </w:rPr>
      </w:pPr>
      <w:r>
        <w:rPr>
          <w:b/>
          <w:snapToGrid w:val="0"/>
          <w:sz w:val="28"/>
          <w:szCs w:val="28"/>
        </w:rPr>
        <w:t xml:space="preserve">4. </w:t>
      </w:r>
      <w:r w:rsidRPr="00AE77D6">
        <w:rPr>
          <w:b/>
          <w:snapToGrid w:val="0"/>
          <w:sz w:val="28"/>
          <w:szCs w:val="28"/>
        </w:rPr>
        <w:t xml:space="preserve">How we review </w:t>
      </w:r>
      <w:r>
        <w:rPr>
          <w:b/>
          <w:snapToGrid w:val="0"/>
          <w:sz w:val="28"/>
          <w:szCs w:val="28"/>
        </w:rPr>
        <w:t xml:space="preserve">the </w:t>
      </w:r>
      <w:r w:rsidRPr="00AE77D6">
        <w:rPr>
          <w:b/>
          <w:snapToGrid w:val="0"/>
          <w:sz w:val="28"/>
          <w:szCs w:val="28"/>
        </w:rPr>
        <w:t>effectiveness</w:t>
      </w:r>
      <w:r>
        <w:rPr>
          <w:b/>
          <w:snapToGrid w:val="0"/>
          <w:sz w:val="28"/>
          <w:szCs w:val="28"/>
        </w:rPr>
        <w:t xml:space="preserve"> of the Governance Framework</w:t>
      </w:r>
    </w:p>
    <w:p w14:paraId="06847AAE" w14:textId="77777777" w:rsidR="00571CCB" w:rsidRPr="00AE77D6" w:rsidRDefault="00571CCB" w:rsidP="00571CCB">
      <w:pPr>
        <w:rPr>
          <w:b/>
          <w:snapToGrid w:val="0"/>
          <w:sz w:val="28"/>
          <w:szCs w:val="28"/>
        </w:rPr>
      </w:pPr>
    </w:p>
    <w:p w14:paraId="23630B6D" w14:textId="77777777" w:rsidR="00571CCB" w:rsidRPr="00D85DA7" w:rsidRDefault="00571CCB" w:rsidP="00571CCB">
      <w:pPr>
        <w:rPr>
          <w:bCs/>
          <w:snapToGrid w:val="0"/>
        </w:rPr>
      </w:pPr>
      <w:r>
        <w:rPr>
          <w:bCs/>
          <w:snapToGrid w:val="0"/>
          <w:szCs w:val="22"/>
        </w:rPr>
        <w:t>This section identifies the structures, committees and officer roles which serve to review the appropriateness of the governance arrangements and their application.</w:t>
      </w:r>
    </w:p>
    <w:p w14:paraId="29BA2080" w14:textId="77777777" w:rsidR="00571CCB" w:rsidRPr="006A11D0" w:rsidRDefault="00571CCB" w:rsidP="00571CCB">
      <w:pPr>
        <w:rPr>
          <w:rFonts w:ascii="Sabon-Roman" w:hAnsi="Sabon-Roman"/>
          <w:snapToGrid w:val="0"/>
          <w:lang w:eastAsia="en-US"/>
        </w:rPr>
      </w:pPr>
    </w:p>
    <w:p w14:paraId="647DA869" w14:textId="77777777" w:rsidR="00571CCB" w:rsidRDefault="00571CCB" w:rsidP="00571CCB">
      <w:pPr>
        <w:pStyle w:val="BodyText3"/>
        <w:rPr>
          <w:rFonts w:cs="Arial"/>
        </w:rPr>
      </w:pPr>
      <w:r w:rsidRPr="003322A5">
        <w:rPr>
          <w:rFonts w:cs="Arial"/>
        </w:rPr>
        <w:t xml:space="preserve">The Council has a responsibility to keep the effectiveness of its governance arrangements under review to ensure continuous improvement.  This review is informed by the work of the Governance Committee supported by management, internal and external auditors and other review agencies.  </w:t>
      </w:r>
    </w:p>
    <w:p w14:paraId="3BF55E13" w14:textId="77777777" w:rsidR="00571CCB" w:rsidRDefault="00571CCB" w:rsidP="00571CCB">
      <w:pPr>
        <w:rPr>
          <w:rFonts w:cs="Arial"/>
          <w:szCs w:val="22"/>
        </w:rPr>
      </w:pPr>
      <w:r w:rsidRPr="00846B5A">
        <w:rPr>
          <w:b/>
          <w:szCs w:val="22"/>
        </w:rPr>
        <w:t>Governance Committee</w:t>
      </w:r>
      <w:r>
        <w:rPr>
          <w:szCs w:val="22"/>
        </w:rPr>
        <w:t xml:space="preserve"> - </w:t>
      </w:r>
      <w:r w:rsidRPr="00D8293D">
        <w:rPr>
          <w:szCs w:val="22"/>
        </w:rPr>
        <w:t xml:space="preserve">The </w:t>
      </w:r>
      <w:r w:rsidRPr="00D8293D">
        <w:rPr>
          <w:rFonts w:cs="Arial"/>
          <w:szCs w:val="22"/>
        </w:rPr>
        <w:t xml:space="preserve">Governance Committee </w:t>
      </w:r>
      <w:r>
        <w:rPr>
          <w:rFonts w:cs="Arial"/>
          <w:szCs w:val="22"/>
        </w:rPr>
        <w:t>provides</w:t>
      </w:r>
      <w:r w:rsidRPr="00D8293D">
        <w:rPr>
          <w:rFonts w:cs="Arial"/>
          <w:szCs w:val="22"/>
        </w:rPr>
        <w:t xml:space="preserve"> member oversight and scrutiny of the Council’s business controls. The Governance committee undertakes </w:t>
      </w:r>
      <w:proofErr w:type="gramStart"/>
      <w:r w:rsidRPr="00D8293D">
        <w:rPr>
          <w:rFonts w:cs="Arial"/>
          <w:szCs w:val="22"/>
        </w:rPr>
        <w:t>all of</w:t>
      </w:r>
      <w:proofErr w:type="gramEnd"/>
      <w:r w:rsidRPr="00D8293D">
        <w:rPr>
          <w:rFonts w:cs="Arial"/>
          <w:szCs w:val="22"/>
        </w:rPr>
        <w:t xml:space="preserve"> the core functions of an audit committee as identified in the relevant CIPFA guidance. </w:t>
      </w:r>
      <w:r>
        <w:rPr>
          <w:rFonts w:cs="Arial"/>
          <w:szCs w:val="22"/>
        </w:rPr>
        <w:t xml:space="preserve"> An assessment has been undertaken during 2020/21 and this confirmed that the Committee are operating in line with CIPFA’s Audit Committees – Practical Guidance for Local Authorities and Police 2018.   In addition, the Committee’s skills and knowledge have been assessed and training will be arranged to meet any training needs identified.</w:t>
      </w:r>
    </w:p>
    <w:p w14:paraId="4F26CD80" w14:textId="77777777" w:rsidR="00571CCB" w:rsidRPr="00AE77D6" w:rsidRDefault="00571CCB" w:rsidP="00571CCB">
      <w:pPr>
        <w:rPr>
          <w:rFonts w:cs="Arial"/>
          <w:sz w:val="20"/>
        </w:rPr>
      </w:pPr>
      <w:r w:rsidRPr="00AE77D6">
        <w:rPr>
          <w:rFonts w:cs="Arial"/>
          <w:sz w:val="20"/>
        </w:rPr>
        <w:t xml:space="preserve">                                                                                                                                                                                 </w:t>
      </w:r>
      <w:r>
        <w:rPr>
          <w:rFonts w:cs="Arial"/>
          <w:sz w:val="20"/>
        </w:rPr>
        <w:t xml:space="preserve">                                                                                                                                                  </w:t>
      </w:r>
    </w:p>
    <w:p w14:paraId="1EA69619" w14:textId="77777777" w:rsidR="00571CCB" w:rsidRPr="003322A5" w:rsidRDefault="00571CCB" w:rsidP="00571CCB">
      <w:pPr>
        <w:rPr>
          <w:rFonts w:cs="Arial"/>
          <w:szCs w:val="22"/>
        </w:rPr>
      </w:pPr>
      <w:r>
        <w:rPr>
          <w:rFonts w:cs="Arial"/>
          <w:b/>
          <w:szCs w:val="22"/>
        </w:rPr>
        <w:t xml:space="preserve">Shared Services </w:t>
      </w:r>
      <w:r w:rsidRPr="00846B5A">
        <w:rPr>
          <w:rFonts w:cs="Arial"/>
          <w:b/>
          <w:szCs w:val="22"/>
        </w:rPr>
        <w:t>Joint Committee</w:t>
      </w:r>
      <w:r>
        <w:rPr>
          <w:rFonts w:cs="Arial"/>
          <w:szCs w:val="22"/>
        </w:rPr>
        <w:t xml:space="preserve"> - </w:t>
      </w:r>
      <w:r w:rsidRPr="00D876F3">
        <w:rPr>
          <w:rFonts w:cs="Arial"/>
          <w:szCs w:val="22"/>
        </w:rPr>
        <w:t xml:space="preserve">The Joint Committee monitors service performance of the </w:t>
      </w:r>
      <w:r>
        <w:rPr>
          <w:rFonts w:cs="Arial"/>
          <w:szCs w:val="22"/>
        </w:rPr>
        <w:t>shared services partnership</w:t>
      </w:r>
      <w:r w:rsidRPr="00D876F3">
        <w:rPr>
          <w:rFonts w:cs="Arial"/>
          <w:szCs w:val="22"/>
        </w:rPr>
        <w:t xml:space="preserve"> between South </w:t>
      </w:r>
      <w:proofErr w:type="spellStart"/>
      <w:r w:rsidRPr="00D876F3">
        <w:rPr>
          <w:rFonts w:cs="Arial"/>
          <w:szCs w:val="22"/>
        </w:rPr>
        <w:t>Ribble</w:t>
      </w:r>
      <w:proofErr w:type="spellEnd"/>
      <w:r w:rsidRPr="00D876F3">
        <w:rPr>
          <w:rFonts w:cs="Arial"/>
          <w:szCs w:val="22"/>
        </w:rPr>
        <w:t xml:space="preserve"> Borough and Chorley Borough </w:t>
      </w:r>
      <w:proofErr w:type="gramStart"/>
      <w:r w:rsidRPr="00D876F3">
        <w:rPr>
          <w:rFonts w:cs="Arial"/>
          <w:szCs w:val="22"/>
        </w:rPr>
        <w:t>Councils, and</w:t>
      </w:r>
      <w:proofErr w:type="gramEnd"/>
      <w:r w:rsidRPr="00D876F3">
        <w:rPr>
          <w:rFonts w:cs="Arial"/>
          <w:szCs w:val="22"/>
        </w:rPr>
        <w:t xml:space="preserve"> is a good example of our effective governance of partnerships. </w:t>
      </w:r>
    </w:p>
    <w:p w14:paraId="77D8F473" w14:textId="77777777" w:rsidR="00571CCB" w:rsidRPr="003322A5" w:rsidRDefault="00571CCB" w:rsidP="00571CCB">
      <w:pPr>
        <w:pStyle w:val="Default"/>
        <w:tabs>
          <w:tab w:val="num" w:pos="709"/>
        </w:tabs>
        <w:jc w:val="both"/>
        <w:rPr>
          <w:color w:val="auto"/>
          <w:sz w:val="22"/>
          <w:szCs w:val="22"/>
        </w:rPr>
      </w:pPr>
    </w:p>
    <w:p w14:paraId="5926E8E5" w14:textId="77777777" w:rsidR="00571CCB" w:rsidRPr="00E60478" w:rsidRDefault="00571CCB" w:rsidP="00571CCB">
      <w:pPr>
        <w:pStyle w:val="Default"/>
        <w:tabs>
          <w:tab w:val="num" w:pos="709"/>
        </w:tabs>
        <w:jc w:val="both"/>
        <w:rPr>
          <w:color w:val="auto"/>
          <w:sz w:val="22"/>
          <w:szCs w:val="22"/>
        </w:rPr>
      </w:pPr>
      <w:r w:rsidRPr="00846B5A">
        <w:rPr>
          <w:b/>
          <w:color w:val="auto"/>
          <w:sz w:val="22"/>
          <w:szCs w:val="22"/>
        </w:rPr>
        <w:t>Standards Committee</w:t>
      </w:r>
      <w:r>
        <w:rPr>
          <w:color w:val="auto"/>
          <w:sz w:val="22"/>
          <w:szCs w:val="22"/>
        </w:rPr>
        <w:t xml:space="preserve"> - </w:t>
      </w:r>
      <w:r w:rsidRPr="003322A5">
        <w:rPr>
          <w:color w:val="auto"/>
          <w:sz w:val="22"/>
          <w:szCs w:val="22"/>
        </w:rPr>
        <w:t xml:space="preserve">the </w:t>
      </w:r>
      <w:r>
        <w:rPr>
          <w:color w:val="auto"/>
          <w:sz w:val="22"/>
          <w:szCs w:val="22"/>
        </w:rPr>
        <w:t>c</w:t>
      </w:r>
      <w:r w:rsidRPr="003322A5">
        <w:rPr>
          <w:color w:val="auto"/>
          <w:sz w:val="22"/>
          <w:szCs w:val="22"/>
        </w:rPr>
        <w:t>ommittee</w:t>
      </w:r>
      <w:r>
        <w:rPr>
          <w:color w:val="auto"/>
          <w:sz w:val="22"/>
          <w:szCs w:val="22"/>
        </w:rPr>
        <w:t>’s is</w:t>
      </w:r>
      <w:r w:rsidRPr="003322A5">
        <w:rPr>
          <w:color w:val="auto"/>
          <w:sz w:val="22"/>
          <w:szCs w:val="22"/>
        </w:rPr>
        <w:t xml:space="preserve"> to promote high ethical standards. </w:t>
      </w:r>
      <w:r>
        <w:rPr>
          <w:color w:val="auto"/>
          <w:sz w:val="22"/>
          <w:szCs w:val="22"/>
        </w:rPr>
        <w:t>Standards Committee reports to full Council on an annual basis on the work that it carried out.</w:t>
      </w:r>
      <w:r w:rsidRPr="003322A5">
        <w:rPr>
          <w:color w:val="auto"/>
          <w:sz w:val="22"/>
          <w:szCs w:val="22"/>
        </w:rPr>
        <w:t xml:space="preserve"> </w:t>
      </w:r>
      <w:r>
        <w:rPr>
          <w:color w:val="auto"/>
          <w:sz w:val="22"/>
          <w:szCs w:val="22"/>
        </w:rPr>
        <w:t>There have been no hearings this year.</w:t>
      </w:r>
    </w:p>
    <w:p w14:paraId="44C1829E" w14:textId="77777777" w:rsidR="00571CCB" w:rsidRDefault="00571CCB" w:rsidP="00571CCB">
      <w:pPr>
        <w:pStyle w:val="Default"/>
        <w:tabs>
          <w:tab w:val="num" w:pos="709"/>
        </w:tabs>
        <w:jc w:val="both"/>
        <w:rPr>
          <w:color w:val="auto"/>
          <w:sz w:val="22"/>
          <w:szCs w:val="22"/>
        </w:rPr>
      </w:pPr>
    </w:p>
    <w:p w14:paraId="4EBCB0AE" w14:textId="77777777" w:rsidR="00571CCB" w:rsidRDefault="00571CCB" w:rsidP="00571CCB">
      <w:pPr>
        <w:spacing w:after="160" w:line="252" w:lineRule="auto"/>
        <w:rPr>
          <w:rFonts w:cs="Arial"/>
          <w:szCs w:val="22"/>
        </w:rPr>
      </w:pPr>
      <w:r w:rsidRPr="003467E0">
        <w:rPr>
          <w:rFonts w:cs="Arial"/>
          <w:b/>
          <w:szCs w:val="22"/>
        </w:rPr>
        <w:t>Scrutiny Committee</w:t>
      </w:r>
      <w:r w:rsidRPr="003467E0">
        <w:rPr>
          <w:rFonts w:cs="Arial"/>
          <w:szCs w:val="22"/>
        </w:rPr>
        <w:t xml:space="preserve">  </w:t>
      </w:r>
    </w:p>
    <w:p w14:paraId="37D2CF6A" w14:textId="77777777" w:rsidR="00571CCB" w:rsidRDefault="00571CCB" w:rsidP="00571CCB">
      <w:pPr>
        <w:spacing w:after="160" w:line="252" w:lineRule="auto"/>
        <w:rPr>
          <w:rFonts w:cs="Arial"/>
          <w:iCs/>
          <w:szCs w:val="22"/>
        </w:rPr>
      </w:pPr>
      <w:r>
        <w:rPr>
          <w:rFonts w:cs="Arial"/>
          <w:iCs/>
          <w:szCs w:val="22"/>
        </w:rPr>
        <w:t xml:space="preserve">Unlike many other councils, South </w:t>
      </w:r>
      <w:proofErr w:type="spellStart"/>
      <w:r>
        <w:rPr>
          <w:rFonts w:cs="Arial"/>
          <w:iCs/>
          <w:szCs w:val="22"/>
        </w:rPr>
        <w:t>Ribble</w:t>
      </w:r>
      <w:proofErr w:type="spellEnd"/>
      <w:r>
        <w:rPr>
          <w:rFonts w:cs="Arial"/>
          <w:iCs/>
          <w:szCs w:val="22"/>
        </w:rPr>
        <w:t xml:space="preserve"> Borough Council’s Scrutiny Committee has continued to meet during the pandemic and provide robust scrutiny.  This has included consideration of South </w:t>
      </w:r>
      <w:proofErr w:type="spellStart"/>
      <w:r>
        <w:rPr>
          <w:rFonts w:cs="Arial"/>
          <w:iCs/>
          <w:szCs w:val="22"/>
        </w:rPr>
        <w:t>Ribble</w:t>
      </w:r>
      <w:proofErr w:type="spellEnd"/>
      <w:r>
        <w:rPr>
          <w:rFonts w:cs="Arial"/>
          <w:iCs/>
          <w:szCs w:val="22"/>
        </w:rPr>
        <w:t xml:space="preserve"> Partnership, the progress of the delivery of the Worden Hall project and executive portfolios.  Pre-decision Scrutiny has also taken place of key corporate strategy projects and Budget and </w:t>
      </w:r>
      <w:proofErr w:type="gramStart"/>
      <w:r>
        <w:rPr>
          <w:rFonts w:cs="Arial"/>
          <w:iCs/>
          <w:szCs w:val="22"/>
        </w:rPr>
        <w:t>Medium Term</w:t>
      </w:r>
      <w:proofErr w:type="gramEnd"/>
      <w:r>
        <w:rPr>
          <w:rFonts w:cs="Arial"/>
          <w:iCs/>
          <w:szCs w:val="22"/>
        </w:rPr>
        <w:t xml:space="preserve"> Financial Strategy.  A detailed recommendation tracking process is in place to ensure that responses are provided to the recommendations made.</w:t>
      </w:r>
    </w:p>
    <w:p w14:paraId="2D6BE4EF" w14:textId="77777777" w:rsidR="00571CCB" w:rsidRDefault="00571CCB" w:rsidP="00571CCB">
      <w:pPr>
        <w:spacing w:after="160" w:line="252" w:lineRule="auto"/>
        <w:rPr>
          <w:rFonts w:cs="Arial"/>
          <w:iCs/>
          <w:szCs w:val="22"/>
        </w:rPr>
      </w:pPr>
      <w:r>
        <w:rPr>
          <w:rFonts w:cs="Arial"/>
          <w:iCs/>
          <w:szCs w:val="22"/>
        </w:rPr>
        <w:t xml:space="preserve">The Scrutiny Committee has continued to undertake reviews and in 2020/2021 undertook an in-depth review into health inequalities following the </w:t>
      </w:r>
      <w:proofErr w:type="spellStart"/>
      <w:r>
        <w:rPr>
          <w:rFonts w:cs="Arial"/>
          <w:iCs/>
          <w:szCs w:val="22"/>
        </w:rPr>
        <w:t>Marmott</w:t>
      </w:r>
      <w:proofErr w:type="spellEnd"/>
      <w:r>
        <w:rPr>
          <w:rFonts w:cs="Arial"/>
          <w:iCs/>
          <w:szCs w:val="22"/>
        </w:rPr>
        <w:t xml:space="preserve"> 10 years on report, with a </w:t>
      </w:r>
      <w:proofErr w:type="gramStart"/>
      <w:r>
        <w:rPr>
          <w:rFonts w:cs="Arial"/>
          <w:iCs/>
          <w:szCs w:val="22"/>
        </w:rPr>
        <w:t>particular emphasis</w:t>
      </w:r>
      <w:proofErr w:type="gramEnd"/>
      <w:r>
        <w:rPr>
          <w:rFonts w:cs="Arial"/>
          <w:iCs/>
          <w:szCs w:val="22"/>
        </w:rPr>
        <w:t xml:space="preserve"> on income deprivation and access to services.  Linked with this review the Committee is preparing to scrutinise housing associations within the borough. </w:t>
      </w:r>
    </w:p>
    <w:p w14:paraId="1F3A6CFC" w14:textId="77777777" w:rsidR="00571CCB" w:rsidRDefault="00571CCB" w:rsidP="00571CCB">
      <w:pPr>
        <w:spacing w:after="160" w:line="252" w:lineRule="auto"/>
        <w:rPr>
          <w:rFonts w:cs="Arial"/>
          <w:iCs/>
          <w:szCs w:val="22"/>
        </w:rPr>
      </w:pPr>
      <w:r>
        <w:rPr>
          <w:rFonts w:cs="Arial"/>
          <w:iCs/>
          <w:szCs w:val="22"/>
        </w:rPr>
        <w:t xml:space="preserve">The Scrutiny Budget and Performance Panel meets to challenge and comment on the quarterly performance and budget monitoring reports prior to consideration by Cabinet as part of our new rigorous Performance Management Framework.  </w:t>
      </w:r>
    </w:p>
    <w:p w14:paraId="1F73AFF4" w14:textId="77777777" w:rsidR="00571CCB" w:rsidRPr="00E679F9" w:rsidRDefault="00571CCB" w:rsidP="00571CCB">
      <w:pPr>
        <w:spacing w:after="160" w:line="252" w:lineRule="auto"/>
        <w:rPr>
          <w:rFonts w:cs="Arial"/>
          <w:iCs/>
          <w:szCs w:val="22"/>
        </w:rPr>
      </w:pPr>
      <w:r>
        <w:rPr>
          <w:rFonts w:cs="Arial"/>
          <w:iCs/>
          <w:szCs w:val="22"/>
        </w:rPr>
        <w:t xml:space="preserve">The Scrutiny Chair attends the Lancashire County Council Health Scrutiny Committee and reports back to each meeting.  The Council plays a leading role in the North West Strategic Scrutiny Network which shares learning and best practice amongst Members. </w:t>
      </w:r>
    </w:p>
    <w:p w14:paraId="1F0A87F3" w14:textId="77777777" w:rsidR="00E948BF" w:rsidRDefault="00E948BF">
      <w:pPr>
        <w:jc w:val="left"/>
        <w:rPr>
          <w:rFonts w:cs="Arial"/>
          <w:b/>
          <w:bCs/>
          <w:szCs w:val="22"/>
        </w:rPr>
      </w:pPr>
      <w:r>
        <w:rPr>
          <w:rFonts w:cs="Arial"/>
          <w:b/>
          <w:bCs/>
          <w:szCs w:val="22"/>
        </w:rPr>
        <w:br w:type="page"/>
      </w:r>
    </w:p>
    <w:p w14:paraId="3431E428" w14:textId="60C274DF" w:rsidR="00571CCB" w:rsidRPr="009456AC" w:rsidRDefault="00571CCB" w:rsidP="00571CCB">
      <w:pPr>
        <w:spacing w:after="160" w:line="252" w:lineRule="auto"/>
        <w:rPr>
          <w:rFonts w:cs="Arial"/>
          <w:b/>
          <w:bCs/>
          <w:szCs w:val="22"/>
        </w:rPr>
      </w:pPr>
      <w:r w:rsidRPr="009456AC">
        <w:rPr>
          <w:rFonts w:cs="Arial"/>
          <w:b/>
          <w:bCs/>
          <w:szCs w:val="22"/>
        </w:rPr>
        <w:t>Member Training</w:t>
      </w:r>
    </w:p>
    <w:p w14:paraId="790A9510" w14:textId="77777777" w:rsidR="00571CCB" w:rsidRDefault="00571CCB" w:rsidP="00571CCB">
      <w:pPr>
        <w:spacing w:after="160" w:line="252" w:lineRule="auto"/>
        <w:rPr>
          <w:rFonts w:cs="Arial"/>
          <w:szCs w:val="22"/>
        </w:rPr>
      </w:pPr>
      <w:r>
        <w:rPr>
          <w:rFonts w:cs="Arial"/>
          <w:szCs w:val="22"/>
        </w:rPr>
        <w:t xml:space="preserve">The Council holds the North West Employers Member Development Charter and has a cross-party Member Development Steering Group that takes an overview of Member training and development.  An innovative Member Personal Development Planning process was piloted and rolled out to all Members, which is informing our Member training plans moving forward.  </w:t>
      </w:r>
    </w:p>
    <w:p w14:paraId="26059268" w14:textId="77777777" w:rsidR="00571CCB" w:rsidRDefault="00571CCB" w:rsidP="00571CCB">
      <w:pPr>
        <w:spacing w:after="160" w:line="252" w:lineRule="auto"/>
        <w:rPr>
          <w:rFonts w:cs="Arial"/>
          <w:szCs w:val="22"/>
        </w:rPr>
      </w:pPr>
      <w:r>
        <w:rPr>
          <w:rFonts w:cs="Arial"/>
          <w:szCs w:val="22"/>
        </w:rPr>
        <w:t xml:space="preserve">During the year all Member training was provided on governance/ethical decision-making, code of conduct, equality and diversity and GDPR.  Training on the use of I-pads and Microsoft Teams as part of the approach to virtual/hybrid meetings has also taken place with a </w:t>
      </w:r>
      <w:proofErr w:type="gramStart"/>
      <w:r>
        <w:rPr>
          <w:rFonts w:cs="Arial"/>
          <w:szCs w:val="22"/>
        </w:rPr>
        <w:t>number</w:t>
      </w:r>
      <w:proofErr w:type="gramEnd"/>
      <w:r>
        <w:rPr>
          <w:rFonts w:cs="Arial"/>
          <w:szCs w:val="22"/>
        </w:rPr>
        <w:t xml:space="preserve"> surgeries/clinics and other learning opportunities.  Member briefings were also held on the </w:t>
      </w:r>
      <w:proofErr w:type="gramStart"/>
      <w:r>
        <w:rPr>
          <w:rFonts w:cs="Arial"/>
          <w:szCs w:val="22"/>
        </w:rPr>
        <w:t>residents</w:t>
      </w:r>
      <w:proofErr w:type="gramEnd"/>
      <w:r>
        <w:rPr>
          <w:rFonts w:cs="Arial"/>
          <w:szCs w:val="22"/>
        </w:rPr>
        <w:t xml:space="preserve"> survey, city deal, corporate strategy, new website, shared services and social media.</w:t>
      </w:r>
    </w:p>
    <w:p w14:paraId="3ECE628B" w14:textId="77777777" w:rsidR="00571CCB" w:rsidRDefault="00571CCB" w:rsidP="00571CCB">
      <w:pPr>
        <w:spacing w:after="160" w:line="252" w:lineRule="auto"/>
        <w:rPr>
          <w:rFonts w:cs="Arial"/>
          <w:szCs w:val="22"/>
        </w:rPr>
      </w:pPr>
      <w:r>
        <w:rPr>
          <w:rFonts w:cs="Arial"/>
          <w:szCs w:val="22"/>
        </w:rPr>
        <w:t>A Cabinet development programme was also put together and implemented in collaboration with North West Employers’ Organisation.</w:t>
      </w:r>
    </w:p>
    <w:p w14:paraId="0EA74245" w14:textId="77777777" w:rsidR="00571CCB" w:rsidRPr="00FF4A42" w:rsidRDefault="00571CCB" w:rsidP="00571CCB">
      <w:pPr>
        <w:spacing w:after="160" w:line="252" w:lineRule="auto"/>
        <w:rPr>
          <w:rFonts w:cs="Arial"/>
          <w:b/>
          <w:bCs/>
          <w:szCs w:val="22"/>
        </w:rPr>
      </w:pPr>
      <w:r>
        <w:rPr>
          <w:rFonts w:cs="Arial"/>
          <w:szCs w:val="22"/>
        </w:rPr>
        <w:t xml:space="preserve">Members have also attended </w:t>
      </w:r>
      <w:proofErr w:type="gramStart"/>
      <w:r>
        <w:rPr>
          <w:rFonts w:cs="Arial"/>
          <w:szCs w:val="22"/>
        </w:rPr>
        <w:t>a number of</w:t>
      </w:r>
      <w:proofErr w:type="gramEnd"/>
      <w:r>
        <w:rPr>
          <w:rFonts w:cs="Arial"/>
          <w:szCs w:val="22"/>
        </w:rPr>
        <w:t xml:space="preserve"> external training courses and conferences via the LGA and other providers on topics such as social value, equality and diversity, PREVENT, scrutiny, public health, community wealth building and climate change.</w:t>
      </w:r>
    </w:p>
    <w:p w14:paraId="41A60764" w14:textId="77777777" w:rsidR="00571CCB" w:rsidRDefault="00571CCB" w:rsidP="00571CCB">
      <w:pPr>
        <w:spacing w:after="160" w:line="252" w:lineRule="auto"/>
        <w:rPr>
          <w:rFonts w:cs="Arial"/>
          <w:b/>
          <w:bCs/>
          <w:szCs w:val="22"/>
        </w:rPr>
      </w:pPr>
      <w:r w:rsidRPr="00F968D4">
        <w:rPr>
          <w:rFonts w:cs="Arial"/>
          <w:b/>
          <w:bCs/>
          <w:szCs w:val="22"/>
        </w:rPr>
        <w:t>Management Team / Leadership Team</w:t>
      </w:r>
      <w:r>
        <w:rPr>
          <w:rFonts w:cs="Arial"/>
          <w:b/>
          <w:bCs/>
          <w:szCs w:val="22"/>
        </w:rPr>
        <w:t xml:space="preserve">  </w:t>
      </w:r>
    </w:p>
    <w:p w14:paraId="19765542" w14:textId="77777777" w:rsidR="00571CCB" w:rsidRPr="004169AE" w:rsidRDefault="00571CCB" w:rsidP="00571CCB">
      <w:pPr>
        <w:spacing w:after="160" w:line="252" w:lineRule="auto"/>
        <w:rPr>
          <w:rFonts w:cs="Arial"/>
          <w:szCs w:val="22"/>
        </w:rPr>
      </w:pPr>
      <w:r w:rsidRPr="004169AE">
        <w:rPr>
          <w:rFonts w:cs="Arial"/>
          <w:szCs w:val="22"/>
        </w:rPr>
        <w:t xml:space="preserve">In January 2021, a shared senior management team was created with Chorley Council. In addition to the already shared Deputy Chief Executive, Director of Finance and Director of Governance, the Chief Executive is now a shared role permanently alongside four director </w:t>
      </w:r>
      <w:proofErr w:type="gramStart"/>
      <w:r w:rsidRPr="004169AE">
        <w:rPr>
          <w:rFonts w:cs="Arial"/>
          <w:szCs w:val="22"/>
        </w:rPr>
        <w:t>roles .</w:t>
      </w:r>
      <w:proofErr w:type="gramEnd"/>
      <w:r w:rsidRPr="004169AE">
        <w:rPr>
          <w:rFonts w:cs="Arial"/>
          <w:szCs w:val="22"/>
        </w:rPr>
        <w:t xml:space="preserve"> </w:t>
      </w:r>
    </w:p>
    <w:p w14:paraId="6BB174DA" w14:textId="77777777" w:rsidR="00571CCB" w:rsidRPr="004169AE" w:rsidRDefault="00571CCB" w:rsidP="00571CCB">
      <w:pPr>
        <w:spacing w:after="160" w:line="252" w:lineRule="auto"/>
        <w:rPr>
          <w:rFonts w:cs="Arial"/>
          <w:szCs w:val="22"/>
        </w:rPr>
      </w:pPr>
      <w:r w:rsidRPr="004169AE">
        <w:rPr>
          <w:rFonts w:cs="Arial"/>
          <w:szCs w:val="22"/>
        </w:rPr>
        <w:t>The council’s Senior Management Team is made up of the Chief Executive, Deputy Chief Executive and Directors, as well as the Shared Service Lead for Transformation and Partnerships and Shared Service Lead for Communications and Visitor Economy. The team meets weekly. They consider the strategic direction of the council, supporting effective organisational management and support for the delivery of the council’s agreed priorities. In addition, the senior management team meet on a quarterly basis as a programme board to consider the progress made in delivering the council’s corporate plan, address any issues and manage risk.</w:t>
      </w:r>
    </w:p>
    <w:p w14:paraId="11DCD206" w14:textId="77777777" w:rsidR="00571CCB" w:rsidRPr="004169AE" w:rsidRDefault="00571CCB" w:rsidP="00571CCB">
      <w:pPr>
        <w:spacing w:after="160" w:line="252" w:lineRule="auto"/>
        <w:rPr>
          <w:rFonts w:cs="Arial"/>
          <w:szCs w:val="22"/>
        </w:rPr>
      </w:pPr>
      <w:r w:rsidRPr="004169AE">
        <w:rPr>
          <w:rFonts w:cs="Arial"/>
          <w:szCs w:val="22"/>
        </w:rPr>
        <w:t>A shared Senior Leadership Team has also been established. This meets monthly and its membership includes all Assistant Directors and Service Leads in addition to the SMT members. This meeting focusses on overseeing internal communications, organisational development and transformation. In addition, the meeting receives reports on service performance and HR issues.</w:t>
      </w:r>
    </w:p>
    <w:p w14:paraId="2B61BD4B" w14:textId="77777777" w:rsidR="00571CCB" w:rsidRDefault="00571CCB" w:rsidP="00571CCB">
      <w:pPr>
        <w:pStyle w:val="23ACBodytextno"/>
        <w:jc w:val="both"/>
        <w:rPr>
          <w:rFonts w:ascii="Arial" w:hAnsi="Arial" w:cs="Arial"/>
          <w:b/>
          <w:bCs/>
          <w:snapToGrid w:val="0"/>
          <w:sz w:val="22"/>
        </w:rPr>
      </w:pPr>
    </w:p>
    <w:p w14:paraId="5FA7B2E5" w14:textId="77777777" w:rsidR="00571CCB" w:rsidRPr="00F968D4" w:rsidRDefault="00571CCB" w:rsidP="00571CCB">
      <w:pPr>
        <w:pStyle w:val="23ACBodytextno"/>
        <w:jc w:val="both"/>
        <w:rPr>
          <w:rFonts w:ascii="Arial" w:hAnsi="Arial" w:cs="Arial"/>
          <w:b/>
          <w:bCs/>
          <w:snapToGrid w:val="0"/>
          <w:sz w:val="22"/>
        </w:rPr>
      </w:pPr>
      <w:r w:rsidRPr="00F968D4">
        <w:rPr>
          <w:rFonts w:ascii="Arial" w:hAnsi="Arial" w:cs="Arial"/>
          <w:b/>
          <w:bCs/>
          <w:snapToGrid w:val="0"/>
          <w:sz w:val="22"/>
        </w:rPr>
        <w:t xml:space="preserve">Section 151 Officer / Director of Finance </w:t>
      </w:r>
    </w:p>
    <w:p w14:paraId="3F86F46D" w14:textId="77777777" w:rsidR="00571CCB" w:rsidRDefault="00571CCB" w:rsidP="00571CCB">
      <w:pPr>
        <w:pStyle w:val="23ACBodytextno"/>
        <w:jc w:val="both"/>
        <w:rPr>
          <w:rFonts w:ascii="Arial" w:hAnsi="Arial" w:cs="Arial"/>
          <w:snapToGrid w:val="0"/>
          <w:sz w:val="22"/>
        </w:rPr>
      </w:pPr>
    </w:p>
    <w:p w14:paraId="375BCF64" w14:textId="77777777" w:rsidR="00571CCB" w:rsidRDefault="00571CCB" w:rsidP="00571CCB">
      <w:pPr>
        <w:pStyle w:val="23ACBodytextno"/>
        <w:jc w:val="both"/>
        <w:rPr>
          <w:rFonts w:ascii="Arial" w:hAnsi="Arial" w:cs="Arial"/>
          <w:snapToGrid w:val="0"/>
          <w:sz w:val="22"/>
        </w:rPr>
      </w:pPr>
      <w:r>
        <w:rPr>
          <w:rFonts w:ascii="Arial" w:hAnsi="Arial" w:cs="Arial"/>
          <w:snapToGrid w:val="0"/>
          <w:sz w:val="22"/>
        </w:rPr>
        <w:t xml:space="preserve">The Council has undertaken a review of the requirements of CIPFA Statement on the Role of the Chief Financial Officer into its governance framework and has evidenced its compliance with the guidance.  Over the past 12 months, the Deputy S151 officer has fulfilled the role and has been a permanent member of the Shared Management Team.  </w:t>
      </w:r>
    </w:p>
    <w:p w14:paraId="58300857" w14:textId="77777777" w:rsidR="00571CCB" w:rsidRDefault="00571CCB" w:rsidP="00571CCB">
      <w:pPr>
        <w:pStyle w:val="23ACBodytextno"/>
        <w:jc w:val="both"/>
        <w:rPr>
          <w:rFonts w:ascii="Arial" w:hAnsi="Arial" w:cs="Arial"/>
          <w:snapToGrid w:val="0"/>
          <w:sz w:val="22"/>
        </w:rPr>
      </w:pPr>
    </w:p>
    <w:p w14:paraId="45BCE9B7" w14:textId="77777777" w:rsidR="00571CCB" w:rsidRDefault="00571CCB" w:rsidP="00571CCB">
      <w:pPr>
        <w:rPr>
          <w:rFonts w:cs="Arial"/>
        </w:rPr>
      </w:pPr>
      <w:r>
        <w:rPr>
          <w:rFonts w:cs="Arial"/>
        </w:rPr>
        <w:t xml:space="preserve">During 2020/21, local authorities have been working towards compliance with the new CIPFA Financial Management Code in advance of full implementation </w:t>
      </w:r>
      <w:bookmarkStart w:id="235" w:name="_That_the_first_year,_2020/21,_is_a_sha"/>
      <w:bookmarkEnd w:id="235"/>
      <w:r>
        <w:rPr>
          <w:rFonts w:cs="Arial"/>
        </w:rPr>
        <w:t xml:space="preserve">and </w:t>
      </w:r>
      <w:r w:rsidRPr="00B81370">
        <w:rPr>
          <w:rFonts w:cs="Arial"/>
        </w:rPr>
        <w:t>compliance</w:t>
      </w:r>
      <w:r>
        <w:rPr>
          <w:rFonts w:cs="Arial"/>
        </w:rPr>
        <w:t xml:space="preserve"> in 2021/22. </w:t>
      </w:r>
      <w:bookmarkStart w:id="236" w:name="_That_an_initial_assessment_has_been_ca"/>
      <w:bookmarkEnd w:id="236"/>
      <w:r>
        <w:rPr>
          <w:rFonts w:cs="Arial"/>
        </w:rPr>
        <w:t xml:space="preserve">The Council has carried out an </w:t>
      </w:r>
      <w:r w:rsidRPr="00B81370">
        <w:rPr>
          <w:rFonts w:cs="Arial"/>
        </w:rPr>
        <w:t xml:space="preserve">initial assessment </w:t>
      </w:r>
      <w:r>
        <w:rPr>
          <w:rFonts w:cs="Arial"/>
        </w:rPr>
        <w:t>of compliance with the standards contained within the FM Code, and although there is evidence to support this, areas for improvement have been identified and actions to address these are in the process of implementation.</w:t>
      </w:r>
    </w:p>
    <w:p w14:paraId="7B5EF1D6" w14:textId="77777777" w:rsidR="00571CCB" w:rsidRPr="00A5115B" w:rsidRDefault="00571CCB" w:rsidP="00571CCB">
      <w:pPr>
        <w:rPr>
          <w:rFonts w:cs="Arial"/>
          <w:color w:val="FF0000"/>
          <w:szCs w:val="22"/>
          <w:lang w:eastAsia="en-US"/>
        </w:rPr>
      </w:pPr>
    </w:p>
    <w:p w14:paraId="04708F37" w14:textId="77777777" w:rsidR="00571CCB" w:rsidRPr="00F968D4" w:rsidRDefault="00571CCB" w:rsidP="00571CCB">
      <w:pPr>
        <w:pStyle w:val="23ACBodytextno"/>
        <w:jc w:val="both"/>
        <w:rPr>
          <w:rFonts w:ascii="Arial" w:hAnsi="Arial" w:cs="Arial"/>
          <w:b/>
          <w:bCs/>
          <w:snapToGrid w:val="0"/>
          <w:sz w:val="22"/>
        </w:rPr>
      </w:pPr>
      <w:r w:rsidRPr="00F968D4">
        <w:rPr>
          <w:rFonts w:ascii="Arial" w:hAnsi="Arial" w:cs="Arial"/>
          <w:b/>
          <w:bCs/>
          <w:snapToGrid w:val="0"/>
          <w:sz w:val="22"/>
        </w:rPr>
        <w:t>Statutory Regulation / Monitoring Officer</w:t>
      </w:r>
    </w:p>
    <w:p w14:paraId="6D32D6D1" w14:textId="77777777" w:rsidR="00571CCB" w:rsidRDefault="00571CCB" w:rsidP="00571CCB">
      <w:pPr>
        <w:pStyle w:val="23ACBodytextno"/>
        <w:jc w:val="both"/>
        <w:rPr>
          <w:rFonts w:ascii="Arial" w:hAnsi="Arial" w:cs="Arial"/>
          <w:snapToGrid w:val="0"/>
          <w:sz w:val="22"/>
        </w:rPr>
      </w:pPr>
    </w:p>
    <w:p w14:paraId="526805B6" w14:textId="77777777" w:rsidR="00571CCB" w:rsidRPr="004169AE" w:rsidRDefault="00571CCB" w:rsidP="00571CCB">
      <w:pPr>
        <w:pStyle w:val="23ACBodytextno"/>
        <w:jc w:val="both"/>
        <w:rPr>
          <w:rFonts w:ascii="Arial" w:hAnsi="Arial" w:cs="Arial"/>
          <w:snapToGrid w:val="0"/>
          <w:sz w:val="22"/>
        </w:rPr>
      </w:pPr>
      <w:r w:rsidRPr="004169AE">
        <w:rPr>
          <w:rFonts w:ascii="Arial" w:hAnsi="Arial" w:cs="Arial"/>
          <w:snapToGrid w:val="0"/>
          <w:sz w:val="22"/>
        </w:rPr>
        <w:t xml:space="preserve">The main regulatory change in this period related to the introduction of remote attendance at meetings and the facilitation of decision making in this this environment. </w:t>
      </w:r>
    </w:p>
    <w:p w14:paraId="7BB005A2" w14:textId="77777777" w:rsidR="00571CCB" w:rsidRPr="004169AE" w:rsidRDefault="00571CCB" w:rsidP="00571CCB">
      <w:pPr>
        <w:pStyle w:val="23ACBodytextno"/>
        <w:jc w:val="both"/>
        <w:rPr>
          <w:rFonts w:ascii="Arial" w:hAnsi="Arial" w:cs="Arial"/>
          <w:snapToGrid w:val="0"/>
          <w:sz w:val="22"/>
        </w:rPr>
      </w:pPr>
    </w:p>
    <w:p w14:paraId="2AD514FC" w14:textId="77777777" w:rsidR="00571CCB" w:rsidRPr="004169AE" w:rsidRDefault="00571CCB" w:rsidP="00571CCB">
      <w:pPr>
        <w:pStyle w:val="23ACBodytextno"/>
        <w:jc w:val="both"/>
        <w:rPr>
          <w:rFonts w:ascii="Arial" w:hAnsi="Arial" w:cs="Arial"/>
          <w:snapToGrid w:val="0"/>
          <w:sz w:val="22"/>
        </w:rPr>
      </w:pPr>
      <w:r w:rsidRPr="004169AE">
        <w:rPr>
          <w:rFonts w:ascii="Arial" w:hAnsi="Arial" w:cs="Arial"/>
          <w:snapToGrid w:val="0"/>
          <w:sz w:val="22"/>
        </w:rPr>
        <w:t xml:space="preserve">Processes were put in place to maintain the transparency of decision making to include reporting to full council where urgency powers were used. The constitution was reviewed and amended to ensure its fitness for purpose to support constraints around decision making during </w:t>
      </w:r>
      <w:proofErr w:type="spellStart"/>
      <w:r w:rsidRPr="004169AE">
        <w:rPr>
          <w:rFonts w:ascii="Arial" w:hAnsi="Arial" w:cs="Arial"/>
          <w:snapToGrid w:val="0"/>
          <w:sz w:val="22"/>
        </w:rPr>
        <w:t>covid</w:t>
      </w:r>
      <w:proofErr w:type="spellEnd"/>
      <w:r w:rsidRPr="004169AE">
        <w:rPr>
          <w:rFonts w:ascii="Arial" w:hAnsi="Arial" w:cs="Arial"/>
          <w:snapToGrid w:val="0"/>
          <w:sz w:val="22"/>
        </w:rPr>
        <w:t xml:space="preserve">. As </w:t>
      </w:r>
      <w:proofErr w:type="gramStart"/>
      <w:r w:rsidRPr="004169AE">
        <w:rPr>
          <w:rFonts w:ascii="Arial" w:hAnsi="Arial" w:cs="Arial"/>
          <w:snapToGrid w:val="0"/>
          <w:sz w:val="22"/>
        </w:rPr>
        <w:t>mentioned</w:t>
      </w:r>
      <w:proofErr w:type="gramEnd"/>
      <w:r w:rsidRPr="004169AE">
        <w:rPr>
          <w:rFonts w:ascii="Arial" w:hAnsi="Arial" w:cs="Arial"/>
          <w:snapToGrid w:val="0"/>
          <w:sz w:val="22"/>
        </w:rPr>
        <w:t xml:space="preserve"> the Standing Orders were reviewed and amended to temporarily reduce public participation in meetings due to the constraints imposed by the technical solution. However, the public, whilst not being able to speak at meetings could still view them remotely.</w:t>
      </w:r>
    </w:p>
    <w:p w14:paraId="4B92C836" w14:textId="77777777" w:rsidR="00571CCB" w:rsidRPr="004169AE" w:rsidRDefault="00571CCB" w:rsidP="00571CCB">
      <w:pPr>
        <w:pStyle w:val="23ACBodytextno"/>
        <w:jc w:val="both"/>
        <w:rPr>
          <w:rFonts w:ascii="Arial" w:hAnsi="Arial" w:cs="Arial"/>
          <w:snapToGrid w:val="0"/>
          <w:sz w:val="22"/>
        </w:rPr>
      </w:pPr>
    </w:p>
    <w:p w14:paraId="59179017" w14:textId="77777777" w:rsidR="00571CCB" w:rsidRPr="004169AE" w:rsidRDefault="00571CCB" w:rsidP="00571CCB">
      <w:pPr>
        <w:pStyle w:val="23ACBodytextno"/>
        <w:jc w:val="both"/>
        <w:rPr>
          <w:rFonts w:ascii="Arial" w:hAnsi="Arial" w:cs="Arial"/>
          <w:snapToGrid w:val="0"/>
          <w:sz w:val="22"/>
        </w:rPr>
      </w:pPr>
      <w:r w:rsidRPr="004169AE">
        <w:rPr>
          <w:rFonts w:ascii="Arial" w:hAnsi="Arial" w:cs="Arial"/>
          <w:snapToGrid w:val="0"/>
          <w:sz w:val="22"/>
        </w:rPr>
        <w:t>Training was provided to both Members and Officers on ethical decision making, the code of conduct and in relation to procurement processes.</w:t>
      </w:r>
    </w:p>
    <w:p w14:paraId="77FF9F57" w14:textId="77777777" w:rsidR="00571CCB" w:rsidRDefault="00571CCB" w:rsidP="00571CCB">
      <w:pPr>
        <w:spacing w:after="160" w:line="252" w:lineRule="auto"/>
        <w:rPr>
          <w:rFonts w:cs="Arial"/>
          <w:szCs w:val="22"/>
        </w:rPr>
      </w:pPr>
    </w:p>
    <w:p w14:paraId="2490B668" w14:textId="77777777" w:rsidR="00571CCB" w:rsidRDefault="00571CCB" w:rsidP="00571CCB">
      <w:pPr>
        <w:pStyle w:val="23ACBodytextno"/>
        <w:jc w:val="both"/>
        <w:rPr>
          <w:rFonts w:ascii="Arial" w:hAnsi="Arial" w:cs="Arial"/>
          <w:b/>
          <w:bCs/>
          <w:snapToGrid w:val="0"/>
          <w:sz w:val="22"/>
        </w:rPr>
      </w:pPr>
      <w:r>
        <w:rPr>
          <w:rFonts w:ascii="Arial" w:hAnsi="Arial" w:cs="Arial"/>
          <w:b/>
          <w:bCs/>
          <w:snapToGrid w:val="0"/>
          <w:sz w:val="22"/>
        </w:rPr>
        <w:t>Corporate Governance Group / Officer arrangements</w:t>
      </w:r>
    </w:p>
    <w:p w14:paraId="5EB2798A" w14:textId="77777777" w:rsidR="00571CCB" w:rsidRDefault="00571CCB" w:rsidP="00571CCB">
      <w:pPr>
        <w:pStyle w:val="23ACBodytextno"/>
        <w:jc w:val="both"/>
        <w:rPr>
          <w:rFonts w:ascii="Arial" w:hAnsi="Arial" w:cs="Arial"/>
          <w:snapToGrid w:val="0"/>
          <w:sz w:val="22"/>
        </w:rPr>
      </w:pPr>
    </w:p>
    <w:p w14:paraId="7FED8117" w14:textId="77777777" w:rsidR="00571CCB" w:rsidRDefault="00571CCB" w:rsidP="00571CCB">
      <w:pPr>
        <w:pStyle w:val="23ACBodytextno"/>
        <w:jc w:val="both"/>
        <w:rPr>
          <w:rFonts w:ascii="Arial" w:hAnsi="Arial" w:cs="Arial"/>
          <w:snapToGrid w:val="0"/>
          <w:sz w:val="22"/>
        </w:rPr>
      </w:pPr>
      <w:r>
        <w:rPr>
          <w:rFonts w:ascii="Arial" w:hAnsi="Arial" w:cs="Arial"/>
          <w:snapToGrid w:val="0"/>
          <w:sz w:val="22"/>
        </w:rPr>
        <w:t>In developing this Annual Governance Statement, the council’s senior officers have worked collectively to understand and assess the effectiveness of the implementation of the council’s governance framework. This work has been overseen by a Corporate Governance Group comprising:</w:t>
      </w:r>
    </w:p>
    <w:p w14:paraId="557E4704" w14:textId="77777777" w:rsidR="00571CCB" w:rsidRDefault="00571CCB" w:rsidP="00E948BF">
      <w:pPr>
        <w:pStyle w:val="23ACBodytextno"/>
        <w:numPr>
          <w:ilvl w:val="0"/>
          <w:numId w:val="34"/>
        </w:numPr>
        <w:jc w:val="both"/>
        <w:rPr>
          <w:rFonts w:ascii="Arial" w:hAnsi="Arial" w:cs="Arial"/>
          <w:snapToGrid w:val="0"/>
          <w:sz w:val="22"/>
        </w:rPr>
      </w:pPr>
      <w:r>
        <w:rPr>
          <w:rFonts w:ascii="Arial" w:hAnsi="Arial" w:cs="Arial"/>
          <w:snapToGrid w:val="0"/>
          <w:sz w:val="22"/>
        </w:rPr>
        <w:t>Chief Executive</w:t>
      </w:r>
    </w:p>
    <w:p w14:paraId="68774170" w14:textId="77777777" w:rsidR="00571CCB" w:rsidRDefault="00571CCB" w:rsidP="00E948BF">
      <w:pPr>
        <w:pStyle w:val="23ACBodytextno"/>
        <w:numPr>
          <w:ilvl w:val="0"/>
          <w:numId w:val="34"/>
        </w:numPr>
        <w:jc w:val="both"/>
        <w:rPr>
          <w:rFonts w:ascii="Arial" w:hAnsi="Arial" w:cs="Arial"/>
          <w:snapToGrid w:val="0"/>
          <w:sz w:val="22"/>
        </w:rPr>
      </w:pPr>
      <w:r>
        <w:rPr>
          <w:rFonts w:ascii="Arial" w:hAnsi="Arial" w:cs="Arial"/>
          <w:snapToGrid w:val="0"/>
          <w:sz w:val="22"/>
        </w:rPr>
        <w:t>Deputy Chief Executive</w:t>
      </w:r>
    </w:p>
    <w:p w14:paraId="42164F7D" w14:textId="77777777" w:rsidR="00571CCB" w:rsidRDefault="00571CCB" w:rsidP="00E948BF">
      <w:pPr>
        <w:pStyle w:val="23ACBodytextno"/>
        <w:numPr>
          <w:ilvl w:val="0"/>
          <w:numId w:val="34"/>
        </w:numPr>
        <w:jc w:val="both"/>
        <w:rPr>
          <w:rFonts w:ascii="Arial" w:hAnsi="Arial" w:cs="Arial"/>
          <w:snapToGrid w:val="0"/>
          <w:sz w:val="22"/>
        </w:rPr>
      </w:pPr>
      <w:r>
        <w:rPr>
          <w:rFonts w:ascii="Arial" w:hAnsi="Arial" w:cs="Arial"/>
          <w:snapToGrid w:val="0"/>
          <w:sz w:val="22"/>
        </w:rPr>
        <w:t>Director of Governance (Monitoring Officer)</w:t>
      </w:r>
    </w:p>
    <w:p w14:paraId="6CF4342A" w14:textId="77777777" w:rsidR="00571CCB" w:rsidRDefault="00571CCB" w:rsidP="00E948BF">
      <w:pPr>
        <w:pStyle w:val="23ACBodytextno"/>
        <w:numPr>
          <w:ilvl w:val="0"/>
          <w:numId w:val="34"/>
        </w:numPr>
        <w:jc w:val="both"/>
        <w:rPr>
          <w:rFonts w:ascii="Arial" w:hAnsi="Arial" w:cs="Arial"/>
          <w:snapToGrid w:val="0"/>
          <w:sz w:val="22"/>
        </w:rPr>
      </w:pPr>
      <w:r>
        <w:rPr>
          <w:rFonts w:ascii="Arial" w:hAnsi="Arial" w:cs="Arial"/>
          <w:snapToGrid w:val="0"/>
          <w:sz w:val="22"/>
        </w:rPr>
        <w:t>Director of Finance S151 Officer</w:t>
      </w:r>
    </w:p>
    <w:p w14:paraId="6F823394" w14:textId="77777777" w:rsidR="00571CCB" w:rsidRDefault="00571CCB" w:rsidP="00E948BF">
      <w:pPr>
        <w:pStyle w:val="23ACBodytextno"/>
        <w:numPr>
          <w:ilvl w:val="0"/>
          <w:numId w:val="34"/>
        </w:numPr>
        <w:jc w:val="both"/>
        <w:rPr>
          <w:rFonts w:ascii="Arial" w:hAnsi="Arial" w:cs="Arial"/>
          <w:snapToGrid w:val="0"/>
          <w:sz w:val="22"/>
        </w:rPr>
      </w:pPr>
      <w:r>
        <w:rPr>
          <w:rFonts w:ascii="Arial" w:hAnsi="Arial" w:cs="Arial"/>
          <w:snapToGrid w:val="0"/>
          <w:sz w:val="22"/>
        </w:rPr>
        <w:t>Shared Service Lead (Transformation and Partnerships)</w:t>
      </w:r>
    </w:p>
    <w:p w14:paraId="7101AC93" w14:textId="77777777" w:rsidR="00571CCB" w:rsidRDefault="00571CCB" w:rsidP="00E948BF">
      <w:pPr>
        <w:pStyle w:val="23ACBodytextno"/>
        <w:numPr>
          <w:ilvl w:val="0"/>
          <w:numId w:val="34"/>
        </w:numPr>
        <w:jc w:val="both"/>
        <w:rPr>
          <w:rFonts w:ascii="Arial" w:hAnsi="Arial" w:cs="Arial"/>
          <w:snapToGrid w:val="0"/>
          <w:sz w:val="22"/>
        </w:rPr>
      </w:pPr>
      <w:r>
        <w:rPr>
          <w:rFonts w:ascii="Arial" w:hAnsi="Arial" w:cs="Arial"/>
          <w:snapToGrid w:val="0"/>
          <w:sz w:val="22"/>
        </w:rPr>
        <w:t xml:space="preserve">Shared Service Lead Audit and Risk </w:t>
      </w:r>
    </w:p>
    <w:p w14:paraId="68466E53" w14:textId="77777777" w:rsidR="00571CCB" w:rsidRDefault="00571CCB" w:rsidP="00571CCB">
      <w:pPr>
        <w:pStyle w:val="23ACBodytextno"/>
        <w:jc w:val="both"/>
        <w:rPr>
          <w:rFonts w:ascii="Arial" w:hAnsi="Arial" w:cs="Arial"/>
          <w:snapToGrid w:val="0"/>
          <w:sz w:val="22"/>
        </w:rPr>
      </w:pPr>
    </w:p>
    <w:p w14:paraId="710347C8" w14:textId="77777777" w:rsidR="00571CCB" w:rsidRDefault="00571CCB" w:rsidP="00571CCB">
      <w:pPr>
        <w:pStyle w:val="23ACBodytextno"/>
        <w:jc w:val="both"/>
        <w:rPr>
          <w:rFonts w:ascii="Arial" w:hAnsi="Arial" w:cs="Arial"/>
          <w:snapToGrid w:val="0"/>
          <w:sz w:val="22"/>
        </w:rPr>
      </w:pPr>
      <w:r>
        <w:rPr>
          <w:rFonts w:ascii="Arial" w:hAnsi="Arial" w:cs="Arial"/>
          <w:snapToGrid w:val="0"/>
          <w:sz w:val="22"/>
        </w:rPr>
        <w:t>The Corporate Governance Group (CGG) have worked with the council’s Senior Management Team who have individually produced and collectively reviewed service assurance statements which assess compliance with and understanding of the council’s governance framework. This assessment has supported the production of this document.</w:t>
      </w:r>
    </w:p>
    <w:p w14:paraId="25E5B77F" w14:textId="77777777" w:rsidR="00571CCB" w:rsidRDefault="00571CCB" w:rsidP="00571CCB">
      <w:pPr>
        <w:pStyle w:val="23ACBodytextno"/>
        <w:jc w:val="both"/>
        <w:rPr>
          <w:rFonts w:ascii="Arial" w:hAnsi="Arial" w:cs="Arial"/>
          <w:snapToGrid w:val="0"/>
          <w:sz w:val="22"/>
        </w:rPr>
      </w:pPr>
    </w:p>
    <w:p w14:paraId="78BD5614" w14:textId="77777777" w:rsidR="00571CCB" w:rsidRDefault="00571CCB" w:rsidP="00571CCB">
      <w:pPr>
        <w:pStyle w:val="23ACBodytextno"/>
        <w:jc w:val="both"/>
        <w:rPr>
          <w:rFonts w:ascii="Arial" w:hAnsi="Arial" w:cs="Arial"/>
          <w:snapToGrid w:val="0"/>
          <w:sz w:val="22"/>
        </w:rPr>
      </w:pPr>
      <w:r>
        <w:rPr>
          <w:rFonts w:ascii="Arial" w:hAnsi="Arial" w:cs="Arial"/>
          <w:snapToGrid w:val="0"/>
          <w:sz w:val="22"/>
        </w:rPr>
        <w:t xml:space="preserve">It is also important to note the ongoing role that a council’s senior officers have in ensuring that good governance is enacted in the working of the organisation. </w:t>
      </w:r>
    </w:p>
    <w:p w14:paraId="129C4065" w14:textId="77777777" w:rsidR="00571CCB" w:rsidRDefault="00571CCB" w:rsidP="00571CCB">
      <w:pPr>
        <w:pStyle w:val="23ACBodytextno"/>
        <w:jc w:val="both"/>
        <w:rPr>
          <w:rFonts w:ascii="Arial" w:hAnsi="Arial" w:cs="Arial"/>
          <w:snapToGrid w:val="0"/>
          <w:sz w:val="22"/>
        </w:rPr>
      </w:pPr>
    </w:p>
    <w:p w14:paraId="0F5F1160" w14:textId="77777777" w:rsidR="00571CCB" w:rsidRDefault="00571CCB" w:rsidP="00571CCB">
      <w:pPr>
        <w:pStyle w:val="23ACBodytextno"/>
        <w:jc w:val="both"/>
        <w:rPr>
          <w:rFonts w:ascii="Arial" w:hAnsi="Arial" w:cs="Arial"/>
          <w:snapToGrid w:val="0"/>
          <w:sz w:val="22"/>
        </w:rPr>
      </w:pPr>
      <w:r>
        <w:rPr>
          <w:rFonts w:ascii="Arial" w:hAnsi="Arial" w:cs="Arial"/>
          <w:snapToGrid w:val="0"/>
          <w:sz w:val="22"/>
        </w:rPr>
        <w:t xml:space="preserve">A </w:t>
      </w:r>
      <w:proofErr w:type="gramStart"/>
      <w:r>
        <w:rPr>
          <w:rFonts w:ascii="Arial" w:hAnsi="Arial" w:cs="Arial"/>
          <w:snapToGrid w:val="0"/>
          <w:sz w:val="22"/>
        </w:rPr>
        <w:t>terms of reference</w:t>
      </w:r>
      <w:proofErr w:type="gramEnd"/>
      <w:r>
        <w:rPr>
          <w:rFonts w:ascii="Arial" w:hAnsi="Arial" w:cs="Arial"/>
          <w:snapToGrid w:val="0"/>
          <w:sz w:val="22"/>
        </w:rPr>
        <w:t xml:space="preserve"> for the CGG have been developed which will further enhance the governance monitoring and reporting arrangements.</w:t>
      </w:r>
    </w:p>
    <w:p w14:paraId="4D2A4992" w14:textId="77777777" w:rsidR="00571CCB" w:rsidRDefault="00571CCB" w:rsidP="00571CCB">
      <w:pPr>
        <w:pStyle w:val="23ACBodytextno"/>
        <w:jc w:val="both"/>
        <w:rPr>
          <w:rFonts w:ascii="Arial" w:hAnsi="Arial" w:cs="Arial"/>
          <w:snapToGrid w:val="0"/>
          <w:sz w:val="22"/>
        </w:rPr>
      </w:pPr>
    </w:p>
    <w:p w14:paraId="6A553AA1" w14:textId="77777777" w:rsidR="00571CCB" w:rsidRDefault="00571CCB" w:rsidP="00571CCB">
      <w:pPr>
        <w:pStyle w:val="23ACBodytextno"/>
        <w:jc w:val="both"/>
        <w:rPr>
          <w:rFonts w:ascii="Arial" w:hAnsi="Arial" w:cs="Arial"/>
          <w:b/>
          <w:bCs/>
          <w:snapToGrid w:val="0"/>
          <w:sz w:val="22"/>
        </w:rPr>
      </w:pPr>
      <w:r>
        <w:rPr>
          <w:rFonts w:ascii="Arial" w:hAnsi="Arial" w:cs="Arial"/>
          <w:b/>
          <w:bCs/>
          <w:snapToGrid w:val="0"/>
          <w:sz w:val="22"/>
        </w:rPr>
        <w:t xml:space="preserve">Programme Board </w:t>
      </w:r>
    </w:p>
    <w:p w14:paraId="62B73576" w14:textId="77777777" w:rsidR="00571CCB" w:rsidRDefault="00571CCB" w:rsidP="00571CCB">
      <w:pPr>
        <w:pStyle w:val="23ACBodytextno"/>
        <w:jc w:val="both"/>
        <w:rPr>
          <w:rFonts w:ascii="Arial" w:hAnsi="Arial" w:cs="Arial"/>
          <w:b/>
          <w:bCs/>
          <w:snapToGrid w:val="0"/>
          <w:sz w:val="22"/>
        </w:rPr>
      </w:pPr>
    </w:p>
    <w:p w14:paraId="298ADD30" w14:textId="77777777" w:rsidR="00571CCB" w:rsidRPr="00BD1B20" w:rsidRDefault="00571CCB" w:rsidP="00571CCB">
      <w:pPr>
        <w:pStyle w:val="23ACBodytextno"/>
        <w:jc w:val="both"/>
        <w:rPr>
          <w:rFonts w:ascii="Arial" w:hAnsi="Arial" w:cs="Arial"/>
          <w:snapToGrid w:val="0"/>
          <w:sz w:val="22"/>
        </w:rPr>
      </w:pPr>
      <w:r w:rsidRPr="00BD1B20">
        <w:rPr>
          <w:rFonts w:ascii="Arial" w:hAnsi="Arial" w:cs="Arial"/>
          <w:snapToGrid w:val="0"/>
          <w:sz w:val="22"/>
        </w:rPr>
        <w:t xml:space="preserve">The Corporate Strategy was refreshed to reflect the local context and streamlined with a focussed number of projects and performance measures to ensure deliverability. The Performance Management Framework was also fully reviewed and refreshed in September 2020 to outline clear processes, expectations, roles and responsibilities including data quality.  A corporate programme board has been established and meets quarterly to review and monitor the performance of the Corporate Strategy projects and performance measures ahead of reporting to Cabinet.  The board is made up of the Senior Management Team as those accountable for overall programme delivery and ensuring compliance with the Performance Management Framework.  The board receive an update report highlighting issues, concerns and risks by exception.  The board will discuss issues and identify solutions before cascading directions back to project managers and teams.   </w:t>
      </w:r>
    </w:p>
    <w:p w14:paraId="4F5454CD" w14:textId="77777777" w:rsidR="00571CCB" w:rsidRDefault="00571CCB" w:rsidP="00571CCB">
      <w:pPr>
        <w:pStyle w:val="23ACBodytextno"/>
        <w:jc w:val="both"/>
        <w:rPr>
          <w:rFonts w:ascii="Arial" w:hAnsi="Arial" w:cs="Arial"/>
          <w:snapToGrid w:val="0"/>
          <w:sz w:val="22"/>
        </w:rPr>
      </w:pPr>
    </w:p>
    <w:p w14:paraId="7146188F" w14:textId="77777777" w:rsidR="00571CCB" w:rsidRDefault="00571CCB" w:rsidP="00571CCB">
      <w:pPr>
        <w:rPr>
          <w:rFonts w:cs="Arial"/>
          <w:b/>
          <w:snapToGrid w:val="0"/>
          <w:szCs w:val="22"/>
          <w:lang w:eastAsia="en-US"/>
        </w:rPr>
      </w:pPr>
      <w:r w:rsidRPr="000A200A">
        <w:rPr>
          <w:rFonts w:cs="Arial"/>
          <w:b/>
          <w:snapToGrid w:val="0"/>
          <w:szCs w:val="22"/>
          <w:lang w:eastAsia="en-US"/>
        </w:rPr>
        <w:t>Internal Audit</w:t>
      </w:r>
      <w:r>
        <w:rPr>
          <w:rFonts w:cs="Arial"/>
          <w:b/>
          <w:snapToGrid w:val="0"/>
          <w:szCs w:val="22"/>
          <w:lang w:eastAsia="en-US"/>
        </w:rPr>
        <w:t xml:space="preserve"> and the Head of Audit Opinion</w:t>
      </w:r>
    </w:p>
    <w:p w14:paraId="292908DB" w14:textId="77777777" w:rsidR="00571CCB" w:rsidRDefault="00571CCB" w:rsidP="00571CCB">
      <w:pPr>
        <w:rPr>
          <w:rFonts w:cs="Arial"/>
          <w:b/>
          <w:snapToGrid w:val="0"/>
          <w:szCs w:val="22"/>
          <w:lang w:eastAsia="en-US"/>
        </w:rPr>
      </w:pPr>
    </w:p>
    <w:p w14:paraId="26458A68" w14:textId="77777777" w:rsidR="00571CCB" w:rsidRDefault="00571CCB" w:rsidP="00571CCB">
      <w:pPr>
        <w:rPr>
          <w:rFonts w:cs="Arial"/>
          <w:bCs/>
          <w:snapToGrid w:val="0"/>
          <w:szCs w:val="22"/>
          <w:lang w:eastAsia="en-US"/>
        </w:rPr>
      </w:pPr>
      <w:r>
        <w:rPr>
          <w:rFonts w:cs="Arial"/>
          <w:bCs/>
          <w:snapToGrid w:val="0"/>
          <w:szCs w:val="22"/>
          <w:lang w:eastAsia="en-US"/>
        </w:rPr>
        <w:t xml:space="preserve">Internal Audit is responsible for providing assurance on the quality and effectiveness of the system of governance and internal control. A risk based Internal Audit Plan is produced. The reporting process for Internal Audit requires a report of each audit to be submitted to the relevant service. This report includes recommendations for improvements that are included within a Management Action Plan and require agreement or rejection by service managers. </w:t>
      </w:r>
    </w:p>
    <w:p w14:paraId="54DB913F" w14:textId="77777777" w:rsidR="00571CCB" w:rsidRDefault="00571CCB" w:rsidP="00571CCB">
      <w:pPr>
        <w:rPr>
          <w:rFonts w:cs="Arial"/>
          <w:bCs/>
          <w:snapToGrid w:val="0"/>
          <w:szCs w:val="22"/>
          <w:lang w:eastAsia="en-US"/>
        </w:rPr>
      </w:pPr>
    </w:p>
    <w:p w14:paraId="065FF316" w14:textId="77777777" w:rsidR="00571CCB" w:rsidRDefault="00571CCB" w:rsidP="00571CCB">
      <w:pPr>
        <w:rPr>
          <w:rFonts w:cs="Arial"/>
          <w:bCs/>
          <w:snapToGrid w:val="0"/>
          <w:szCs w:val="22"/>
          <w:lang w:eastAsia="en-US"/>
        </w:rPr>
      </w:pPr>
      <w:r>
        <w:rPr>
          <w:rFonts w:cs="Arial"/>
          <w:bCs/>
          <w:snapToGrid w:val="0"/>
          <w:szCs w:val="22"/>
          <w:lang w:eastAsia="en-US"/>
        </w:rPr>
        <w:t xml:space="preserve">The Internal Audit Annual Report contains a statement/ judgement on overall levels of internal control </w:t>
      </w:r>
      <w:proofErr w:type="gramStart"/>
      <w:r>
        <w:rPr>
          <w:rFonts w:cs="Arial"/>
          <w:bCs/>
          <w:snapToGrid w:val="0"/>
          <w:szCs w:val="22"/>
          <w:lang w:eastAsia="en-US"/>
        </w:rPr>
        <w:t>( a</w:t>
      </w:r>
      <w:proofErr w:type="gramEnd"/>
      <w:r>
        <w:rPr>
          <w:rFonts w:cs="Arial"/>
          <w:bCs/>
          <w:snapToGrid w:val="0"/>
          <w:szCs w:val="22"/>
          <w:lang w:eastAsia="en-US"/>
        </w:rPr>
        <w:t xml:space="preserve"> view based on the relative significance of the systems reviewed during the year, in the context of the totality of the control environment). </w:t>
      </w:r>
    </w:p>
    <w:p w14:paraId="29FD3443" w14:textId="77777777" w:rsidR="00571CCB" w:rsidRDefault="00571CCB" w:rsidP="00571CCB">
      <w:pPr>
        <w:rPr>
          <w:rFonts w:cs="Arial"/>
          <w:bCs/>
          <w:snapToGrid w:val="0"/>
          <w:szCs w:val="22"/>
          <w:lang w:eastAsia="en-US"/>
        </w:rPr>
      </w:pPr>
    </w:p>
    <w:p w14:paraId="71CABAB0" w14:textId="77777777" w:rsidR="00571CCB" w:rsidRPr="006D4832" w:rsidRDefault="00571CCB" w:rsidP="00571CCB">
      <w:pPr>
        <w:pStyle w:val="Default"/>
        <w:rPr>
          <w:sz w:val="22"/>
          <w:szCs w:val="22"/>
        </w:rPr>
      </w:pPr>
      <w:r w:rsidRPr="006D4832">
        <w:rPr>
          <w:sz w:val="22"/>
          <w:szCs w:val="22"/>
        </w:rPr>
        <w:t xml:space="preserve">It has been reported to members over the course of 2020 that the impact of COVID-19 on the Internal Audit Service has been considerable.  A </w:t>
      </w:r>
      <w:proofErr w:type="spellStart"/>
      <w:r w:rsidRPr="006D4832">
        <w:rPr>
          <w:sz w:val="22"/>
          <w:szCs w:val="22"/>
        </w:rPr>
        <w:t>a</w:t>
      </w:r>
      <w:proofErr w:type="spellEnd"/>
      <w:r w:rsidRPr="006D4832">
        <w:rPr>
          <w:sz w:val="22"/>
          <w:szCs w:val="22"/>
        </w:rPr>
        <w:t xml:space="preserve"> consequence, the results of the work carried out by internal audit, taken together with other sources of assurance, are </w:t>
      </w:r>
      <w:r w:rsidRPr="006D4832">
        <w:rPr>
          <w:color w:val="auto"/>
          <w:sz w:val="22"/>
          <w:szCs w:val="22"/>
        </w:rPr>
        <w:t>not sufficient</w:t>
      </w:r>
      <w:r w:rsidRPr="006D4832">
        <w:rPr>
          <w:b/>
          <w:bCs/>
          <w:color w:val="auto"/>
          <w:sz w:val="22"/>
          <w:szCs w:val="22"/>
        </w:rPr>
        <w:t xml:space="preserve"> </w:t>
      </w:r>
      <w:r w:rsidRPr="006D4832">
        <w:rPr>
          <w:sz w:val="22"/>
          <w:szCs w:val="22"/>
        </w:rPr>
        <w:t xml:space="preserve">to support an annual opinion on the overall adequacy and effectiveness of the organisation’s framework of </w:t>
      </w:r>
      <w:r w:rsidRPr="009456AC">
        <w:rPr>
          <w:sz w:val="22"/>
          <w:szCs w:val="22"/>
        </w:rPr>
        <w:t>control</w:t>
      </w:r>
      <w:r w:rsidRPr="006D4832">
        <w:rPr>
          <w:b/>
          <w:bCs/>
          <w:sz w:val="22"/>
          <w:szCs w:val="22"/>
        </w:rPr>
        <w:t>.</w:t>
      </w:r>
      <w:r w:rsidRPr="006D4832">
        <w:rPr>
          <w:sz w:val="22"/>
          <w:szCs w:val="22"/>
        </w:rPr>
        <w:t xml:space="preserve">   </w:t>
      </w:r>
    </w:p>
    <w:p w14:paraId="0968F5AA" w14:textId="77777777" w:rsidR="00571CCB" w:rsidRPr="006D4832" w:rsidRDefault="00571CCB" w:rsidP="00571CCB">
      <w:pPr>
        <w:pStyle w:val="Default"/>
        <w:rPr>
          <w:sz w:val="22"/>
          <w:szCs w:val="22"/>
        </w:rPr>
      </w:pPr>
    </w:p>
    <w:p w14:paraId="1AA53AD3" w14:textId="77777777" w:rsidR="00571CCB" w:rsidRDefault="00571CCB" w:rsidP="00571CCB">
      <w:pPr>
        <w:pStyle w:val="Default"/>
        <w:rPr>
          <w:sz w:val="22"/>
          <w:szCs w:val="22"/>
        </w:rPr>
      </w:pPr>
      <w:r w:rsidRPr="006D4832">
        <w:rPr>
          <w:sz w:val="22"/>
          <w:szCs w:val="22"/>
        </w:rPr>
        <w:t xml:space="preserve">An opinion has been provided on the overall adequacy and effectiveness of the </w:t>
      </w:r>
      <w:proofErr w:type="gramStart"/>
      <w:r w:rsidRPr="006D4832">
        <w:rPr>
          <w:sz w:val="22"/>
          <w:szCs w:val="22"/>
        </w:rPr>
        <w:t>organisations</w:t>
      </w:r>
      <w:proofErr w:type="gramEnd"/>
      <w:r w:rsidRPr="006D4832">
        <w:rPr>
          <w:sz w:val="22"/>
          <w:szCs w:val="22"/>
        </w:rPr>
        <w:t xml:space="preserve"> framework of </w:t>
      </w:r>
      <w:r w:rsidRPr="009456AC">
        <w:rPr>
          <w:sz w:val="22"/>
          <w:szCs w:val="22"/>
        </w:rPr>
        <w:t>risk management and governance</w:t>
      </w:r>
      <w:r w:rsidRPr="006D4832">
        <w:rPr>
          <w:sz w:val="22"/>
          <w:szCs w:val="22"/>
        </w:rPr>
        <w:t xml:space="preserve">.  The Head of Audit has confirmed that the arrangements are of an </w:t>
      </w:r>
      <w:r w:rsidRPr="006D4832">
        <w:rPr>
          <w:b/>
          <w:bCs/>
          <w:sz w:val="22"/>
          <w:szCs w:val="22"/>
        </w:rPr>
        <w:t>adequate</w:t>
      </w:r>
      <w:r w:rsidRPr="006D4832">
        <w:rPr>
          <w:sz w:val="22"/>
          <w:szCs w:val="22"/>
        </w:rPr>
        <w:t xml:space="preserve"> standard.   This is due to the following:</w:t>
      </w:r>
    </w:p>
    <w:p w14:paraId="4FCE6FBE" w14:textId="77777777" w:rsidR="00571CCB" w:rsidRDefault="00571CCB" w:rsidP="00571CCB">
      <w:pPr>
        <w:pStyle w:val="Default"/>
        <w:rPr>
          <w:sz w:val="22"/>
          <w:szCs w:val="22"/>
        </w:rPr>
      </w:pPr>
    </w:p>
    <w:p w14:paraId="3DA1A39D" w14:textId="77777777" w:rsidR="00571CCB" w:rsidRPr="006D4832" w:rsidRDefault="00571CCB" w:rsidP="00571CCB">
      <w:pPr>
        <w:pStyle w:val="Default"/>
        <w:rPr>
          <w:sz w:val="22"/>
          <w:szCs w:val="22"/>
        </w:rPr>
      </w:pPr>
      <w:r w:rsidRPr="006D4832">
        <w:rPr>
          <w:sz w:val="22"/>
          <w:szCs w:val="22"/>
        </w:rPr>
        <w:t>Over the past 12 months, a significant amount of work has been undertaken to introduce and strengthen the governance and risk management arrangements throughout the whole council and this is clearly evidenced within the Local Code of Governance.  The work undertaken by Internal Audit to support the compilation of the Annual Governance Statement Action Plan confirms that the framework of governance policies is now in place however there is further work to do to ensure that these are fully embedded.</w:t>
      </w:r>
    </w:p>
    <w:p w14:paraId="7D0EA4D5" w14:textId="77777777" w:rsidR="00571CCB" w:rsidRDefault="00571CCB" w:rsidP="00571CCB">
      <w:pPr>
        <w:pStyle w:val="Default"/>
        <w:rPr>
          <w:sz w:val="22"/>
          <w:szCs w:val="22"/>
        </w:rPr>
      </w:pPr>
    </w:p>
    <w:p w14:paraId="35D687AD" w14:textId="77777777" w:rsidR="00571CCB" w:rsidRPr="006D4832" w:rsidRDefault="00571CCB" w:rsidP="00571CCB">
      <w:pPr>
        <w:pStyle w:val="Default"/>
      </w:pPr>
      <w:r w:rsidRPr="006D4832">
        <w:rPr>
          <w:sz w:val="22"/>
          <w:szCs w:val="22"/>
        </w:rPr>
        <w:t>Although, it has not been possible to form an opinion on the control environment of the Council, the Head of Audit has provided the following assurance:</w:t>
      </w:r>
    </w:p>
    <w:p w14:paraId="021FBAEA" w14:textId="77777777" w:rsidR="00571CCB" w:rsidRPr="006D4832" w:rsidRDefault="00571CCB" w:rsidP="00E948BF">
      <w:pPr>
        <w:pStyle w:val="Default"/>
        <w:numPr>
          <w:ilvl w:val="0"/>
          <w:numId w:val="44"/>
        </w:numPr>
        <w:rPr>
          <w:sz w:val="22"/>
          <w:szCs w:val="22"/>
        </w:rPr>
      </w:pPr>
      <w:r w:rsidRPr="006D4832">
        <w:rPr>
          <w:sz w:val="22"/>
          <w:szCs w:val="22"/>
        </w:rPr>
        <w:t>the work carried out during 2020-21 did not identify any control failures that have not been previously reported to the Committee;</w:t>
      </w:r>
    </w:p>
    <w:p w14:paraId="165245ED" w14:textId="77777777" w:rsidR="00571CCB" w:rsidRPr="006D4832" w:rsidRDefault="00571CCB" w:rsidP="00E948BF">
      <w:pPr>
        <w:pStyle w:val="Default"/>
        <w:numPr>
          <w:ilvl w:val="0"/>
          <w:numId w:val="44"/>
        </w:numPr>
        <w:rPr>
          <w:sz w:val="22"/>
          <w:szCs w:val="22"/>
        </w:rPr>
      </w:pPr>
      <w:r w:rsidRPr="006D4832">
        <w:rPr>
          <w:sz w:val="22"/>
          <w:szCs w:val="22"/>
        </w:rPr>
        <w:t>robust actions plans are in place for any legacy issues with actions owners assigned and implementation dates agreed;</w:t>
      </w:r>
    </w:p>
    <w:p w14:paraId="6D51614D" w14:textId="77777777" w:rsidR="00571CCB" w:rsidRPr="006D4832" w:rsidRDefault="00571CCB" w:rsidP="00E948BF">
      <w:pPr>
        <w:pStyle w:val="Default"/>
        <w:numPr>
          <w:ilvl w:val="0"/>
          <w:numId w:val="44"/>
        </w:numPr>
        <w:rPr>
          <w:sz w:val="22"/>
          <w:szCs w:val="22"/>
        </w:rPr>
      </w:pPr>
      <w:r w:rsidRPr="006D4832">
        <w:rPr>
          <w:sz w:val="22"/>
          <w:szCs w:val="22"/>
        </w:rPr>
        <w:t>advisory work has been undertaken on new processes introduced as a result of COVID 19;</w:t>
      </w:r>
    </w:p>
    <w:p w14:paraId="660EAD66" w14:textId="77777777" w:rsidR="00571CCB" w:rsidRPr="006D4832" w:rsidRDefault="00571CCB" w:rsidP="00E948BF">
      <w:pPr>
        <w:pStyle w:val="Default"/>
        <w:numPr>
          <w:ilvl w:val="0"/>
          <w:numId w:val="44"/>
        </w:numPr>
        <w:rPr>
          <w:sz w:val="22"/>
          <w:szCs w:val="22"/>
        </w:rPr>
      </w:pPr>
      <w:r w:rsidRPr="006D4832">
        <w:rPr>
          <w:sz w:val="22"/>
          <w:szCs w:val="22"/>
        </w:rPr>
        <w:t xml:space="preserve">despite the lack of a systematic monitoring process for the implementation of agreed management actions emanating from Internal Audit Reports, a large proportion of actions have been implemented.  </w:t>
      </w:r>
    </w:p>
    <w:p w14:paraId="5C1F0795" w14:textId="77777777" w:rsidR="00571CCB" w:rsidRDefault="00571CCB" w:rsidP="00571CCB">
      <w:pPr>
        <w:rPr>
          <w:rFonts w:cs="Arial"/>
          <w:bCs/>
          <w:i/>
          <w:iCs/>
          <w:snapToGrid w:val="0"/>
          <w:color w:val="FF0000"/>
          <w:szCs w:val="22"/>
          <w:lang w:eastAsia="en-US"/>
        </w:rPr>
      </w:pPr>
    </w:p>
    <w:p w14:paraId="2D72BDB1" w14:textId="77777777" w:rsidR="00571CCB" w:rsidRDefault="00571CCB" w:rsidP="00571CCB">
      <w:pPr>
        <w:rPr>
          <w:rFonts w:cs="Arial"/>
          <w:bCs/>
          <w:snapToGrid w:val="0"/>
          <w:szCs w:val="22"/>
          <w:lang w:eastAsia="en-US"/>
        </w:rPr>
      </w:pPr>
    </w:p>
    <w:p w14:paraId="25E3EB9F" w14:textId="77777777" w:rsidR="00571CCB" w:rsidRPr="00F968D4" w:rsidRDefault="00571CCB" w:rsidP="00571CCB">
      <w:pPr>
        <w:rPr>
          <w:rFonts w:cs="Arial"/>
          <w:b/>
          <w:snapToGrid w:val="0"/>
        </w:rPr>
      </w:pPr>
      <w:r w:rsidRPr="00F968D4">
        <w:rPr>
          <w:rFonts w:cs="Arial"/>
          <w:b/>
          <w:snapToGrid w:val="0"/>
        </w:rPr>
        <w:t>GDPR Leadership Group / Information Governance</w:t>
      </w:r>
    </w:p>
    <w:p w14:paraId="33D2EEB5" w14:textId="77777777" w:rsidR="00571CCB" w:rsidRDefault="00571CCB" w:rsidP="00571CCB">
      <w:pPr>
        <w:rPr>
          <w:rFonts w:cs="Arial"/>
          <w:bCs/>
          <w:snapToGrid w:val="0"/>
        </w:rPr>
      </w:pPr>
    </w:p>
    <w:p w14:paraId="3E1C5538" w14:textId="77777777" w:rsidR="00571CCB" w:rsidRPr="004169AE" w:rsidRDefault="00571CCB" w:rsidP="00571CCB">
      <w:pPr>
        <w:rPr>
          <w:rFonts w:cs="Arial"/>
          <w:bCs/>
          <w:snapToGrid w:val="0"/>
        </w:rPr>
      </w:pPr>
      <w:r w:rsidRPr="004169AE">
        <w:rPr>
          <w:rFonts w:cs="Arial"/>
          <w:bCs/>
          <w:snapToGrid w:val="0"/>
        </w:rPr>
        <w:t xml:space="preserve">The Leadership GDPR Group is established now and have been monitoring progress towards full GDPR compliance. Various initiatives have been initiated via the GDPR Officers Group to assess ongoing compliance. This work indicates good staff awareness and secure methods of working whilst working from home.  This work is ongoing. The Data Protection Officer is monitoring the Brexit situation to ensure that the Council responds </w:t>
      </w:r>
      <w:r>
        <w:rPr>
          <w:rFonts w:cs="Arial"/>
          <w:bCs/>
          <w:snapToGrid w:val="0"/>
        </w:rPr>
        <w:t>in a timely manner</w:t>
      </w:r>
      <w:r w:rsidRPr="004169AE">
        <w:rPr>
          <w:rFonts w:cs="Arial"/>
          <w:bCs/>
          <w:snapToGrid w:val="0"/>
        </w:rPr>
        <w:t xml:space="preserve"> to any developments as regards GDPR status.  </w:t>
      </w:r>
    </w:p>
    <w:p w14:paraId="5FFE1969" w14:textId="77777777" w:rsidR="00571CCB" w:rsidRPr="004169AE" w:rsidRDefault="00571CCB" w:rsidP="00571CCB">
      <w:pPr>
        <w:rPr>
          <w:rFonts w:cs="Arial"/>
          <w:bCs/>
          <w:snapToGrid w:val="0"/>
        </w:rPr>
      </w:pPr>
    </w:p>
    <w:p w14:paraId="3221C9B5" w14:textId="77777777" w:rsidR="00571CCB" w:rsidRPr="00F968D4" w:rsidRDefault="00571CCB" w:rsidP="00571CCB">
      <w:pPr>
        <w:rPr>
          <w:rFonts w:cs="Arial"/>
          <w:b/>
          <w:snapToGrid w:val="0"/>
        </w:rPr>
      </w:pPr>
      <w:r w:rsidRPr="00F968D4">
        <w:rPr>
          <w:rFonts w:cs="Arial"/>
          <w:b/>
          <w:snapToGrid w:val="0"/>
        </w:rPr>
        <w:t>Organisational Development</w:t>
      </w:r>
    </w:p>
    <w:p w14:paraId="5543E232" w14:textId="77777777" w:rsidR="00571CCB" w:rsidRDefault="00571CCB" w:rsidP="00571CCB">
      <w:pPr>
        <w:rPr>
          <w:rFonts w:cs="Arial"/>
          <w:bCs/>
          <w:snapToGrid w:val="0"/>
        </w:rPr>
      </w:pPr>
    </w:p>
    <w:p w14:paraId="28496FE8" w14:textId="77777777" w:rsidR="00571CCB" w:rsidRPr="00BD1B20" w:rsidRDefault="00571CCB" w:rsidP="00571CCB">
      <w:pPr>
        <w:rPr>
          <w:rFonts w:cs="Arial"/>
          <w:bCs/>
          <w:snapToGrid w:val="0"/>
        </w:rPr>
      </w:pPr>
      <w:r w:rsidRPr="00BD1B20">
        <w:rPr>
          <w:rFonts w:cs="Arial"/>
          <w:bCs/>
          <w:snapToGrid w:val="0"/>
        </w:rPr>
        <w:t>An Organisational Development Strategy was developed and approved in October 2020 to with key objectives to: support the needs of the workforce; to facilitate staff engagement through a variety of mechanisms; to demonstrate investment in staff and their personal development; to underpin consistent management and to develop the leadership team. A package of interventions has been designed and rolled out including the Flair talent development programme; staff listening days and virtual briefings with the Chief Exec</w:t>
      </w:r>
      <w:r>
        <w:rPr>
          <w:rFonts w:cs="Arial"/>
          <w:bCs/>
          <w:snapToGrid w:val="0"/>
        </w:rPr>
        <w:t>utive</w:t>
      </w:r>
      <w:r w:rsidRPr="00BD1B20">
        <w:rPr>
          <w:rFonts w:cs="Arial"/>
          <w:bCs/>
          <w:snapToGrid w:val="0"/>
        </w:rPr>
        <w:t xml:space="preserve"> and Senior Management Team; staff listening day working groups to address key themes and issues collaboratively; a new digital learning management system to facilitate e-learning; Senior Management Team executive coaching; and a management development programme to commence in July ensuring a baseline of management fundamentals.  All staff receive a fully tailored induction when joining the shared service and the performance review process has been reinforced for all staff to ensure a clear link from organisational priorities through to individual staff objectives. </w:t>
      </w:r>
    </w:p>
    <w:p w14:paraId="2456E5A9" w14:textId="77777777" w:rsidR="00571CCB" w:rsidRPr="00BD1B20" w:rsidRDefault="00571CCB" w:rsidP="00571CCB">
      <w:pPr>
        <w:rPr>
          <w:rFonts w:cs="Arial"/>
          <w:b/>
          <w:snapToGrid w:val="0"/>
        </w:rPr>
      </w:pPr>
    </w:p>
    <w:p w14:paraId="34B537B9" w14:textId="77777777" w:rsidR="00571CCB" w:rsidRDefault="00571CCB" w:rsidP="00571CCB">
      <w:pPr>
        <w:rPr>
          <w:rFonts w:cs="Arial"/>
          <w:b/>
          <w:snapToGrid w:val="0"/>
        </w:rPr>
      </w:pPr>
      <w:r>
        <w:rPr>
          <w:rFonts w:cs="Arial"/>
          <w:b/>
          <w:snapToGrid w:val="0"/>
        </w:rPr>
        <w:t xml:space="preserve">Corporate Complaints / Local Ombudsman </w:t>
      </w:r>
    </w:p>
    <w:p w14:paraId="272777F2" w14:textId="77777777" w:rsidR="00571CCB" w:rsidRDefault="00571CCB" w:rsidP="00571CCB">
      <w:pPr>
        <w:rPr>
          <w:rFonts w:cs="Arial"/>
          <w:b/>
          <w:snapToGrid w:val="0"/>
        </w:rPr>
      </w:pPr>
    </w:p>
    <w:p w14:paraId="30313A2F" w14:textId="77777777" w:rsidR="00571CCB" w:rsidRDefault="00571CCB" w:rsidP="00571CCB">
      <w:pPr>
        <w:rPr>
          <w:rFonts w:cs="Arial"/>
          <w:bCs/>
          <w:snapToGrid w:val="0"/>
        </w:rPr>
      </w:pPr>
      <w:r>
        <w:rPr>
          <w:rFonts w:cs="Arial"/>
          <w:bCs/>
          <w:snapToGrid w:val="0"/>
        </w:rPr>
        <w:t xml:space="preserve">Whilst the number of customer complaints processed as stage one complaints have increased year on year, 111 in 2019/20 increased to 169 in 2020/21, the percentage of complaints upheld fell significantly from 31% to 15%. </w:t>
      </w:r>
    </w:p>
    <w:p w14:paraId="6B91EA8C" w14:textId="77777777" w:rsidR="00571CCB" w:rsidRDefault="00571CCB" w:rsidP="00571CCB">
      <w:pPr>
        <w:rPr>
          <w:rFonts w:cs="Arial"/>
          <w:bCs/>
          <w:snapToGrid w:val="0"/>
        </w:rPr>
      </w:pPr>
    </w:p>
    <w:p w14:paraId="57DFF604" w14:textId="77777777" w:rsidR="00571CCB" w:rsidRDefault="00571CCB" w:rsidP="00571CCB">
      <w:pPr>
        <w:rPr>
          <w:rFonts w:cs="Arial"/>
          <w:bCs/>
          <w:snapToGrid w:val="0"/>
        </w:rPr>
      </w:pPr>
      <w:r>
        <w:rPr>
          <w:rFonts w:cs="Arial"/>
          <w:bCs/>
          <w:snapToGrid w:val="0"/>
        </w:rPr>
        <w:t>The Council are aware of 7 complaints which were made to the Local Government Ombudsman in the year 2020/21. In 2 of those, the Ombudsman decided not to investigate and in the remaining 5 there were no findings against the Council.</w:t>
      </w:r>
    </w:p>
    <w:p w14:paraId="45EDECB7" w14:textId="77777777" w:rsidR="00571CCB" w:rsidRDefault="00571CCB" w:rsidP="00571CCB">
      <w:pPr>
        <w:rPr>
          <w:rFonts w:cs="Arial"/>
          <w:bCs/>
          <w:snapToGrid w:val="0"/>
        </w:rPr>
      </w:pPr>
    </w:p>
    <w:p w14:paraId="539F0C95" w14:textId="77777777" w:rsidR="00571CCB" w:rsidRPr="009B4156" w:rsidRDefault="00571CCB" w:rsidP="00571CCB">
      <w:pPr>
        <w:rPr>
          <w:rFonts w:cs="Arial"/>
          <w:bCs/>
          <w:snapToGrid w:val="0"/>
        </w:rPr>
      </w:pPr>
      <w:r>
        <w:rPr>
          <w:rFonts w:cs="Arial"/>
          <w:bCs/>
          <w:snapToGrid w:val="0"/>
        </w:rPr>
        <w:t>This is suggestive of an improvement of levels of service and compliance with council processes and the Council can take some assurance from the independent testing of the Council by the Local Government Ombudsman.</w:t>
      </w:r>
    </w:p>
    <w:p w14:paraId="17B2A3BF" w14:textId="77777777" w:rsidR="00571CCB" w:rsidRDefault="00571CCB" w:rsidP="00571CCB">
      <w:pPr>
        <w:rPr>
          <w:rFonts w:cs="Arial"/>
          <w:bCs/>
          <w:i/>
          <w:iCs/>
          <w:snapToGrid w:val="0"/>
        </w:rPr>
      </w:pPr>
    </w:p>
    <w:p w14:paraId="3B409447" w14:textId="77777777" w:rsidR="00571CCB" w:rsidRDefault="00571CCB" w:rsidP="00571CCB">
      <w:pPr>
        <w:rPr>
          <w:rFonts w:cs="Arial"/>
          <w:b/>
          <w:snapToGrid w:val="0"/>
        </w:rPr>
      </w:pPr>
      <w:r>
        <w:rPr>
          <w:rFonts w:cs="Arial"/>
          <w:b/>
          <w:snapToGrid w:val="0"/>
        </w:rPr>
        <w:t>External Audit</w:t>
      </w:r>
    </w:p>
    <w:p w14:paraId="378542FB" w14:textId="77777777" w:rsidR="00571CCB" w:rsidRDefault="00571CCB" w:rsidP="00571CCB">
      <w:pPr>
        <w:rPr>
          <w:rFonts w:cs="Arial"/>
          <w:b/>
          <w:snapToGrid w:val="0"/>
        </w:rPr>
      </w:pPr>
    </w:p>
    <w:p w14:paraId="0E677333" w14:textId="77777777" w:rsidR="00571CCB" w:rsidRDefault="00571CCB" w:rsidP="00571CCB">
      <w:pPr>
        <w:rPr>
          <w:rFonts w:cs="Arial"/>
          <w:bCs/>
          <w:snapToGrid w:val="0"/>
        </w:rPr>
      </w:pPr>
      <w:r>
        <w:rPr>
          <w:rFonts w:cs="Arial"/>
          <w:bCs/>
          <w:snapToGrid w:val="0"/>
        </w:rPr>
        <w:t>The Council receive regular reports on elements of its internal control environment, including performance management, risk management, financial management and governance.</w:t>
      </w:r>
    </w:p>
    <w:p w14:paraId="31BB211A" w14:textId="77777777" w:rsidR="00571CCB" w:rsidRDefault="00571CCB" w:rsidP="00571CCB">
      <w:pPr>
        <w:rPr>
          <w:rFonts w:cs="Arial"/>
          <w:bCs/>
          <w:snapToGrid w:val="0"/>
        </w:rPr>
      </w:pPr>
    </w:p>
    <w:p w14:paraId="72F1B769" w14:textId="77777777" w:rsidR="00571CCB" w:rsidRPr="000A200A" w:rsidRDefault="00571CCB" w:rsidP="00571CCB">
      <w:pPr>
        <w:rPr>
          <w:rFonts w:cs="Arial"/>
          <w:bCs/>
          <w:snapToGrid w:val="0"/>
        </w:rPr>
      </w:pPr>
      <w:r>
        <w:rPr>
          <w:rFonts w:cs="Arial"/>
          <w:bCs/>
          <w:snapToGrid w:val="0"/>
        </w:rPr>
        <w:t>We have been advised of the results of the reviews of the effectiveness of the governance framework and statement of internal control by these bodies and plan to address the weaknesses identified and will ensure continuous improvement of the system is in place through the proposed action plan in section 5.</w:t>
      </w:r>
    </w:p>
    <w:p w14:paraId="3E163699" w14:textId="77777777" w:rsidR="00571CCB" w:rsidRDefault="00571CCB" w:rsidP="00571CCB">
      <w:pPr>
        <w:rPr>
          <w:rFonts w:cs="Arial"/>
          <w:b/>
          <w:snapToGrid w:val="0"/>
          <w:sz w:val="28"/>
          <w:szCs w:val="28"/>
        </w:rPr>
      </w:pPr>
    </w:p>
    <w:p w14:paraId="7539645E" w14:textId="77777777" w:rsidR="00571CCB" w:rsidRDefault="00571CCB" w:rsidP="00571CCB">
      <w:pPr>
        <w:rPr>
          <w:rFonts w:cs="Arial"/>
          <w:b/>
          <w:snapToGrid w:val="0"/>
          <w:sz w:val="28"/>
          <w:szCs w:val="28"/>
        </w:rPr>
      </w:pPr>
    </w:p>
    <w:p w14:paraId="35CC73B8" w14:textId="77777777" w:rsidR="00571CCB" w:rsidRDefault="00571CCB" w:rsidP="00571CCB">
      <w:pPr>
        <w:rPr>
          <w:rFonts w:cs="Arial"/>
          <w:b/>
          <w:snapToGrid w:val="0"/>
          <w:sz w:val="28"/>
          <w:szCs w:val="28"/>
        </w:rPr>
      </w:pPr>
      <w:r>
        <w:rPr>
          <w:rFonts w:cs="Arial"/>
          <w:b/>
          <w:snapToGrid w:val="0"/>
          <w:sz w:val="28"/>
          <w:szCs w:val="28"/>
        </w:rPr>
        <w:br w:type="page"/>
      </w:r>
    </w:p>
    <w:p w14:paraId="7F802033" w14:textId="77777777" w:rsidR="00571CCB" w:rsidRDefault="00571CCB" w:rsidP="00571CCB">
      <w:pPr>
        <w:rPr>
          <w:rFonts w:cs="Arial"/>
          <w:b/>
          <w:snapToGrid w:val="0"/>
          <w:sz w:val="28"/>
          <w:szCs w:val="28"/>
        </w:rPr>
      </w:pPr>
      <w:r>
        <w:rPr>
          <w:rFonts w:cs="Arial"/>
          <w:b/>
          <w:snapToGrid w:val="0"/>
          <w:sz w:val="28"/>
          <w:szCs w:val="28"/>
        </w:rPr>
        <w:t>5.</w:t>
      </w:r>
      <w:r>
        <w:rPr>
          <w:rFonts w:cs="Arial"/>
          <w:b/>
          <w:snapToGrid w:val="0"/>
          <w:sz w:val="28"/>
          <w:szCs w:val="28"/>
        </w:rPr>
        <w:tab/>
        <w:t>Governance Environment: Areas to Strengthen</w:t>
      </w:r>
    </w:p>
    <w:p w14:paraId="716033DE" w14:textId="77777777" w:rsidR="00571CCB" w:rsidRDefault="00571CCB" w:rsidP="00571CCB">
      <w:pPr>
        <w:rPr>
          <w:rFonts w:cs="Arial"/>
          <w:b/>
          <w:snapToGrid w:val="0"/>
          <w:sz w:val="28"/>
          <w:szCs w:val="28"/>
        </w:rPr>
      </w:pPr>
    </w:p>
    <w:p w14:paraId="12B2C8DB" w14:textId="77777777" w:rsidR="00571CCB" w:rsidRDefault="00571CCB" w:rsidP="00571CCB">
      <w:pPr>
        <w:rPr>
          <w:rFonts w:cs="Arial"/>
          <w:bCs/>
          <w:snapToGrid w:val="0"/>
          <w:szCs w:val="22"/>
        </w:rPr>
      </w:pPr>
      <w:r>
        <w:rPr>
          <w:rFonts w:cs="Arial"/>
          <w:bCs/>
          <w:snapToGrid w:val="0"/>
          <w:szCs w:val="22"/>
        </w:rPr>
        <w:t xml:space="preserve">A detailed action plan to address significant governance failings identified at that time was approved by Governance Committee last year and reported to council. Progress against the actions have been reported to Governance Committee throughout last year. </w:t>
      </w:r>
    </w:p>
    <w:p w14:paraId="6FD0411D" w14:textId="77777777" w:rsidR="00571CCB" w:rsidRDefault="00571CCB" w:rsidP="00571CCB">
      <w:pPr>
        <w:rPr>
          <w:rFonts w:cs="Arial"/>
          <w:bCs/>
          <w:snapToGrid w:val="0"/>
          <w:szCs w:val="22"/>
        </w:rPr>
      </w:pPr>
    </w:p>
    <w:p w14:paraId="235EE149" w14:textId="77777777" w:rsidR="00571CCB" w:rsidRDefault="00571CCB" w:rsidP="00571CCB">
      <w:pPr>
        <w:rPr>
          <w:rFonts w:cs="Arial"/>
          <w:bCs/>
          <w:snapToGrid w:val="0"/>
          <w:szCs w:val="22"/>
        </w:rPr>
      </w:pPr>
      <w:r>
        <w:rPr>
          <w:rFonts w:cs="Arial"/>
          <w:bCs/>
          <w:snapToGrid w:val="0"/>
          <w:szCs w:val="22"/>
        </w:rPr>
        <w:t xml:space="preserve">There are 2 outstanding actions </w:t>
      </w:r>
    </w:p>
    <w:p w14:paraId="09F568CB" w14:textId="77777777" w:rsidR="00571CCB" w:rsidRDefault="00571CCB" w:rsidP="00571CCB">
      <w:pPr>
        <w:rPr>
          <w:rFonts w:cs="Arial"/>
          <w:bCs/>
          <w:snapToGrid w:val="0"/>
          <w:szCs w:val="22"/>
        </w:rPr>
      </w:pPr>
    </w:p>
    <w:p w14:paraId="26C1DADC" w14:textId="77777777" w:rsidR="00571CCB" w:rsidRDefault="00571CCB" w:rsidP="00571CCB">
      <w:pPr>
        <w:rPr>
          <w:rFonts w:cs="Arial"/>
          <w:bCs/>
          <w:snapToGrid w:val="0"/>
          <w:szCs w:val="22"/>
        </w:rPr>
      </w:pPr>
      <w:r>
        <w:rPr>
          <w:rFonts w:cs="Arial"/>
          <w:bCs/>
          <w:snapToGrid w:val="0"/>
          <w:szCs w:val="22"/>
        </w:rPr>
        <w:t>1. Development of a consultation framework and community engagement strategy; and</w:t>
      </w:r>
    </w:p>
    <w:p w14:paraId="75F5FCB7" w14:textId="77777777" w:rsidR="00571CCB" w:rsidRDefault="00571CCB" w:rsidP="00571CCB">
      <w:pPr>
        <w:rPr>
          <w:rFonts w:cs="Arial"/>
          <w:bCs/>
          <w:snapToGrid w:val="0"/>
          <w:szCs w:val="22"/>
        </w:rPr>
      </w:pPr>
      <w:r>
        <w:rPr>
          <w:rFonts w:cs="Arial"/>
          <w:bCs/>
          <w:snapToGrid w:val="0"/>
          <w:szCs w:val="22"/>
        </w:rPr>
        <w:t>2. Development of a Key Partnerships Framework.</w:t>
      </w:r>
    </w:p>
    <w:p w14:paraId="78ECEDAA" w14:textId="77777777" w:rsidR="00571CCB" w:rsidRDefault="00571CCB" w:rsidP="00571CCB">
      <w:pPr>
        <w:rPr>
          <w:rFonts w:cs="Arial"/>
          <w:bCs/>
          <w:snapToGrid w:val="0"/>
          <w:szCs w:val="22"/>
        </w:rPr>
      </w:pPr>
    </w:p>
    <w:p w14:paraId="34669642" w14:textId="77777777" w:rsidR="00571CCB" w:rsidRDefault="00571CCB" w:rsidP="00571CCB">
      <w:pPr>
        <w:rPr>
          <w:rFonts w:cs="Arial"/>
          <w:bCs/>
          <w:snapToGrid w:val="0"/>
          <w:szCs w:val="22"/>
        </w:rPr>
      </w:pPr>
      <w:r>
        <w:rPr>
          <w:rFonts w:cs="Arial"/>
          <w:bCs/>
          <w:snapToGrid w:val="0"/>
          <w:szCs w:val="22"/>
        </w:rPr>
        <w:t>These are not judged to be significant governance failings in themselves and are due to be completed in accordance with the action plan this year.</w:t>
      </w:r>
    </w:p>
    <w:p w14:paraId="5E9F336C" w14:textId="77777777" w:rsidR="00571CCB" w:rsidRDefault="00571CCB" w:rsidP="00571CCB">
      <w:pPr>
        <w:rPr>
          <w:rFonts w:cs="Arial"/>
          <w:bCs/>
          <w:snapToGrid w:val="0"/>
          <w:szCs w:val="22"/>
        </w:rPr>
      </w:pPr>
    </w:p>
    <w:p w14:paraId="1C84A116" w14:textId="77777777" w:rsidR="00571CCB" w:rsidRDefault="00571CCB" w:rsidP="00571CCB">
      <w:pPr>
        <w:rPr>
          <w:rFonts w:cs="Arial"/>
          <w:bCs/>
          <w:snapToGrid w:val="0"/>
          <w:szCs w:val="22"/>
        </w:rPr>
      </w:pPr>
      <w:r>
        <w:rPr>
          <w:rFonts w:cs="Arial"/>
          <w:bCs/>
          <w:snapToGrid w:val="0"/>
          <w:szCs w:val="22"/>
        </w:rPr>
        <w:t xml:space="preserve">Implementation of the other identified actions has enhanced the council’s governance framework. This has been demonstrated by the outcomes of the reviews of compliance outlined in section 4 above. As a </w:t>
      </w:r>
      <w:proofErr w:type="gramStart"/>
      <w:r>
        <w:rPr>
          <w:rFonts w:cs="Arial"/>
          <w:bCs/>
          <w:snapToGrid w:val="0"/>
          <w:szCs w:val="22"/>
        </w:rPr>
        <w:t>result</w:t>
      </w:r>
      <w:proofErr w:type="gramEnd"/>
      <w:r>
        <w:rPr>
          <w:rFonts w:cs="Arial"/>
          <w:bCs/>
          <w:snapToGrid w:val="0"/>
          <w:szCs w:val="22"/>
        </w:rPr>
        <w:t xml:space="preserve"> no significant governance issues have been identified. It must be recognised however, that the Head of Internal Audit has been unable to provide an opinion on the control environment. This is not to say that the environment is inadequate, but there has simply not been the audit testing work undertaken necessary to evidence a valued opinion. Given the changes implemented in year this should not be surprising.</w:t>
      </w:r>
    </w:p>
    <w:p w14:paraId="27247D38" w14:textId="77777777" w:rsidR="00571CCB" w:rsidRDefault="00571CCB" w:rsidP="00571CCB">
      <w:pPr>
        <w:rPr>
          <w:rFonts w:cs="Arial"/>
          <w:bCs/>
          <w:snapToGrid w:val="0"/>
          <w:szCs w:val="22"/>
        </w:rPr>
      </w:pPr>
    </w:p>
    <w:p w14:paraId="3DE497F9" w14:textId="77777777" w:rsidR="00571CCB" w:rsidRDefault="00571CCB" w:rsidP="00571CCB">
      <w:pPr>
        <w:rPr>
          <w:rFonts w:cs="Arial"/>
          <w:bCs/>
          <w:snapToGrid w:val="0"/>
          <w:szCs w:val="22"/>
        </w:rPr>
      </w:pPr>
      <w:r>
        <w:rPr>
          <w:rFonts w:cs="Arial"/>
          <w:bCs/>
          <w:snapToGrid w:val="0"/>
          <w:szCs w:val="22"/>
        </w:rPr>
        <w:t xml:space="preserve">The review exercises which have been completed have identified the following areas which are not viewed as significant issues but require strengthening. </w:t>
      </w:r>
    </w:p>
    <w:p w14:paraId="05A70201" w14:textId="77777777" w:rsidR="00571CCB" w:rsidRDefault="00571CCB" w:rsidP="00571CCB">
      <w:pPr>
        <w:rPr>
          <w:rFonts w:cs="Arial"/>
          <w:bCs/>
          <w:snapToGrid w:val="0"/>
          <w:szCs w:val="22"/>
        </w:rPr>
      </w:pPr>
    </w:p>
    <w:tbl>
      <w:tblPr>
        <w:tblW w:w="15309" w:type="dxa"/>
        <w:tblLook w:val="04A0" w:firstRow="1" w:lastRow="0" w:firstColumn="1" w:lastColumn="0" w:noHBand="0" w:noVBand="1"/>
      </w:tblPr>
      <w:tblGrid>
        <w:gridCol w:w="2397"/>
        <w:gridCol w:w="1692"/>
        <w:gridCol w:w="11220"/>
      </w:tblGrid>
      <w:tr w:rsidR="00571CCB" w:rsidRPr="00BD1B20" w14:paraId="3CAF1161" w14:textId="77777777" w:rsidTr="00571CCB">
        <w:trPr>
          <w:trHeight w:val="300"/>
          <w:tblHeader/>
        </w:trPr>
        <w:tc>
          <w:tcPr>
            <w:tcW w:w="2397" w:type="dxa"/>
            <w:tcBorders>
              <w:top w:val="nil"/>
              <w:left w:val="nil"/>
              <w:bottom w:val="nil"/>
              <w:right w:val="nil"/>
            </w:tcBorders>
            <w:shd w:val="clear" w:color="000000" w:fill="D9D9D9"/>
            <w:hideMark/>
          </w:tcPr>
          <w:p w14:paraId="73048BF8" w14:textId="77777777" w:rsidR="00571CCB" w:rsidRPr="00BD1B20" w:rsidRDefault="00571CCB" w:rsidP="00571CCB">
            <w:pPr>
              <w:spacing w:before="120" w:after="120"/>
              <w:rPr>
                <w:rFonts w:cs="Arial"/>
                <w:color w:val="000000"/>
                <w:szCs w:val="22"/>
              </w:rPr>
            </w:pPr>
            <w:r w:rsidRPr="00BD1B20">
              <w:rPr>
                <w:rFonts w:cs="Arial"/>
                <w:color w:val="000000"/>
                <w:szCs w:val="22"/>
              </w:rPr>
              <w:t>Themes</w:t>
            </w:r>
          </w:p>
        </w:tc>
        <w:tc>
          <w:tcPr>
            <w:tcW w:w="1692" w:type="dxa"/>
            <w:tcBorders>
              <w:top w:val="nil"/>
              <w:left w:val="nil"/>
              <w:bottom w:val="nil"/>
              <w:right w:val="nil"/>
            </w:tcBorders>
            <w:shd w:val="clear" w:color="000000" w:fill="D9D9D9"/>
          </w:tcPr>
          <w:p w14:paraId="107A9E5C" w14:textId="77777777" w:rsidR="00571CCB" w:rsidRPr="00BD1B20" w:rsidRDefault="00571CCB" w:rsidP="00571CCB">
            <w:pPr>
              <w:spacing w:before="120" w:after="120"/>
              <w:rPr>
                <w:rFonts w:cs="Arial"/>
                <w:color w:val="000000"/>
                <w:szCs w:val="22"/>
              </w:rPr>
            </w:pPr>
          </w:p>
        </w:tc>
        <w:tc>
          <w:tcPr>
            <w:tcW w:w="11220" w:type="dxa"/>
            <w:tcBorders>
              <w:top w:val="nil"/>
              <w:left w:val="nil"/>
              <w:bottom w:val="nil"/>
              <w:right w:val="nil"/>
            </w:tcBorders>
            <w:shd w:val="clear" w:color="000000" w:fill="D9D9D9"/>
            <w:hideMark/>
          </w:tcPr>
          <w:p w14:paraId="4B19ED3D" w14:textId="77777777" w:rsidR="00571CCB" w:rsidRPr="00BD1B20" w:rsidRDefault="00571CCB" w:rsidP="00571CCB">
            <w:pPr>
              <w:spacing w:before="120" w:after="120"/>
              <w:rPr>
                <w:rFonts w:cs="Arial"/>
                <w:color w:val="000000"/>
                <w:szCs w:val="22"/>
              </w:rPr>
            </w:pPr>
            <w:r w:rsidRPr="00BD1B20">
              <w:rPr>
                <w:rFonts w:cs="Arial"/>
                <w:color w:val="000000"/>
                <w:szCs w:val="22"/>
              </w:rPr>
              <w:t>Improvement Required</w:t>
            </w:r>
          </w:p>
        </w:tc>
      </w:tr>
      <w:tr w:rsidR="00571CCB" w:rsidRPr="00BD1B20" w14:paraId="0C67FD07" w14:textId="77777777" w:rsidTr="00571CCB">
        <w:tc>
          <w:tcPr>
            <w:tcW w:w="2397" w:type="dxa"/>
            <w:tcBorders>
              <w:top w:val="nil"/>
              <w:left w:val="nil"/>
              <w:bottom w:val="nil"/>
              <w:right w:val="nil"/>
            </w:tcBorders>
            <w:shd w:val="clear" w:color="auto" w:fill="auto"/>
          </w:tcPr>
          <w:p w14:paraId="233A9660" w14:textId="77777777" w:rsidR="00571CCB" w:rsidRPr="00BD1B20" w:rsidRDefault="00571CCB" w:rsidP="00571CCB">
            <w:pPr>
              <w:rPr>
                <w:rFonts w:cs="Arial"/>
                <w:color w:val="000000"/>
                <w:szCs w:val="22"/>
              </w:rPr>
            </w:pPr>
          </w:p>
        </w:tc>
        <w:tc>
          <w:tcPr>
            <w:tcW w:w="1692" w:type="dxa"/>
            <w:tcBorders>
              <w:top w:val="nil"/>
              <w:left w:val="nil"/>
              <w:bottom w:val="nil"/>
              <w:right w:val="nil"/>
            </w:tcBorders>
            <w:shd w:val="clear" w:color="auto" w:fill="auto"/>
          </w:tcPr>
          <w:p w14:paraId="19A79614" w14:textId="77777777" w:rsidR="00571CCB" w:rsidRPr="00BD1B20" w:rsidRDefault="00571CCB" w:rsidP="00571CCB">
            <w:pPr>
              <w:rPr>
                <w:rFonts w:cs="Arial"/>
                <w:color w:val="000000"/>
                <w:szCs w:val="22"/>
              </w:rPr>
            </w:pPr>
          </w:p>
        </w:tc>
        <w:tc>
          <w:tcPr>
            <w:tcW w:w="11220" w:type="dxa"/>
            <w:tcBorders>
              <w:top w:val="nil"/>
              <w:left w:val="nil"/>
              <w:bottom w:val="nil"/>
              <w:right w:val="nil"/>
            </w:tcBorders>
            <w:shd w:val="clear" w:color="auto" w:fill="auto"/>
          </w:tcPr>
          <w:p w14:paraId="4D352F64" w14:textId="77777777" w:rsidR="00571CCB" w:rsidRPr="00BD1B20" w:rsidRDefault="00571CCB" w:rsidP="00571CCB">
            <w:pPr>
              <w:rPr>
                <w:rFonts w:cs="Arial"/>
                <w:color w:val="000000"/>
                <w:szCs w:val="22"/>
              </w:rPr>
            </w:pPr>
          </w:p>
        </w:tc>
      </w:tr>
      <w:tr w:rsidR="00571CCB" w:rsidRPr="00BD1B20" w14:paraId="00DFA806" w14:textId="77777777" w:rsidTr="00571CCB">
        <w:trPr>
          <w:trHeight w:val="1620"/>
        </w:trPr>
        <w:tc>
          <w:tcPr>
            <w:tcW w:w="2397" w:type="dxa"/>
            <w:tcBorders>
              <w:top w:val="nil"/>
              <w:left w:val="nil"/>
              <w:bottom w:val="nil"/>
              <w:right w:val="nil"/>
            </w:tcBorders>
            <w:shd w:val="clear" w:color="auto" w:fill="auto"/>
            <w:hideMark/>
          </w:tcPr>
          <w:p w14:paraId="0C62A606" w14:textId="77777777" w:rsidR="00571CCB" w:rsidRPr="00BD1B20" w:rsidRDefault="00571CCB" w:rsidP="00571CCB">
            <w:pPr>
              <w:rPr>
                <w:rFonts w:cs="Arial"/>
                <w:color w:val="000000"/>
                <w:szCs w:val="22"/>
              </w:rPr>
            </w:pPr>
            <w:r w:rsidRPr="00BD1B20">
              <w:rPr>
                <w:rFonts w:cs="Arial"/>
                <w:color w:val="000000"/>
                <w:szCs w:val="22"/>
              </w:rPr>
              <w:t>Recruitment/Induction</w:t>
            </w:r>
          </w:p>
        </w:tc>
        <w:tc>
          <w:tcPr>
            <w:tcW w:w="1692" w:type="dxa"/>
            <w:tcBorders>
              <w:top w:val="nil"/>
              <w:left w:val="nil"/>
              <w:bottom w:val="nil"/>
              <w:right w:val="nil"/>
            </w:tcBorders>
            <w:shd w:val="clear" w:color="auto" w:fill="auto"/>
          </w:tcPr>
          <w:p w14:paraId="3F87FBA9" w14:textId="77777777" w:rsidR="00571CCB" w:rsidRPr="00BD1B20" w:rsidRDefault="00571CCB" w:rsidP="00571CCB">
            <w:pPr>
              <w:rPr>
                <w:rFonts w:cs="Arial"/>
                <w:color w:val="000000"/>
                <w:szCs w:val="22"/>
              </w:rPr>
            </w:pPr>
          </w:p>
        </w:tc>
        <w:tc>
          <w:tcPr>
            <w:tcW w:w="11220" w:type="dxa"/>
            <w:tcBorders>
              <w:top w:val="nil"/>
              <w:left w:val="nil"/>
              <w:bottom w:val="nil"/>
              <w:right w:val="nil"/>
            </w:tcBorders>
            <w:shd w:val="clear" w:color="auto" w:fill="auto"/>
            <w:hideMark/>
          </w:tcPr>
          <w:p w14:paraId="5ECE672C" w14:textId="77777777" w:rsidR="00571CCB" w:rsidRPr="00BD1B20" w:rsidRDefault="00571CCB" w:rsidP="00571CCB">
            <w:pPr>
              <w:rPr>
                <w:rFonts w:cs="Arial"/>
                <w:color w:val="000000"/>
                <w:szCs w:val="22"/>
              </w:rPr>
            </w:pPr>
            <w:r w:rsidRPr="00BD1B20">
              <w:rPr>
                <w:rFonts w:cs="Arial"/>
                <w:color w:val="000000"/>
                <w:szCs w:val="22"/>
              </w:rPr>
              <w:t xml:space="preserve">To ensure all new employees receive a comprehensive induction covering all core areas, the corporate induction will be updated to include welcome videos from the senior management, introduction to the borough and mandatory training covering core policies and health and safety. </w:t>
            </w:r>
          </w:p>
          <w:p w14:paraId="2F58E897" w14:textId="77777777" w:rsidR="00571CCB" w:rsidRPr="00BD1B20" w:rsidRDefault="00571CCB" w:rsidP="00571CCB">
            <w:pPr>
              <w:rPr>
                <w:rFonts w:cs="Arial"/>
                <w:color w:val="000000"/>
                <w:szCs w:val="22"/>
              </w:rPr>
            </w:pPr>
            <w:r w:rsidRPr="00BD1B20">
              <w:rPr>
                <w:rFonts w:cs="Arial"/>
                <w:color w:val="000000"/>
                <w:szCs w:val="22"/>
              </w:rPr>
              <w:t>Continued focus on HR System transformation is required to ensure a robust administrative process is operational and suitable controls are in place for all aspects of Human Resources and Organisational Development</w:t>
            </w:r>
          </w:p>
        </w:tc>
      </w:tr>
      <w:tr w:rsidR="00571CCB" w:rsidRPr="00BD1B20" w14:paraId="07A59CCF" w14:textId="77777777" w:rsidTr="00571CCB">
        <w:tc>
          <w:tcPr>
            <w:tcW w:w="2397" w:type="dxa"/>
            <w:tcBorders>
              <w:top w:val="nil"/>
              <w:left w:val="nil"/>
              <w:bottom w:val="nil"/>
              <w:right w:val="nil"/>
            </w:tcBorders>
            <w:shd w:val="clear" w:color="auto" w:fill="auto"/>
          </w:tcPr>
          <w:p w14:paraId="1F3DA661" w14:textId="77777777" w:rsidR="00571CCB" w:rsidRPr="00BD1B20" w:rsidRDefault="00571CCB" w:rsidP="00571CCB">
            <w:pPr>
              <w:rPr>
                <w:rFonts w:cs="Arial"/>
                <w:color w:val="000000"/>
                <w:szCs w:val="22"/>
              </w:rPr>
            </w:pPr>
          </w:p>
        </w:tc>
        <w:tc>
          <w:tcPr>
            <w:tcW w:w="1692" w:type="dxa"/>
            <w:tcBorders>
              <w:top w:val="nil"/>
              <w:left w:val="nil"/>
              <w:bottom w:val="nil"/>
              <w:right w:val="nil"/>
            </w:tcBorders>
            <w:shd w:val="clear" w:color="auto" w:fill="auto"/>
          </w:tcPr>
          <w:p w14:paraId="1B24938F" w14:textId="77777777" w:rsidR="00571CCB" w:rsidRPr="00BD1B20" w:rsidRDefault="00571CCB" w:rsidP="00571CCB">
            <w:pPr>
              <w:rPr>
                <w:rFonts w:cs="Arial"/>
                <w:color w:val="000000"/>
                <w:szCs w:val="22"/>
              </w:rPr>
            </w:pPr>
          </w:p>
        </w:tc>
        <w:tc>
          <w:tcPr>
            <w:tcW w:w="11220" w:type="dxa"/>
            <w:tcBorders>
              <w:top w:val="nil"/>
              <w:left w:val="nil"/>
              <w:bottom w:val="nil"/>
              <w:right w:val="nil"/>
            </w:tcBorders>
            <w:shd w:val="clear" w:color="auto" w:fill="auto"/>
          </w:tcPr>
          <w:p w14:paraId="653D9C64" w14:textId="77777777" w:rsidR="00571CCB" w:rsidRPr="00BD1B20" w:rsidRDefault="00571CCB" w:rsidP="00571CCB">
            <w:pPr>
              <w:rPr>
                <w:rFonts w:cs="Arial"/>
                <w:color w:val="000000"/>
                <w:szCs w:val="22"/>
              </w:rPr>
            </w:pPr>
          </w:p>
        </w:tc>
      </w:tr>
      <w:tr w:rsidR="00571CCB" w:rsidRPr="00BD1B20" w14:paraId="4EB6FC74" w14:textId="77777777" w:rsidTr="00571CCB">
        <w:tc>
          <w:tcPr>
            <w:tcW w:w="2397" w:type="dxa"/>
            <w:tcBorders>
              <w:top w:val="nil"/>
              <w:left w:val="nil"/>
              <w:bottom w:val="nil"/>
              <w:right w:val="nil"/>
            </w:tcBorders>
            <w:shd w:val="clear" w:color="auto" w:fill="auto"/>
          </w:tcPr>
          <w:p w14:paraId="777D5F5A" w14:textId="77777777" w:rsidR="00571CCB" w:rsidRPr="00BD1B20" w:rsidRDefault="00571CCB" w:rsidP="00571CCB">
            <w:pPr>
              <w:keepNext/>
              <w:keepLines/>
              <w:rPr>
                <w:rFonts w:cs="Arial"/>
                <w:color w:val="000000"/>
                <w:szCs w:val="22"/>
              </w:rPr>
            </w:pPr>
          </w:p>
        </w:tc>
        <w:tc>
          <w:tcPr>
            <w:tcW w:w="1692" w:type="dxa"/>
            <w:tcBorders>
              <w:top w:val="nil"/>
              <w:left w:val="nil"/>
              <w:bottom w:val="nil"/>
              <w:right w:val="nil"/>
            </w:tcBorders>
            <w:shd w:val="clear" w:color="auto" w:fill="auto"/>
          </w:tcPr>
          <w:p w14:paraId="1FBFFBB4" w14:textId="77777777" w:rsidR="00571CCB" w:rsidRPr="00BD1B20" w:rsidRDefault="00571CCB" w:rsidP="00571CCB">
            <w:pPr>
              <w:keepNext/>
              <w:keepLines/>
              <w:rPr>
                <w:rFonts w:cs="Arial"/>
                <w:color w:val="000000"/>
                <w:szCs w:val="22"/>
              </w:rPr>
            </w:pPr>
          </w:p>
        </w:tc>
        <w:tc>
          <w:tcPr>
            <w:tcW w:w="11220" w:type="dxa"/>
            <w:tcBorders>
              <w:top w:val="nil"/>
              <w:left w:val="nil"/>
              <w:bottom w:val="nil"/>
              <w:right w:val="nil"/>
            </w:tcBorders>
            <w:shd w:val="clear" w:color="auto" w:fill="auto"/>
          </w:tcPr>
          <w:p w14:paraId="2327F38C" w14:textId="77777777" w:rsidR="00571CCB" w:rsidRPr="00BD1B20" w:rsidRDefault="00571CCB" w:rsidP="00571CCB">
            <w:pPr>
              <w:keepNext/>
              <w:keepLines/>
              <w:rPr>
                <w:rFonts w:cs="Arial"/>
                <w:color w:val="000000"/>
                <w:szCs w:val="22"/>
              </w:rPr>
            </w:pPr>
          </w:p>
        </w:tc>
      </w:tr>
      <w:tr w:rsidR="00571CCB" w:rsidRPr="00BD1B20" w14:paraId="0D7AE64F" w14:textId="77777777" w:rsidTr="00571CCB">
        <w:tc>
          <w:tcPr>
            <w:tcW w:w="2397" w:type="dxa"/>
            <w:tcBorders>
              <w:top w:val="nil"/>
              <w:left w:val="nil"/>
              <w:bottom w:val="nil"/>
              <w:right w:val="nil"/>
            </w:tcBorders>
            <w:shd w:val="clear" w:color="auto" w:fill="auto"/>
            <w:hideMark/>
          </w:tcPr>
          <w:p w14:paraId="5CFFC9A0" w14:textId="77777777" w:rsidR="00571CCB" w:rsidRPr="00BD1B20" w:rsidRDefault="00571CCB" w:rsidP="00571CCB">
            <w:pPr>
              <w:keepNext/>
              <w:keepLines/>
              <w:rPr>
                <w:rFonts w:cs="Arial"/>
                <w:color w:val="000000"/>
                <w:szCs w:val="22"/>
              </w:rPr>
            </w:pPr>
            <w:r w:rsidRPr="00BD1B20">
              <w:rPr>
                <w:rFonts w:cs="Arial"/>
                <w:color w:val="000000"/>
                <w:szCs w:val="22"/>
              </w:rPr>
              <w:t>Governance &amp; Management</w:t>
            </w:r>
          </w:p>
        </w:tc>
        <w:tc>
          <w:tcPr>
            <w:tcW w:w="1692" w:type="dxa"/>
            <w:tcBorders>
              <w:top w:val="nil"/>
              <w:left w:val="nil"/>
              <w:bottom w:val="nil"/>
              <w:right w:val="nil"/>
            </w:tcBorders>
            <w:shd w:val="clear" w:color="auto" w:fill="auto"/>
          </w:tcPr>
          <w:p w14:paraId="5BE6F702" w14:textId="77777777" w:rsidR="00571CCB" w:rsidRPr="00BD1B20" w:rsidRDefault="00571CCB" w:rsidP="00571CCB">
            <w:pPr>
              <w:keepNext/>
              <w:keepLines/>
              <w:rPr>
                <w:rFonts w:cs="Arial"/>
                <w:color w:val="000000"/>
                <w:szCs w:val="22"/>
              </w:rPr>
            </w:pPr>
          </w:p>
        </w:tc>
        <w:tc>
          <w:tcPr>
            <w:tcW w:w="11220" w:type="dxa"/>
            <w:tcBorders>
              <w:top w:val="nil"/>
              <w:left w:val="nil"/>
              <w:bottom w:val="nil"/>
              <w:right w:val="nil"/>
            </w:tcBorders>
            <w:shd w:val="clear" w:color="auto" w:fill="auto"/>
            <w:hideMark/>
          </w:tcPr>
          <w:p w14:paraId="469EF98B" w14:textId="77777777" w:rsidR="00571CCB" w:rsidRPr="00BD1B20" w:rsidRDefault="00571CCB" w:rsidP="00571CCB">
            <w:pPr>
              <w:keepNext/>
              <w:keepLines/>
              <w:rPr>
                <w:rFonts w:cs="Arial"/>
                <w:color w:val="000000"/>
                <w:szCs w:val="22"/>
              </w:rPr>
            </w:pPr>
            <w:r w:rsidRPr="00BD1B20">
              <w:rPr>
                <w:rFonts w:cs="Arial"/>
                <w:color w:val="000000"/>
                <w:szCs w:val="22"/>
              </w:rPr>
              <w:t>Management Development Programme has been designed to establish a baseline level of management competency as well as providing ongoing support to maintain performance.  The aim is to commence delivery with cohorts of managers from September 2021 through a range of methods including e-learning, which will also form part of the induction process for future managers.</w:t>
            </w:r>
          </w:p>
          <w:p w14:paraId="5BD81FF6" w14:textId="77777777" w:rsidR="00571CCB" w:rsidRPr="00BD1B20" w:rsidRDefault="00571CCB" w:rsidP="00571CCB">
            <w:pPr>
              <w:keepNext/>
              <w:keepLines/>
              <w:rPr>
                <w:rFonts w:cs="Arial"/>
                <w:color w:val="000000"/>
                <w:szCs w:val="22"/>
              </w:rPr>
            </w:pPr>
          </w:p>
          <w:p w14:paraId="0D4F11BD" w14:textId="77777777" w:rsidR="00571CCB" w:rsidRDefault="00571CCB" w:rsidP="00571CCB">
            <w:pPr>
              <w:keepNext/>
              <w:keepLines/>
              <w:rPr>
                <w:rFonts w:cs="Arial"/>
                <w:color w:val="000000"/>
                <w:szCs w:val="22"/>
              </w:rPr>
            </w:pPr>
            <w:r w:rsidRPr="00BD1B20">
              <w:rPr>
                <w:rFonts w:cs="Arial"/>
                <w:color w:val="000000"/>
                <w:szCs w:val="22"/>
              </w:rPr>
              <w:t>Introduce a standardised DMT agenda with agreed standing items to ensure a consistent approach is adopted across the Council. This will incorporate items of Corporate significance identified by the Communications team within their forward plan.</w:t>
            </w:r>
          </w:p>
          <w:p w14:paraId="2D682C52" w14:textId="77777777" w:rsidR="00571CCB" w:rsidRDefault="00571CCB" w:rsidP="00571CCB">
            <w:pPr>
              <w:keepNext/>
              <w:keepLines/>
              <w:rPr>
                <w:rFonts w:cs="Arial"/>
                <w:color w:val="000000"/>
                <w:szCs w:val="22"/>
              </w:rPr>
            </w:pPr>
          </w:p>
          <w:p w14:paraId="10790329" w14:textId="77777777" w:rsidR="00571CCB" w:rsidRPr="00BD1B20" w:rsidRDefault="00571CCB" w:rsidP="00571CCB">
            <w:pPr>
              <w:keepNext/>
              <w:keepLines/>
              <w:rPr>
                <w:rFonts w:cs="Arial"/>
                <w:color w:val="000000"/>
                <w:szCs w:val="22"/>
              </w:rPr>
            </w:pPr>
          </w:p>
        </w:tc>
      </w:tr>
      <w:tr w:rsidR="00571CCB" w:rsidRPr="00BD1B20" w14:paraId="4BF607E2" w14:textId="77777777" w:rsidTr="00571CCB">
        <w:tc>
          <w:tcPr>
            <w:tcW w:w="2397" w:type="dxa"/>
            <w:tcBorders>
              <w:top w:val="nil"/>
              <w:left w:val="nil"/>
              <w:bottom w:val="nil"/>
              <w:right w:val="nil"/>
            </w:tcBorders>
            <w:shd w:val="clear" w:color="auto" w:fill="auto"/>
            <w:hideMark/>
          </w:tcPr>
          <w:p w14:paraId="3EE210D5" w14:textId="77777777" w:rsidR="00571CCB" w:rsidRPr="00BD1B20" w:rsidRDefault="00571CCB" w:rsidP="00571CCB">
            <w:pPr>
              <w:rPr>
                <w:rFonts w:cs="Arial"/>
                <w:color w:val="000000"/>
                <w:szCs w:val="22"/>
              </w:rPr>
            </w:pPr>
            <w:r w:rsidRPr="00BD1B20">
              <w:rPr>
                <w:rFonts w:cs="Arial"/>
                <w:color w:val="000000"/>
                <w:szCs w:val="22"/>
              </w:rPr>
              <w:t>Fraud and Corruption</w:t>
            </w:r>
          </w:p>
        </w:tc>
        <w:tc>
          <w:tcPr>
            <w:tcW w:w="1692" w:type="dxa"/>
            <w:tcBorders>
              <w:top w:val="nil"/>
              <w:left w:val="nil"/>
              <w:bottom w:val="nil"/>
              <w:right w:val="nil"/>
            </w:tcBorders>
            <w:shd w:val="clear" w:color="auto" w:fill="auto"/>
          </w:tcPr>
          <w:p w14:paraId="01AC94B3" w14:textId="77777777" w:rsidR="00571CCB" w:rsidRPr="00BD1B20" w:rsidRDefault="00571CCB" w:rsidP="00571CCB">
            <w:pPr>
              <w:rPr>
                <w:rFonts w:cs="Arial"/>
                <w:color w:val="000000"/>
                <w:szCs w:val="22"/>
              </w:rPr>
            </w:pPr>
          </w:p>
        </w:tc>
        <w:tc>
          <w:tcPr>
            <w:tcW w:w="11220" w:type="dxa"/>
            <w:tcBorders>
              <w:top w:val="nil"/>
              <w:left w:val="nil"/>
              <w:bottom w:val="nil"/>
              <w:right w:val="nil"/>
            </w:tcBorders>
            <w:shd w:val="clear" w:color="auto" w:fill="auto"/>
            <w:hideMark/>
          </w:tcPr>
          <w:p w14:paraId="54D137EC" w14:textId="77777777" w:rsidR="00571CCB" w:rsidRDefault="00571CCB" w:rsidP="00571CCB">
            <w:pPr>
              <w:ind w:left="-51"/>
              <w:rPr>
                <w:rFonts w:cs="Arial"/>
                <w:color w:val="000000"/>
                <w:szCs w:val="22"/>
              </w:rPr>
            </w:pPr>
            <w:r w:rsidRPr="00BD1B20">
              <w:rPr>
                <w:rFonts w:cs="Arial"/>
                <w:color w:val="000000"/>
                <w:szCs w:val="22"/>
              </w:rPr>
              <w:t>Fraud awareness training to be delivered to all relevant officers using e-learning modules</w:t>
            </w:r>
            <w:r>
              <w:rPr>
                <w:rFonts w:cs="Arial"/>
                <w:color w:val="000000"/>
                <w:szCs w:val="22"/>
              </w:rPr>
              <w:t xml:space="preserve"> </w:t>
            </w:r>
          </w:p>
          <w:p w14:paraId="795B289B" w14:textId="77777777" w:rsidR="00571CCB" w:rsidRDefault="00571CCB" w:rsidP="00571CCB">
            <w:pPr>
              <w:ind w:left="-51"/>
              <w:rPr>
                <w:rFonts w:cs="Arial"/>
                <w:color w:val="000000"/>
                <w:szCs w:val="22"/>
              </w:rPr>
            </w:pPr>
            <w:r w:rsidRPr="00BD1B20">
              <w:rPr>
                <w:rFonts w:cs="Arial"/>
                <w:color w:val="000000"/>
                <w:szCs w:val="22"/>
              </w:rPr>
              <w:t>Fraud reports to be presented to Governance Committee</w:t>
            </w:r>
          </w:p>
          <w:p w14:paraId="3931CB47" w14:textId="77777777" w:rsidR="00571CCB" w:rsidRDefault="00571CCB" w:rsidP="00571CCB">
            <w:pPr>
              <w:ind w:left="-51"/>
              <w:rPr>
                <w:rFonts w:cs="Arial"/>
                <w:color w:val="000000"/>
                <w:szCs w:val="22"/>
              </w:rPr>
            </w:pPr>
            <w:r w:rsidRPr="00BD1B20">
              <w:rPr>
                <w:rFonts w:cs="Arial"/>
                <w:color w:val="000000"/>
                <w:szCs w:val="22"/>
              </w:rPr>
              <w:t>Fraud risk register to be compiled and monitored on a regular basis</w:t>
            </w:r>
          </w:p>
          <w:p w14:paraId="46503E21" w14:textId="77777777" w:rsidR="00571CCB" w:rsidRDefault="00571CCB" w:rsidP="00571CCB">
            <w:pPr>
              <w:ind w:left="-51"/>
              <w:rPr>
                <w:rFonts w:cs="Arial"/>
                <w:color w:val="000000"/>
                <w:szCs w:val="22"/>
              </w:rPr>
            </w:pPr>
          </w:p>
          <w:p w14:paraId="0F6C61F1" w14:textId="77777777" w:rsidR="00571CCB" w:rsidRPr="00BD1B20" w:rsidRDefault="00571CCB" w:rsidP="00571CCB">
            <w:pPr>
              <w:ind w:left="-51"/>
              <w:rPr>
                <w:rFonts w:cs="Arial"/>
                <w:color w:val="000000"/>
                <w:szCs w:val="22"/>
              </w:rPr>
            </w:pPr>
          </w:p>
        </w:tc>
      </w:tr>
      <w:tr w:rsidR="00571CCB" w:rsidRPr="00BD1B20" w14:paraId="11778332" w14:textId="77777777" w:rsidTr="00571CCB">
        <w:trPr>
          <w:trHeight w:val="300"/>
        </w:trPr>
        <w:tc>
          <w:tcPr>
            <w:tcW w:w="2397" w:type="dxa"/>
            <w:tcBorders>
              <w:top w:val="nil"/>
              <w:left w:val="nil"/>
              <w:bottom w:val="nil"/>
              <w:right w:val="nil"/>
            </w:tcBorders>
            <w:shd w:val="clear" w:color="auto" w:fill="auto"/>
            <w:hideMark/>
          </w:tcPr>
          <w:p w14:paraId="38993ED2" w14:textId="77777777" w:rsidR="00571CCB" w:rsidRPr="00BD1B20" w:rsidRDefault="00571CCB" w:rsidP="00571CCB">
            <w:pPr>
              <w:rPr>
                <w:rFonts w:cs="Arial"/>
                <w:i/>
                <w:iCs/>
                <w:color w:val="000000"/>
                <w:szCs w:val="22"/>
              </w:rPr>
            </w:pPr>
            <w:r w:rsidRPr="00BD1B20">
              <w:rPr>
                <w:rFonts w:cs="Arial"/>
                <w:color w:val="000000"/>
                <w:szCs w:val="22"/>
              </w:rPr>
              <w:t>Corporate Information Source for Officers (Connect)</w:t>
            </w:r>
          </w:p>
        </w:tc>
        <w:tc>
          <w:tcPr>
            <w:tcW w:w="1692" w:type="dxa"/>
            <w:tcBorders>
              <w:top w:val="nil"/>
              <w:left w:val="nil"/>
              <w:bottom w:val="nil"/>
              <w:right w:val="nil"/>
            </w:tcBorders>
            <w:shd w:val="clear" w:color="auto" w:fill="auto"/>
          </w:tcPr>
          <w:p w14:paraId="6A0BD055" w14:textId="77777777" w:rsidR="00571CCB" w:rsidRPr="00BD1B20" w:rsidRDefault="00571CCB" w:rsidP="00571CCB">
            <w:pPr>
              <w:rPr>
                <w:rFonts w:cs="Arial"/>
                <w:i/>
                <w:iCs/>
                <w:color w:val="000000"/>
                <w:szCs w:val="22"/>
              </w:rPr>
            </w:pPr>
          </w:p>
        </w:tc>
        <w:tc>
          <w:tcPr>
            <w:tcW w:w="11220" w:type="dxa"/>
            <w:tcBorders>
              <w:top w:val="nil"/>
              <w:left w:val="nil"/>
              <w:bottom w:val="nil"/>
              <w:right w:val="nil"/>
            </w:tcBorders>
            <w:shd w:val="clear" w:color="auto" w:fill="auto"/>
            <w:hideMark/>
          </w:tcPr>
          <w:p w14:paraId="6244491C" w14:textId="77777777" w:rsidR="00571CCB" w:rsidRPr="00BD1B20" w:rsidRDefault="00571CCB" w:rsidP="00571CCB">
            <w:pPr>
              <w:rPr>
                <w:rFonts w:cs="Arial"/>
                <w:color w:val="000000"/>
                <w:szCs w:val="22"/>
              </w:rPr>
            </w:pPr>
            <w:r w:rsidRPr="00BD1B20">
              <w:rPr>
                <w:rFonts w:cs="Arial"/>
                <w:color w:val="000000"/>
                <w:szCs w:val="22"/>
              </w:rPr>
              <w:t>To improve the user experience for employees and ensure essential information is easy to access. The following improvements to Connect should be considered:</w:t>
            </w:r>
          </w:p>
          <w:p w14:paraId="70B59727" w14:textId="77777777" w:rsidR="00571CCB" w:rsidRPr="00BD1B20" w:rsidRDefault="00571CCB" w:rsidP="00571CCB">
            <w:pPr>
              <w:rPr>
                <w:rFonts w:cs="Arial"/>
                <w:color w:val="000000"/>
                <w:szCs w:val="22"/>
              </w:rPr>
            </w:pPr>
            <w:r w:rsidRPr="00BD1B20">
              <w:rPr>
                <w:rFonts w:cs="Arial"/>
                <w:color w:val="000000"/>
                <w:szCs w:val="22"/>
              </w:rPr>
              <w:t>• Defined area on Connect for all core policies.</w:t>
            </w:r>
            <w:r w:rsidRPr="00BD1B20">
              <w:rPr>
                <w:rFonts w:cs="Arial"/>
                <w:color w:val="000000"/>
                <w:szCs w:val="22"/>
              </w:rPr>
              <w:br w:type="page"/>
            </w:r>
          </w:p>
          <w:p w14:paraId="0174A729" w14:textId="77777777" w:rsidR="00571CCB" w:rsidRPr="00BD1B20" w:rsidRDefault="00571CCB" w:rsidP="00571CCB">
            <w:pPr>
              <w:rPr>
                <w:rFonts w:cs="Arial"/>
                <w:color w:val="000000"/>
                <w:szCs w:val="22"/>
              </w:rPr>
            </w:pPr>
            <w:r w:rsidRPr="00BD1B20">
              <w:rPr>
                <w:rFonts w:cs="Arial"/>
                <w:color w:val="000000"/>
                <w:szCs w:val="22"/>
              </w:rPr>
              <w:t>• Service areas to review information they have published on Connect and to remove outdated material.</w:t>
            </w:r>
            <w:r w:rsidRPr="00BD1B20">
              <w:rPr>
                <w:rFonts w:cs="Arial"/>
                <w:color w:val="000000"/>
                <w:szCs w:val="22"/>
              </w:rPr>
              <w:br w:type="page"/>
            </w:r>
          </w:p>
          <w:p w14:paraId="733D8A43" w14:textId="77777777" w:rsidR="00571CCB" w:rsidRDefault="00571CCB" w:rsidP="00571CCB">
            <w:pPr>
              <w:rPr>
                <w:rFonts w:cs="Arial"/>
                <w:color w:val="000000"/>
                <w:szCs w:val="22"/>
              </w:rPr>
            </w:pPr>
            <w:r w:rsidRPr="00BD1B20">
              <w:rPr>
                <w:rFonts w:cs="Arial"/>
                <w:color w:val="000000"/>
                <w:szCs w:val="22"/>
              </w:rPr>
              <w:t>• Create a manager zone within Connect to ensure all essential guidance and resources for managerial responsibilities are easily sourced.</w:t>
            </w:r>
          </w:p>
          <w:p w14:paraId="1AEE194A" w14:textId="77777777" w:rsidR="00571CCB" w:rsidRDefault="00571CCB" w:rsidP="00571CCB">
            <w:pPr>
              <w:rPr>
                <w:rFonts w:cs="Arial"/>
                <w:color w:val="000000"/>
                <w:szCs w:val="22"/>
              </w:rPr>
            </w:pPr>
          </w:p>
          <w:p w14:paraId="3B4CEEF2" w14:textId="77777777" w:rsidR="00571CCB" w:rsidRPr="00BD1B20" w:rsidRDefault="00571CCB" w:rsidP="00571CCB">
            <w:pPr>
              <w:rPr>
                <w:rFonts w:cs="Arial"/>
                <w:i/>
                <w:iCs/>
                <w:color w:val="000000"/>
                <w:szCs w:val="22"/>
              </w:rPr>
            </w:pPr>
          </w:p>
        </w:tc>
      </w:tr>
      <w:tr w:rsidR="00571CCB" w:rsidRPr="00BD1B20" w14:paraId="56E863F5" w14:textId="77777777" w:rsidTr="00571CCB">
        <w:trPr>
          <w:trHeight w:val="300"/>
        </w:trPr>
        <w:tc>
          <w:tcPr>
            <w:tcW w:w="2397" w:type="dxa"/>
            <w:tcBorders>
              <w:top w:val="nil"/>
              <w:left w:val="nil"/>
              <w:bottom w:val="nil"/>
              <w:right w:val="nil"/>
            </w:tcBorders>
            <w:shd w:val="clear" w:color="auto" w:fill="auto"/>
            <w:hideMark/>
          </w:tcPr>
          <w:p w14:paraId="30F0E15E" w14:textId="77777777" w:rsidR="00571CCB" w:rsidRPr="00BD1B20" w:rsidRDefault="00571CCB" w:rsidP="00571CCB">
            <w:pPr>
              <w:rPr>
                <w:rFonts w:cs="Arial"/>
                <w:color w:val="000000"/>
                <w:szCs w:val="22"/>
              </w:rPr>
            </w:pPr>
            <w:r w:rsidRPr="00BD1B20">
              <w:rPr>
                <w:rFonts w:cs="Arial"/>
                <w:color w:val="000000"/>
                <w:szCs w:val="22"/>
              </w:rPr>
              <w:t>Risk Management</w:t>
            </w:r>
          </w:p>
        </w:tc>
        <w:tc>
          <w:tcPr>
            <w:tcW w:w="1692" w:type="dxa"/>
            <w:tcBorders>
              <w:top w:val="nil"/>
              <w:left w:val="nil"/>
              <w:bottom w:val="nil"/>
              <w:right w:val="nil"/>
            </w:tcBorders>
            <w:shd w:val="clear" w:color="auto" w:fill="auto"/>
          </w:tcPr>
          <w:p w14:paraId="2402A293" w14:textId="77777777" w:rsidR="00571CCB" w:rsidRPr="00BD1B20" w:rsidRDefault="00571CCB" w:rsidP="00571CCB">
            <w:pPr>
              <w:rPr>
                <w:rFonts w:cs="Arial"/>
                <w:color w:val="000000"/>
                <w:szCs w:val="22"/>
              </w:rPr>
            </w:pPr>
          </w:p>
        </w:tc>
        <w:tc>
          <w:tcPr>
            <w:tcW w:w="11220" w:type="dxa"/>
            <w:tcBorders>
              <w:top w:val="nil"/>
              <w:left w:val="nil"/>
              <w:bottom w:val="nil"/>
              <w:right w:val="nil"/>
            </w:tcBorders>
            <w:shd w:val="clear" w:color="auto" w:fill="auto"/>
            <w:hideMark/>
          </w:tcPr>
          <w:p w14:paraId="1423A990" w14:textId="77777777" w:rsidR="00571CCB" w:rsidRDefault="00571CCB" w:rsidP="00571CCB">
            <w:pPr>
              <w:rPr>
                <w:rFonts w:cs="Arial"/>
                <w:color w:val="000000"/>
                <w:szCs w:val="22"/>
              </w:rPr>
            </w:pPr>
            <w:r w:rsidRPr="00BD1B20">
              <w:rPr>
                <w:rFonts w:cs="Arial"/>
                <w:color w:val="000000"/>
                <w:szCs w:val="22"/>
              </w:rPr>
              <w:t>Ensure risk management is embedded throughout the organisation and within all Council activities.</w:t>
            </w:r>
          </w:p>
          <w:p w14:paraId="372CA9B8" w14:textId="77777777" w:rsidR="00571CCB" w:rsidRDefault="00571CCB" w:rsidP="00571CCB">
            <w:pPr>
              <w:rPr>
                <w:rFonts w:cs="Arial"/>
                <w:color w:val="000000"/>
                <w:szCs w:val="22"/>
              </w:rPr>
            </w:pPr>
          </w:p>
          <w:p w14:paraId="4777B85B" w14:textId="77777777" w:rsidR="00571CCB" w:rsidRPr="00BD1B20" w:rsidRDefault="00571CCB" w:rsidP="00571CCB">
            <w:pPr>
              <w:rPr>
                <w:rFonts w:cs="Arial"/>
                <w:color w:val="000000"/>
                <w:szCs w:val="22"/>
              </w:rPr>
            </w:pPr>
          </w:p>
        </w:tc>
      </w:tr>
      <w:tr w:rsidR="00571CCB" w:rsidRPr="00BD1B20" w14:paraId="744711C0" w14:textId="77777777" w:rsidTr="00571CCB">
        <w:trPr>
          <w:trHeight w:val="300"/>
        </w:trPr>
        <w:tc>
          <w:tcPr>
            <w:tcW w:w="2397" w:type="dxa"/>
            <w:tcBorders>
              <w:top w:val="nil"/>
              <w:left w:val="nil"/>
              <w:bottom w:val="nil"/>
              <w:right w:val="nil"/>
            </w:tcBorders>
            <w:shd w:val="clear" w:color="auto" w:fill="auto"/>
            <w:hideMark/>
          </w:tcPr>
          <w:p w14:paraId="2C4F933C" w14:textId="77777777" w:rsidR="00571CCB" w:rsidRPr="00BD1B20" w:rsidRDefault="00571CCB" w:rsidP="00571CCB">
            <w:pPr>
              <w:rPr>
                <w:rFonts w:cs="Arial"/>
                <w:color w:val="000000"/>
                <w:szCs w:val="22"/>
              </w:rPr>
            </w:pPr>
            <w:r w:rsidRPr="00BD1B20">
              <w:rPr>
                <w:rFonts w:cs="Arial"/>
                <w:color w:val="000000"/>
                <w:szCs w:val="22"/>
              </w:rPr>
              <w:t>Budget Monitoring</w:t>
            </w:r>
          </w:p>
        </w:tc>
        <w:tc>
          <w:tcPr>
            <w:tcW w:w="1692" w:type="dxa"/>
            <w:tcBorders>
              <w:top w:val="nil"/>
              <w:left w:val="nil"/>
              <w:bottom w:val="nil"/>
              <w:right w:val="nil"/>
            </w:tcBorders>
            <w:shd w:val="clear" w:color="auto" w:fill="auto"/>
          </w:tcPr>
          <w:p w14:paraId="03D0277D" w14:textId="77777777" w:rsidR="00571CCB" w:rsidRPr="00BD1B20" w:rsidRDefault="00571CCB" w:rsidP="00571CCB">
            <w:pPr>
              <w:rPr>
                <w:rFonts w:cs="Arial"/>
                <w:color w:val="000000"/>
                <w:szCs w:val="22"/>
              </w:rPr>
            </w:pPr>
          </w:p>
        </w:tc>
        <w:tc>
          <w:tcPr>
            <w:tcW w:w="11220" w:type="dxa"/>
            <w:tcBorders>
              <w:top w:val="nil"/>
              <w:left w:val="nil"/>
              <w:bottom w:val="nil"/>
              <w:right w:val="nil"/>
            </w:tcBorders>
            <w:shd w:val="clear" w:color="auto" w:fill="auto"/>
            <w:hideMark/>
          </w:tcPr>
          <w:p w14:paraId="63878CD9" w14:textId="77777777" w:rsidR="00571CCB" w:rsidRDefault="00571CCB" w:rsidP="00571CCB">
            <w:pPr>
              <w:rPr>
                <w:rFonts w:cs="Arial"/>
                <w:color w:val="000000"/>
                <w:szCs w:val="22"/>
              </w:rPr>
            </w:pPr>
            <w:r w:rsidRPr="00BD1B20">
              <w:rPr>
                <w:rFonts w:cs="Arial"/>
                <w:color w:val="000000"/>
                <w:szCs w:val="22"/>
              </w:rPr>
              <w:t>To re-establish budget monitoring reports to aid budget holders after a further analysis of the report content is undertaken. Reports will be tailored to ensure that they meet the needs of the service area.</w:t>
            </w:r>
          </w:p>
          <w:p w14:paraId="623341A3" w14:textId="77777777" w:rsidR="00571CCB" w:rsidRDefault="00571CCB" w:rsidP="00571CCB">
            <w:pPr>
              <w:rPr>
                <w:rFonts w:cs="Arial"/>
                <w:color w:val="000000"/>
                <w:szCs w:val="22"/>
              </w:rPr>
            </w:pPr>
          </w:p>
          <w:p w14:paraId="6369FE21" w14:textId="77777777" w:rsidR="00571CCB" w:rsidRPr="00BD1B20" w:rsidRDefault="00571CCB" w:rsidP="00571CCB">
            <w:pPr>
              <w:rPr>
                <w:rFonts w:cs="Arial"/>
                <w:color w:val="000000"/>
                <w:szCs w:val="22"/>
              </w:rPr>
            </w:pPr>
          </w:p>
        </w:tc>
      </w:tr>
      <w:tr w:rsidR="00571CCB" w:rsidRPr="00BD1B20" w14:paraId="12ABBB4D" w14:textId="77777777" w:rsidTr="00571CCB">
        <w:trPr>
          <w:trHeight w:val="300"/>
        </w:trPr>
        <w:tc>
          <w:tcPr>
            <w:tcW w:w="2397" w:type="dxa"/>
            <w:tcBorders>
              <w:top w:val="nil"/>
              <w:left w:val="nil"/>
              <w:bottom w:val="nil"/>
              <w:right w:val="nil"/>
            </w:tcBorders>
            <w:shd w:val="clear" w:color="auto" w:fill="auto"/>
          </w:tcPr>
          <w:p w14:paraId="6580E3D1" w14:textId="77777777" w:rsidR="00571CCB" w:rsidRPr="00BD1B20" w:rsidRDefault="00571CCB" w:rsidP="00571CCB">
            <w:pPr>
              <w:rPr>
                <w:rFonts w:cs="Arial"/>
                <w:color w:val="000000"/>
                <w:szCs w:val="22"/>
              </w:rPr>
            </w:pPr>
          </w:p>
        </w:tc>
        <w:tc>
          <w:tcPr>
            <w:tcW w:w="1692" w:type="dxa"/>
            <w:tcBorders>
              <w:top w:val="nil"/>
              <w:left w:val="nil"/>
              <w:bottom w:val="nil"/>
              <w:right w:val="nil"/>
            </w:tcBorders>
            <w:shd w:val="clear" w:color="auto" w:fill="auto"/>
          </w:tcPr>
          <w:p w14:paraId="1CB0A684" w14:textId="77777777" w:rsidR="00571CCB" w:rsidRPr="00BD1B20" w:rsidRDefault="00571CCB" w:rsidP="00571CCB">
            <w:pPr>
              <w:rPr>
                <w:rFonts w:cs="Arial"/>
                <w:color w:val="000000"/>
                <w:szCs w:val="22"/>
              </w:rPr>
            </w:pPr>
          </w:p>
        </w:tc>
        <w:tc>
          <w:tcPr>
            <w:tcW w:w="11220" w:type="dxa"/>
            <w:tcBorders>
              <w:top w:val="nil"/>
              <w:left w:val="nil"/>
              <w:bottom w:val="nil"/>
              <w:right w:val="nil"/>
            </w:tcBorders>
            <w:shd w:val="clear" w:color="auto" w:fill="auto"/>
          </w:tcPr>
          <w:p w14:paraId="3FF0C469" w14:textId="77777777" w:rsidR="00571CCB" w:rsidRPr="00BD1B20" w:rsidRDefault="00571CCB" w:rsidP="00571CCB">
            <w:pPr>
              <w:rPr>
                <w:rFonts w:cs="Arial"/>
                <w:color w:val="000000"/>
                <w:szCs w:val="22"/>
              </w:rPr>
            </w:pPr>
          </w:p>
        </w:tc>
      </w:tr>
      <w:tr w:rsidR="00571CCB" w:rsidRPr="00BD1B20" w14:paraId="475C1E26" w14:textId="77777777" w:rsidTr="00571CCB">
        <w:trPr>
          <w:trHeight w:val="300"/>
        </w:trPr>
        <w:tc>
          <w:tcPr>
            <w:tcW w:w="2397" w:type="dxa"/>
            <w:tcBorders>
              <w:top w:val="nil"/>
              <w:left w:val="nil"/>
              <w:bottom w:val="nil"/>
              <w:right w:val="nil"/>
            </w:tcBorders>
            <w:shd w:val="clear" w:color="auto" w:fill="auto"/>
            <w:hideMark/>
          </w:tcPr>
          <w:p w14:paraId="613D3391" w14:textId="77777777" w:rsidR="00571CCB" w:rsidRPr="00BD1B20" w:rsidRDefault="00571CCB" w:rsidP="00571CCB">
            <w:pPr>
              <w:rPr>
                <w:rFonts w:cs="Arial"/>
                <w:color w:val="000000"/>
                <w:szCs w:val="22"/>
              </w:rPr>
            </w:pPr>
            <w:r w:rsidRPr="00BD1B20">
              <w:rPr>
                <w:rFonts w:cs="Arial"/>
                <w:color w:val="000000"/>
                <w:szCs w:val="22"/>
              </w:rPr>
              <w:t xml:space="preserve">GDPR </w:t>
            </w:r>
          </w:p>
        </w:tc>
        <w:tc>
          <w:tcPr>
            <w:tcW w:w="1692" w:type="dxa"/>
            <w:tcBorders>
              <w:top w:val="nil"/>
              <w:left w:val="nil"/>
              <w:bottom w:val="nil"/>
              <w:right w:val="nil"/>
            </w:tcBorders>
            <w:shd w:val="clear" w:color="auto" w:fill="auto"/>
          </w:tcPr>
          <w:p w14:paraId="03F01D2B" w14:textId="77777777" w:rsidR="00571CCB" w:rsidRPr="00BD1B20" w:rsidRDefault="00571CCB" w:rsidP="00571CCB">
            <w:pPr>
              <w:rPr>
                <w:rFonts w:cs="Arial"/>
                <w:color w:val="000000"/>
                <w:szCs w:val="22"/>
              </w:rPr>
            </w:pPr>
          </w:p>
        </w:tc>
        <w:tc>
          <w:tcPr>
            <w:tcW w:w="11220" w:type="dxa"/>
            <w:tcBorders>
              <w:top w:val="nil"/>
              <w:left w:val="nil"/>
              <w:bottom w:val="nil"/>
              <w:right w:val="nil"/>
            </w:tcBorders>
            <w:shd w:val="clear" w:color="auto" w:fill="auto"/>
            <w:hideMark/>
          </w:tcPr>
          <w:p w14:paraId="2D9BA5C8" w14:textId="77777777" w:rsidR="00571CCB" w:rsidRDefault="00571CCB" w:rsidP="00571CCB">
            <w:pPr>
              <w:rPr>
                <w:rFonts w:cs="Arial"/>
                <w:color w:val="000000"/>
                <w:szCs w:val="22"/>
              </w:rPr>
            </w:pPr>
            <w:r w:rsidRPr="00BD1B20">
              <w:rPr>
                <w:rFonts w:cs="Arial"/>
                <w:color w:val="000000"/>
                <w:szCs w:val="22"/>
              </w:rPr>
              <w:t>The GDPR Leadership Group should undertake a full review to ensure that the register is up to date with data responsibilities correctly defined and continue to monitor and expedite the outstanding data disposal actions to ensure they are implemented imminently.</w:t>
            </w:r>
          </w:p>
          <w:p w14:paraId="4733B51C" w14:textId="77777777" w:rsidR="00571CCB" w:rsidRDefault="00571CCB" w:rsidP="00571CCB">
            <w:pPr>
              <w:rPr>
                <w:rFonts w:cs="Arial"/>
                <w:color w:val="000000"/>
                <w:szCs w:val="22"/>
              </w:rPr>
            </w:pPr>
          </w:p>
          <w:p w14:paraId="25B7C9A4" w14:textId="77777777" w:rsidR="00571CCB" w:rsidRDefault="00571CCB" w:rsidP="00571CCB">
            <w:pPr>
              <w:rPr>
                <w:rFonts w:cs="Arial"/>
                <w:color w:val="000000"/>
                <w:szCs w:val="22"/>
              </w:rPr>
            </w:pPr>
          </w:p>
          <w:p w14:paraId="16BF6396" w14:textId="77777777" w:rsidR="00571CCB" w:rsidRPr="00BD1B20" w:rsidRDefault="00571CCB" w:rsidP="00571CCB">
            <w:pPr>
              <w:rPr>
                <w:rFonts w:cs="Arial"/>
                <w:color w:val="000000"/>
                <w:szCs w:val="22"/>
              </w:rPr>
            </w:pPr>
          </w:p>
        </w:tc>
      </w:tr>
      <w:tr w:rsidR="00571CCB" w:rsidRPr="00BD1B20" w14:paraId="295825B2" w14:textId="77777777" w:rsidTr="00571CCB">
        <w:trPr>
          <w:trHeight w:val="300"/>
        </w:trPr>
        <w:tc>
          <w:tcPr>
            <w:tcW w:w="2397" w:type="dxa"/>
            <w:tcBorders>
              <w:top w:val="nil"/>
              <w:left w:val="nil"/>
              <w:bottom w:val="nil"/>
              <w:right w:val="nil"/>
            </w:tcBorders>
            <w:shd w:val="clear" w:color="auto" w:fill="auto"/>
            <w:hideMark/>
          </w:tcPr>
          <w:p w14:paraId="33FD7B89" w14:textId="77777777" w:rsidR="00571CCB" w:rsidRPr="00BD1B20" w:rsidRDefault="00571CCB" w:rsidP="00571CCB">
            <w:pPr>
              <w:rPr>
                <w:rFonts w:cs="Arial"/>
                <w:color w:val="000000"/>
                <w:szCs w:val="22"/>
              </w:rPr>
            </w:pPr>
            <w:r w:rsidRPr="00BD1B20">
              <w:rPr>
                <w:rFonts w:cs="Arial"/>
                <w:color w:val="000000"/>
                <w:szCs w:val="22"/>
              </w:rPr>
              <w:t xml:space="preserve">Equality </w:t>
            </w:r>
          </w:p>
        </w:tc>
        <w:tc>
          <w:tcPr>
            <w:tcW w:w="1692" w:type="dxa"/>
            <w:tcBorders>
              <w:top w:val="nil"/>
              <w:left w:val="nil"/>
              <w:bottom w:val="nil"/>
              <w:right w:val="nil"/>
            </w:tcBorders>
            <w:shd w:val="clear" w:color="auto" w:fill="auto"/>
          </w:tcPr>
          <w:p w14:paraId="1E79078B" w14:textId="77777777" w:rsidR="00571CCB" w:rsidRPr="00BD1B20" w:rsidRDefault="00571CCB" w:rsidP="00571CCB">
            <w:pPr>
              <w:rPr>
                <w:rFonts w:cs="Arial"/>
                <w:color w:val="000000"/>
                <w:szCs w:val="22"/>
              </w:rPr>
            </w:pPr>
          </w:p>
        </w:tc>
        <w:tc>
          <w:tcPr>
            <w:tcW w:w="11220" w:type="dxa"/>
            <w:tcBorders>
              <w:top w:val="nil"/>
              <w:left w:val="nil"/>
              <w:bottom w:val="nil"/>
              <w:right w:val="nil"/>
            </w:tcBorders>
            <w:shd w:val="clear" w:color="auto" w:fill="auto"/>
            <w:hideMark/>
          </w:tcPr>
          <w:p w14:paraId="242331FF" w14:textId="77777777" w:rsidR="00571CCB" w:rsidRDefault="00571CCB" w:rsidP="00571CCB">
            <w:pPr>
              <w:rPr>
                <w:rFonts w:cs="Arial"/>
                <w:color w:val="000000"/>
                <w:szCs w:val="22"/>
              </w:rPr>
            </w:pPr>
            <w:r w:rsidRPr="00BD1B20">
              <w:rPr>
                <w:rFonts w:cs="Arial"/>
                <w:color w:val="000000"/>
                <w:szCs w:val="22"/>
              </w:rPr>
              <w:t>The equality scheme should be revised and refreshed including revised equality objectives to ensure that it is up to date and fit for purpose.</w:t>
            </w:r>
          </w:p>
          <w:p w14:paraId="7541B696" w14:textId="77777777" w:rsidR="00571CCB" w:rsidRDefault="00571CCB" w:rsidP="00571CCB">
            <w:pPr>
              <w:rPr>
                <w:rFonts w:cs="Arial"/>
                <w:color w:val="000000"/>
                <w:szCs w:val="22"/>
              </w:rPr>
            </w:pPr>
          </w:p>
          <w:p w14:paraId="7506861C" w14:textId="77777777" w:rsidR="00571CCB" w:rsidRPr="00BD1B20" w:rsidRDefault="00571CCB" w:rsidP="00571CCB">
            <w:pPr>
              <w:rPr>
                <w:rFonts w:cs="Arial"/>
                <w:color w:val="000000"/>
                <w:szCs w:val="22"/>
              </w:rPr>
            </w:pPr>
          </w:p>
          <w:p w14:paraId="1653D67D" w14:textId="77777777" w:rsidR="00571CCB" w:rsidRPr="00BD1B20" w:rsidRDefault="00571CCB" w:rsidP="00571CCB">
            <w:pPr>
              <w:rPr>
                <w:rFonts w:cs="Arial"/>
                <w:color w:val="000000"/>
                <w:szCs w:val="22"/>
              </w:rPr>
            </w:pPr>
          </w:p>
        </w:tc>
      </w:tr>
      <w:tr w:rsidR="00571CCB" w:rsidRPr="00BD1B20" w14:paraId="6811AB74" w14:textId="77777777" w:rsidTr="00571CCB">
        <w:trPr>
          <w:trHeight w:val="300"/>
        </w:trPr>
        <w:tc>
          <w:tcPr>
            <w:tcW w:w="2397" w:type="dxa"/>
            <w:tcBorders>
              <w:top w:val="nil"/>
              <w:left w:val="nil"/>
              <w:bottom w:val="nil"/>
              <w:right w:val="nil"/>
            </w:tcBorders>
            <w:shd w:val="clear" w:color="auto" w:fill="auto"/>
            <w:hideMark/>
          </w:tcPr>
          <w:p w14:paraId="35AADE8E" w14:textId="77777777" w:rsidR="00571CCB" w:rsidRPr="00BD1B20" w:rsidRDefault="00571CCB" w:rsidP="00571CCB">
            <w:pPr>
              <w:rPr>
                <w:rFonts w:cs="Arial"/>
                <w:color w:val="000000"/>
                <w:szCs w:val="22"/>
              </w:rPr>
            </w:pPr>
            <w:r w:rsidRPr="00BD1B20">
              <w:rPr>
                <w:rFonts w:cs="Arial"/>
                <w:color w:val="000000"/>
                <w:szCs w:val="22"/>
              </w:rPr>
              <w:t>Key Corporate Policies</w:t>
            </w:r>
          </w:p>
        </w:tc>
        <w:tc>
          <w:tcPr>
            <w:tcW w:w="1692" w:type="dxa"/>
            <w:tcBorders>
              <w:top w:val="nil"/>
              <w:left w:val="nil"/>
              <w:bottom w:val="nil"/>
              <w:right w:val="nil"/>
            </w:tcBorders>
            <w:shd w:val="clear" w:color="auto" w:fill="auto"/>
          </w:tcPr>
          <w:p w14:paraId="7728AC99" w14:textId="77777777" w:rsidR="00571CCB" w:rsidRPr="00BD1B20" w:rsidRDefault="00571CCB" w:rsidP="00571CCB">
            <w:pPr>
              <w:rPr>
                <w:rFonts w:cs="Arial"/>
                <w:color w:val="000000"/>
                <w:szCs w:val="22"/>
              </w:rPr>
            </w:pPr>
          </w:p>
        </w:tc>
        <w:tc>
          <w:tcPr>
            <w:tcW w:w="11220" w:type="dxa"/>
            <w:tcBorders>
              <w:top w:val="nil"/>
              <w:left w:val="nil"/>
              <w:bottom w:val="nil"/>
              <w:right w:val="nil"/>
            </w:tcBorders>
            <w:shd w:val="clear" w:color="auto" w:fill="auto"/>
            <w:hideMark/>
          </w:tcPr>
          <w:p w14:paraId="6E726091" w14:textId="77777777" w:rsidR="00571CCB" w:rsidRDefault="00571CCB" w:rsidP="00571CCB">
            <w:pPr>
              <w:rPr>
                <w:rFonts w:cs="Arial"/>
                <w:color w:val="000000"/>
                <w:szCs w:val="22"/>
              </w:rPr>
            </w:pPr>
            <w:r w:rsidRPr="00BD1B20">
              <w:rPr>
                <w:rFonts w:cs="Arial"/>
                <w:color w:val="000000"/>
                <w:szCs w:val="22"/>
              </w:rPr>
              <w:t>Devise and implement a corporate process to ensure all staff revisit key policies so a good level of awareness is maintained across the organisation.</w:t>
            </w:r>
          </w:p>
          <w:p w14:paraId="34EF8599" w14:textId="77777777" w:rsidR="00571CCB" w:rsidRDefault="00571CCB" w:rsidP="00571CCB">
            <w:pPr>
              <w:rPr>
                <w:rFonts w:cs="Arial"/>
                <w:color w:val="000000"/>
                <w:szCs w:val="22"/>
              </w:rPr>
            </w:pPr>
          </w:p>
          <w:p w14:paraId="63E52036" w14:textId="77777777" w:rsidR="00571CCB" w:rsidRPr="00BD1B20" w:rsidRDefault="00571CCB" w:rsidP="00571CCB">
            <w:pPr>
              <w:rPr>
                <w:rFonts w:cs="Arial"/>
                <w:color w:val="000000"/>
                <w:szCs w:val="22"/>
              </w:rPr>
            </w:pPr>
          </w:p>
        </w:tc>
      </w:tr>
      <w:tr w:rsidR="00571CCB" w:rsidRPr="00BD1B20" w14:paraId="3EA88202" w14:textId="77777777" w:rsidTr="00571CCB">
        <w:trPr>
          <w:trHeight w:val="300"/>
        </w:trPr>
        <w:tc>
          <w:tcPr>
            <w:tcW w:w="2397" w:type="dxa"/>
            <w:tcBorders>
              <w:top w:val="nil"/>
              <w:left w:val="nil"/>
              <w:bottom w:val="nil"/>
              <w:right w:val="nil"/>
            </w:tcBorders>
            <w:shd w:val="clear" w:color="auto" w:fill="auto"/>
            <w:hideMark/>
          </w:tcPr>
          <w:p w14:paraId="08EB7A4E" w14:textId="77777777" w:rsidR="00571CCB" w:rsidRPr="00BD1B20" w:rsidRDefault="00571CCB" w:rsidP="00571CCB">
            <w:pPr>
              <w:rPr>
                <w:rFonts w:cs="Arial"/>
                <w:color w:val="000000"/>
                <w:szCs w:val="22"/>
              </w:rPr>
            </w:pPr>
            <w:r w:rsidRPr="00BD1B20">
              <w:rPr>
                <w:rFonts w:cs="Arial"/>
                <w:color w:val="000000"/>
                <w:szCs w:val="22"/>
              </w:rPr>
              <w:t>Value for Money</w:t>
            </w:r>
          </w:p>
        </w:tc>
        <w:tc>
          <w:tcPr>
            <w:tcW w:w="1692" w:type="dxa"/>
            <w:tcBorders>
              <w:top w:val="nil"/>
              <w:left w:val="nil"/>
              <w:bottom w:val="nil"/>
              <w:right w:val="nil"/>
            </w:tcBorders>
            <w:shd w:val="clear" w:color="auto" w:fill="auto"/>
          </w:tcPr>
          <w:p w14:paraId="4CBFAACC" w14:textId="77777777" w:rsidR="00571CCB" w:rsidRPr="00BD1B20" w:rsidRDefault="00571CCB" w:rsidP="00571CCB">
            <w:pPr>
              <w:rPr>
                <w:rFonts w:cs="Arial"/>
                <w:color w:val="000000"/>
                <w:szCs w:val="22"/>
              </w:rPr>
            </w:pPr>
          </w:p>
        </w:tc>
        <w:tc>
          <w:tcPr>
            <w:tcW w:w="11220" w:type="dxa"/>
            <w:tcBorders>
              <w:top w:val="nil"/>
              <w:left w:val="nil"/>
              <w:bottom w:val="nil"/>
              <w:right w:val="nil"/>
            </w:tcBorders>
            <w:shd w:val="clear" w:color="auto" w:fill="auto"/>
            <w:hideMark/>
          </w:tcPr>
          <w:p w14:paraId="7008313E" w14:textId="77777777" w:rsidR="00571CCB" w:rsidRDefault="00571CCB" w:rsidP="00571CCB">
            <w:pPr>
              <w:rPr>
                <w:rFonts w:cs="Arial"/>
                <w:color w:val="000000"/>
                <w:szCs w:val="22"/>
              </w:rPr>
            </w:pPr>
            <w:r w:rsidRPr="00BD1B20">
              <w:rPr>
                <w:rFonts w:cs="Arial"/>
                <w:color w:val="000000"/>
                <w:szCs w:val="22"/>
              </w:rPr>
              <w:t>Adopt an organisation wide Transformation Strategy &amp; Programme incorporating a value for money elements to deliver efficient services through service reviews and shared services.</w:t>
            </w:r>
          </w:p>
          <w:p w14:paraId="05560F43" w14:textId="77777777" w:rsidR="00571CCB" w:rsidRDefault="00571CCB" w:rsidP="00571CCB">
            <w:pPr>
              <w:rPr>
                <w:rFonts w:cs="Arial"/>
                <w:color w:val="000000"/>
                <w:szCs w:val="22"/>
              </w:rPr>
            </w:pPr>
          </w:p>
          <w:p w14:paraId="51943B01" w14:textId="77777777" w:rsidR="00571CCB" w:rsidRPr="00BD1B20" w:rsidRDefault="00571CCB" w:rsidP="00571CCB">
            <w:pPr>
              <w:rPr>
                <w:rFonts w:cs="Arial"/>
                <w:color w:val="000000"/>
                <w:szCs w:val="22"/>
              </w:rPr>
            </w:pPr>
          </w:p>
        </w:tc>
      </w:tr>
      <w:tr w:rsidR="00571CCB" w:rsidRPr="00BD1B20" w14:paraId="7645D4ED" w14:textId="77777777" w:rsidTr="00571CCB">
        <w:trPr>
          <w:trHeight w:val="300"/>
        </w:trPr>
        <w:tc>
          <w:tcPr>
            <w:tcW w:w="2397" w:type="dxa"/>
            <w:tcBorders>
              <w:top w:val="nil"/>
              <w:left w:val="nil"/>
              <w:bottom w:val="nil"/>
              <w:right w:val="nil"/>
            </w:tcBorders>
            <w:shd w:val="clear" w:color="auto" w:fill="auto"/>
            <w:hideMark/>
          </w:tcPr>
          <w:p w14:paraId="61906F1A" w14:textId="77777777" w:rsidR="00571CCB" w:rsidRPr="00BD1B20" w:rsidRDefault="00571CCB" w:rsidP="00571CCB">
            <w:pPr>
              <w:rPr>
                <w:rFonts w:cs="Arial"/>
                <w:color w:val="000000"/>
                <w:szCs w:val="22"/>
              </w:rPr>
            </w:pPr>
            <w:r w:rsidRPr="00BD1B20">
              <w:rPr>
                <w:rFonts w:cs="Arial"/>
                <w:color w:val="000000"/>
                <w:szCs w:val="22"/>
              </w:rPr>
              <w:t>Inventories</w:t>
            </w:r>
          </w:p>
        </w:tc>
        <w:tc>
          <w:tcPr>
            <w:tcW w:w="1692" w:type="dxa"/>
            <w:tcBorders>
              <w:top w:val="nil"/>
              <w:left w:val="nil"/>
              <w:bottom w:val="nil"/>
              <w:right w:val="nil"/>
            </w:tcBorders>
            <w:shd w:val="clear" w:color="auto" w:fill="auto"/>
          </w:tcPr>
          <w:p w14:paraId="7D031341" w14:textId="77777777" w:rsidR="00571CCB" w:rsidRPr="00BD1B20" w:rsidRDefault="00571CCB" w:rsidP="00571CCB">
            <w:pPr>
              <w:rPr>
                <w:rFonts w:cs="Arial"/>
                <w:color w:val="000000"/>
                <w:szCs w:val="22"/>
              </w:rPr>
            </w:pPr>
          </w:p>
        </w:tc>
        <w:tc>
          <w:tcPr>
            <w:tcW w:w="11220" w:type="dxa"/>
            <w:tcBorders>
              <w:top w:val="nil"/>
              <w:left w:val="nil"/>
              <w:bottom w:val="nil"/>
              <w:right w:val="nil"/>
            </w:tcBorders>
            <w:shd w:val="clear" w:color="auto" w:fill="auto"/>
            <w:hideMark/>
          </w:tcPr>
          <w:p w14:paraId="7A06AA82" w14:textId="77777777" w:rsidR="00571CCB" w:rsidRDefault="00571CCB" w:rsidP="00571CCB">
            <w:pPr>
              <w:rPr>
                <w:rFonts w:cs="Arial"/>
                <w:color w:val="000000"/>
                <w:szCs w:val="22"/>
              </w:rPr>
            </w:pPr>
            <w:r w:rsidRPr="00BD1B20">
              <w:rPr>
                <w:rFonts w:cs="Arial"/>
                <w:color w:val="000000"/>
                <w:szCs w:val="22"/>
              </w:rPr>
              <w:t>Directors to ensure that inventories are compiled and maintained in accordance with the Councils guidance notes for service unit fixed assets registers.</w:t>
            </w:r>
          </w:p>
          <w:p w14:paraId="6CC82DD7" w14:textId="77777777" w:rsidR="00571CCB" w:rsidRDefault="00571CCB" w:rsidP="00571CCB">
            <w:pPr>
              <w:rPr>
                <w:rFonts w:cs="Arial"/>
                <w:color w:val="000000"/>
                <w:szCs w:val="22"/>
              </w:rPr>
            </w:pPr>
          </w:p>
          <w:p w14:paraId="5693919B" w14:textId="77777777" w:rsidR="00571CCB" w:rsidRPr="00BD1B20" w:rsidRDefault="00571CCB" w:rsidP="00571CCB">
            <w:pPr>
              <w:rPr>
                <w:rFonts w:cs="Arial"/>
                <w:color w:val="000000"/>
                <w:szCs w:val="22"/>
              </w:rPr>
            </w:pPr>
          </w:p>
        </w:tc>
      </w:tr>
      <w:tr w:rsidR="00571CCB" w:rsidRPr="00BD1B20" w14:paraId="3A2B15CA" w14:textId="77777777" w:rsidTr="00571CCB">
        <w:trPr>
          <w:trHeight w:val="561"/>
        </w:trPr>
        <w:tc>
          <w:tcPr>
            <w:tcW w:w="2397" w:type="dxa"/>
            <w:tcBorders>
              <w:top w:val="nil"/>
              <w:left w:val="nil"/>
              <w:bottom w:val="nil"/>
              <w:right w:val="nil"/>
            </w:tcBorders>
            <w:shd w:val="clear" w:color="auto" w:fill="auto"/>
            <w:hideMark/>
          </w:tcPr>
          <w:p w14:paraId="70067E55" w14:textId="77777777" w:rsidR="00571CCB" w:rsidRPr="00BD1B20" w:rsidRDefault="001C71EF" w:rsidP="00571CCB">
            <w:pPr>
              <w:rPr>
                <w:rFonts w:cs="Arial"/>
                <w:color w:val="000000"/>
                <w:szCs w:val="22"/>
              </w:rPr>
            </w:pPr>
            <w:hyperlink r:id="rId118" w:history="1">
              <w:r w:rsidR="00571CCB" w:rsidRPr="00BD1B20">
                <w:rPr>
                  <w:rStyle w:val="Hyperlink"/>
                  <w:rFonts w:cs="Arial"/>
                  <w:szCs w:val="22"/>
                </w:rPr>
                <w:t>Transparency Act</w:t>
              </w:r>
            </w:hyperlink>
          </w:p>
        </w:tc>
        <w:tc>
          <w:tcPr>
            <w:tcW w:w="1692" w:type="dxa"/>
            <w:tcBorders>
              <w:top w:val="nil"/>
              <w:left w:val="nil"/>
              <w:bottom w:val="nil"/>
              <w:right w:val="nil"/>
            </w:tcBorders>
            <w:shd w:val="clear" w:color="auto" w:fill="auto"/>
          </w:tcPr>
          <w:p w14:paraId="442974FF" w14:textId="77777777" w:rsidR="00571CCB" w:rsidRPr="00BD1B20" w:rsidRDefault="00571CCB" w:rsidP="00571CCB">
            <w:pPr>
              <w:rPr>
                <w:rFonts w:cs="Arial"/>
                <w:szCs w:val="22"/>
              </w:rPr>
            </w:pPr>
          </w:p>
        </w:tc>
        <w:tc>
          <w:tcPr>
            <w:tcW w:w="11220" w:type="dxa"/>
            <w:tcBorders>
              <w:top w:val="nil"/>
              <w:left w:val="nil"/>
              <w:bottom w:val="nil"/>
              <w:right w:val="nil"/>
            </w:tcBorders>
            <w:shd w:val="clear" w:color="auto" w:fill="auto"/>
            <w:hideMark/>
          </w:tcPr>
          <w:p w14:paraId="057A26B1" w14:textId="77777777" w:rsidR="00571CCB" w:rsidRPr="00BD1B20" w:rsidRDefault="00571CCB" w:rsidP="00571CCB">
            <w:pPr>
              <w:rPr>
                <w:rFonts w:cs="Arial"/>
                <w:color w:val="000000"/>
                <w:szCs w:val="22"/>
              </w:rPr>
            </w:pPr>
            <w:r w:rsidRPr="00BD1B20">
              <w:rPr>
                <w:rFonts w:cs="Arial"/>
                <w:color w:val="000000"/>
                <w:szCs w:val="22"/>
              </w:rPr>
              <w:t>Publish up to date information and include all mandatory criteria.</w:t>
            </w:r>
          </w:p>
        </w:tc>
      </w:tr>
    </w:tbl>
    <w:p w14:paraId="21EFB6C8" w14:textId="77777777" w:rsidR="00571CCB" w:rsidRPr="00ED2D4F" w:rsidRDefault="00571CCB" w:rsidP="00571CCB">
      <w:pPr>
        <w:ind w:left="360"/>
        <w:rPr>
          <w:rFonts w:cs="Arial"/>
          <w:b/>
          <w:snapToGrid w:val="0"/>
          <w:sz w:val="28"/>
          <w:szCs w:val="28"/>
        </w:rPr>
      </w:pPr>
      <w:r>
        <w:rPr>
          <w:rFonts w:cs="Arial"/>
          <w:b/>
          <w:snapToGrid w:val="0"/>
          <w:sz w:val="28"/>
          <w:szCs w:val="28"/>
        </w:rPr>
        <w:br w:type="textWrapping" w:clear="all"/>
      </w:r>
    </w:p>
    <w:p w14:paraId="0443ECAE" w14:textId="77777777" w:rsidR="00571CCB" w:rsidRDefault="00571CCB" w:rsidP="00571CCB">
      <w:pPr>
        <w:rPr>
          <w:rFonts w:cs="Arial"/>
          <w:bCs/>
          <w:snapToGrid w:val="0"/>
          <w:szCs w:val="22"/>
        </w:rPr>
      </w:pPr>
      <w:r>
        <w:rPr>
          <w:rFonts w:cs="Arial"/>
          <w:bCs/>
          <w:snapToGrid w:val="0"/>
          <w:szCs w:val="22"/>
        </w:rPr>
        <w:t xml:space="preserve">When considering the </w:t>
      </w:r>
      <w:proofErr w:type="gramStart"/>
      <w:r>
        <w:rPr>
          <w:rFonts w:cs="Arial"/>
          <w:bCs/>
          <w:snapToGrid w:val="0"/>
          <w:szCs w:val="22"/>
        </w:rPr>
        <w:t>issues</w:t>
      </w:r>
      <w:proofErr w:type="gramEnd"/>
      <w:r>
        <w:rPr>
          <w:rFonts w:cs="Arial"/>
          <w:bCs/>
          <w:snapToGrid w:val="0"/>
          <w:szCs w:val="22"/>
        </w:rPr>
        <w:t xml:space="preserve"> it is important to note that the some go to the embedding of the improved governance environment. </w:t>
      </w:r>
    </w:p>
    <w:p w14:paraId="3CDB7068" w14:textId="77777777" w:rsidR="00571CCB" w:rsidRDefault="00571CCB" w:rsidP="00E948BF">
      <w:pPr>
        <w:pStyle w:val="ListParagraph"/>
        <w:numPr>
          <w:ilvl w:val="0"/>
          <w:numId w:val="41"/>
        </w:numPr>
        <w:spacing w:after="200" w:line="276" w:lineRule="auto"/>
        <w:contextualSpacing/>
        <w:rPr>
          <w:rFonts w:cs="Arial"/>
          <w:bCs/>
          <w:snapToGrid w:val="0"/>
        </w:rPr>
      </w:pPr>
      <w:r w:rsidRPr="00BE77FF">
        <w:rPr>
          <w:rFonts w:cs="Arial"/>
          <w:bCs/>
          <w:snapToGrid w:val="0"/>
        </w:rPr>
        <w:t xml:space="preserve">Policy documents are there, but not easily accessible. </w:t>
      </w:r>
    </w:p>
    <w:p w14:paraId="49740B2A" w14:textId="77777777" w:rsidR="00571CCB" w:rsidRDefault="00571CCB" w:rsidP="00E948BF">
      <w:pPr>
        <w:pStyle w:val="ListParagraph"/>
        <w:numPr>
          <w:ilvl w:val="0"/>
          <w:numId w:val="41"/>
        </w:numPr>
        <w:spacing w:after="200" w:line="276" w:lineRule="auto"/>
        <w:contextualSpacing/>
        <w:rPr>
          <w:rFonts w:cs="Arial"/>
          <w:bCs/>
          <w:snapToGrid w:val="0"/>
        </w:rPr>
      </w:pPr>
      <w:r w:rsidRPr="00BE77FF">
        <w:rPr>
          <w:rFonts w:cs="Arial"/>
          <w:bCs/>
          <w:snapToGrid w:val="0"/>
        </w:rPr>
        <w:t xml:space="preserve">Asset registers are kept but they are not centralised or published correctly. </w:t>
      </w:r>
    </w:p>
    <w:p w14:paraId="03DD2BBE" w14:textId="77777777" w:rsidR="00571CCB" w:rsidRDefault="00571CCB" w:rsidP="00E948BF">
      <w:pPr>
        <w:pStyle w:val="ListParagraph"/>
        <w:numPr>
          <w:ilvl w:val="0"/>
          <w:numId w:val="41"/>
        </w:numPr>
        <w:spacing w:after="200" w:line="276" w:lineRule="auto"/>
        <w:contextualSpacing/>
        <w:rPr>
          <w:rFonts w:cs="Arial"/>
          <w:bCs/>
          <w:snapToGrid w:val="0"/>
        </w:rPr>
      </w:pPr>
      <w:r w:rsidRPr="00BE77FF">
        <w:rPr>
          <w:rFonts w:cs="Arial"/>
          <w:bCs/>
          <w:snapToGrid w:val="0"/>
        </w:rPr>
        <w:t xml:space="preserve">The personal development review process was only introduced this year and remains paper based rather than digital. </w:t>
      </w:r>
    </w:p>
    <w:p w14:paraId="56E3D790" w14:textId="77777777" w:rsidR="00571CCB" w:rsidRDefault="00571CCB" w:rsidP="00571CCB">
      <w:pPr>
        <w:rPr>
          <w:rFonts w:cs="Arial"/>
          <w:bCs/>
          <w:snapToGrid w:val="0"/>
        </w:rPr>
      </w:pPr>
      <w:r w:rsidRPr="00BE77FF">
        <w:rPr>
          <w:rFonts w:cs="Arial"/>
          <w:bCs/>
          <w:snapToGrid w:val="0"/>
        </w:rPr>
        <w:t xml:space="preserve">It should also be recognised that these issues have already been </w:t>
      </w:r>
      <w:r>
        <w:rPr>
          <w:rFonts w:cs="Arial"/>
          <w:bCs/>
          <w:snapToGrid w:val="0"/>
        </w:rPr>
        <w:t>identified for improvement.</w:t>
      </w:r>
    </w:p>
    <w:p w14:paraId="7DD18A59" w14:textId="77777777" w:rsidR="00571CCB" w:rsidRDefault="00571CCB" w:rsidP="00E948BF">
      <w:pPr>
        <w:pStyle w:val="ListParagraph"/>
        <w:numPr>
          <w:ilvl w:val="0"/>
          <w:numId w:val="42"/>
        </w:numPr>
        <w:spacing w:after="200" w:line="276" w:lineRule="auto"/>
        <w:contextualSpacing/>
        <w:rPr>
          <w:rFonts w:cs="Arial"/>
          <w:bCs/>
          <w:snapToGrid w:val="0"/>
        </w:rPr>
      </w:pPr>
      <w:r>
        <w:rPr>
          <w:rFonts w:cs="Arial"/>
          <w:bCs/>
          <w:snapToGrid w:val="0"/>
        </w:rPr>
        <w:t>T</w:t>
      </w:r>
      <w:r w:rsidRPr="00BE77FF">
        <w:rPr>
          <w:rFonts w:cs="Arial"/>
          <w:bCs/>
          <w:snapToGrid w:val="0"/>
        </w:rPr>
        <w:t xml:space="preserve">he </w:t>
      </w:r>
      <w:r>
        <w:rPr>
          <w:rFonts w:cs="Arial"/>
          <w:bCs/>
          <w:snapToGrid w:val="0"/>
        </w:rPr>
        <w:t>i</w:t>
      </w:r>
      <w:r w:rsidRPr="00BE77FF">
        <w:rPr>
          <w:rFonts w:cs="Arial"/>
          <w:bCs/>
          <w:snapToGrid w:val="0"/>
        </w:rPr>
        <w:t>nduction for staff process under review</w:t>
      </w:r>
      <w:r>
        <w:rPr>
          <w:rFonts w:cs="Arial"/>
          <w:bCs/>
          <w:snapToGrid w:val="0"/>
        </w:rPr>
        <w:t>;</w:t>
      </w:r>
      <w:r w:rsidRPr="00BE77FF">
        <w:rPr>
          <w:rFonts w:cs="Arial"/>
          <w:bCs/>
          <w:snapToGrid w:val="0"/>
        </w:rPr>
        <w:t xml:space="preserve"> </w:t>
      </w:r>
    </w:p>
    <w:p w14:paraId="6AB56CC5" w14:textId="77777777" w:rsidR="00571CCB" w:rsidRDefault="00571CCB" w:rsidP="00571CCB">
      <w:pPr>
        <w:rPr>
          <w:rFonts w:cs="Arial"/>
          <w:bCs/>
          <w:snapToGrid w:val="0"/>
        </w:rPr>
      </w:pPr>
      <w:r w:rsidRPr="00AB453F">
        <w:rPr>
          <w:rFonts w:cs="Arial"/>
          <w:bCs/>
          <w:snapToGrid w:val="0"/>
        </w:rPr>
        <w:t xml:space="preserve">It is also clear that some actions reflect the changes in working environment imposed by </w:t>
      </w:r>
      <w:proofErr w:type="spellStart"/>
      <w:r w:rsidRPr="00AB453F">
        <w:rPr>
          <w:rFonts w:cs="Arial"/>
          <w:bCs/>
          <w:snapToGrid w:val="0"/>
        </w:rPr>
        <w:t>Covid</w:t>
      </w:r>
      <w:proofErr w:type="spellEnd"/>
      <w:r w:rsidRPr="00AB453F">
        <w:rPr>
          <w:rFonts w:cs="Arial"/>
          <w:bCs/>
          <w:snapToGrid w:val="0"/>
        </w:rPr>
        <w:t xml:space="preserve"> and remote working as well as the management structure changes implemented. </w:t>
      </w:r>
    </w:p>
    <w:p w14:paraId="4D1AA5E5" w14:textId="77777777" w:rsidR="00571CCB" w:rsidRDefault="00571CCB" w:rsidP="00E948BF">
      <w:pPr>
        <w:pStyle w:val="ListParagraph"/>
        <w:numPr>
          <w:ilvl w:val="0"/>
          <w:numId w:val="43"/>
        </w:numPr>
        <w:spacing w:after="200" w:line="276" w:lineRule="auto"/>
        <w:contextualSpacing/>
        <w:rPr>
          <w:rFonts w:cs="Arial"/>
          <w:bCs/>
          <w:snapToGrid w:val="0"/>
        </w:rPr>
      </w:pPr>
      <w:r>
        <w:rPr>
          <w:rFonts w:cs="Arial"/>
          <w:bCs/>
          <w:snapToGrid w:val="0"/>
        </w:rPr>
        <w:t>GDPR compliance cannot be demonstrated, which in part must be due to the absence from the office;</w:t>
      </w:r>
    </w:p>
    <w:p w14:paraId="125B245A" w14:textId="77777777" w:rsidR="00571CCB" w:rsidRPr="00AB453F" w:rsidRDefault="00571CCB" w:rsidP="00E948BF">
      <w:pPr>
        <w:pStyle w:val="ListParagraph"/>
        <w:numPr>
          <w:ilvl w:val="0"/>
          <w:numId w:val="43"/>
        </w:numPr>
        <w:spacing w:after="200" w:line="276" w:lineRule="auto"/>
        <w:contextualSpacing/>
        <w:rPr>
          <w:rFonts w:cs="Arial"/>
          <w:bCs/>
          <w:snapToGrid w:val="0"/>
        </w:rPr>
      </w:pPr>
      <w:r>
        <w:rPr>
          <w:rFonts w:cs="Arial"/>
          <w:bCs/>
          <w:snapToGrid w:val="0"/>
        </w:rPr>
        <w:t>Budget monitoring has not taken place due to changes in responsibility.</w:t>
      </w:r>
    </w:p>
    <w:p w14:paraId="4D8E4239" w14:textId="77777777" w:rsidR="00571CCB" w:rsidRDefault="00571CCB" w:rsidP="00571CCB">
      <w:pPr>
        <w:rPr>
          <w:rFonts w:eastAsia="Calibri" w:cs="Arial"/>
          <w:szCs w:val="22"/>
          <w:lang w:eastAsia="en-US"/>
        </w:rPr>
      </w:pPr>
      <w:r>
        <w:rPr>
          <w:rFonts w:eastAsia="Calibri" w:cs="Arial"/>
          <w:szCs w:val="22"/>
          <w:lang w:eastAsia="en-US"/>
        </w:rPr>
        <w:t>All the improvements identified will be considered by the Senior Management Team. The actions agreed will have individual implementation plans and allocated to a Responsible Officer. Each plan will be placed on the GRACE system and progress will be reviewed by SMT and ultimately reported to Governance Committee.</w:t>
      </w:r>
      <w:r>
        <w:rPr>
          <w:rFonts w:eastAsia="Calibri" w:cs="Arial"/>
          <w:szCs w:val="22"/>
          <w:lang w:eastAsia="en-US"/>
        </w:rPr>
        <w:br w:type="page"/>
      </w:r>
    </w:p>
    <w:p w14:paraId="658F6104" w14:textId="77777777" w:rsidR="00571CCB" w:rsidRPr="003322A5" w:rsidRDefault="00571CCB" w:rsidP="00571CCB">
      <w:pPr>
        <w:autoSpaceDE w:val="0"/>
        <w:autoSpaceDN w:val="0"/>
        <w:adjustRightInd w:val="0"/>
        <w:rPr>
          <w:rFonts w:cs="Arial"/>
          <w:b/>
          <w:bCs/>
          <w:szCs w:val="22"/>
        </w:rPr>
      </w:pPr>
      <w:r w:rsidRPr="003322A5">
        <w:rPr>
          <w:rFonts w:cs="Arial"/>
          <w:b/>
          <w:bCs/>
          <w:szCs w:val="22"/>
        </w:rPr>
        <w:t>6. Conclusion</w:t>
      </w:r>
    </w:p>
    <w:p w14:paraId="4889CE43" w14:textId="77777777" w:rsidR="00571CCB" w:rsidRPr="003322A5" w:rsidRDefault="00571CCB" w:rsidP="00571CCB">
      <w:pPr>
        <w:autoSpaceDE w:val="0"/>
        <w:autoSpaceDN w:val="0"/>
        <w:adjustRightInd w:val="0"/>
        <w:rPr>
          <w:rFonts w:cs="Arial"/>
          <w:bCs/>
          <w:szCs w:val="22"/>
        </w:rPr>
      </w:pPr>
    </w:p>
    <w:p w14:paraId="69BACB2F" w14:textId="77777777" w:rsidR="00571CCB" w:rsidRPr="003322A5" w:rsidRDefault="00571CCB" w:rsidP="00571CCB">
      <w:pPr>
        <w:autoSpaceDE w:val="0"/>
        <w:autoSpaceDN w:val="0"/>
        <w:adjustRightInd w:val="0"/>
        <w:rPr>
          <w:rFonts w:cs="Arial"/>
          <w:bCs/>
          <w:szCs w:val="22"/>
        </w:rPr>
      </w:pPr>
      <w:r w:rsidRPr="003322A5">
        <w:rPr>
          <w:rFonts w:cs="Arial"/>
          <w:bCs/>
          <w:szCs w:val="22"/>
        </w:rPr>
        <w:t xml:space="preserve">The council is fully committed to ensuring that its governance arrangements are and continue to be as robust as possible. As part of that process the council will monitor implementation of all actions set out in our Action Plan. </w:t>
      </w:r>
    </w:p>
    <w:p w14:paraId="3E11CB07" w14:textId="77777777" w:rsidR="00571CCB" w:rsidRDefault="00571CCB" w:rsidP="00571CCB">
      <w:pPr>
        <w:autoSpaceDE w:val="0"/>
        <w:autoSpaceDN w:val="0"/>
        <w:adjustRightInd w:val="0"/>
        <w:rPr>
          <w:rFonts w:cs="Arial"/>
          <w:bCs/>
          <w:szCs w:val="22"/>
        </w:rPr>
      </w:pPr>
    </w:p>
    <w:p w14:paraId="4BA6962C" w14:textId="77777777" w:rsidR="00571CCB" w:rsidRDefault="00571CCB" w:rsidP="00571CCB">
      <w:pPr>
        <w:autoSpaceDE w:val="0"/>
        <w:autoSpaceDN w:val="0"/>
        <w:adjustRightInd w:val="0"/>
        <w:rPr>
          <w:rFonts w:cs="Arial"/>
          <w:bCs/>
          <w:szCs w:val="22"/>
        </w:rPr>
      </w:pPr>
    </w:p>
    <w:p w14:paraId="50DBEC87" w14:textId="77777777" w:rsidR="00571CCB" w:rsidRPr="002510FC" w:rsidRDefault="00571CCB" w:rsidP="00571CCB">
      <w:pPr>
        <w:autoSpaceDE w:val="0"/>
        <w:autoSpaceDN w:val="0"/>
        <w:adjustRightInd w:val="0"/>
        <w:rPr>
          <w:rFonts w:cs="Arial"/>
          <w:bCs/>
          <w:szCs w:val="22"/>
        </w:rPr>
      </w:pPr>
    </w:p>
    <w:p w14:paraId="200DC904" w14:textId="77777777" w:rsidR="00571CCB" w:rsidRPr="002510FC" w:rsidRDefault="00571CCB" w:rsidP="00571CCB">
      <w:pPr>
        <w:rPr>
          <w:snapToGrid w:val="0"/>
          <w:lang w:eastAsia="en-US"/>
        </w:rPr>
      </w:pPr>
    </w:p>
    <w:p w14:paraId="4BE56D5A" w14:textId="77777777" w:rsidR="00571CCB" w:rsidRPr="002510FC" w:rsidRDefault="00571CCB" w:rsidP="00571CCB">
      <w:pPr>
        <w:rPr>
          <w:snapToGrid w:val="0"/>
          <w:lang w:eastAsia="en-US"/>
        </w:rPr>
      </w:pPr>
    </w:p>
    <w:p w14:paraId="3BA0F9CD" w14:textId="77777777" w:rsidR="00571CCB" w:rsidRPr="002510FC" w:rsidRDefault="00571CCB" w:rsidP="00571CCB">
      <w:pPr>
        <w:rPr>
          <w:snapToGrid w:val="0"/>
          <w:lang w:eastAsia="en-US"/>
        </w:rPr>
      </w:pPr>
      <w:r w:rsidRPr="002510FC">
        <w:rPr>
          <w:snapToGrid w:val="0"/>
          <w:lang w:eastAsia="en-US"/>
        </w:rPr>
        <w:t>……………………………………</w:t>
      </w:r>
      <w:r w:rsidRPr="002510FC">
        <w:rPr>
          <w:snapToGrid w:val="0"/>
          <w:lang w:eastAsia="en-US"/>
        </w:rPr>
        <w:tab/>
      </w:r>
      <w:r w:rsidRPr="002510FC">
        <w:rPr>
          <w:snapToGrid w:val="0"/>
          <w:lang w:eastAsia="en-US"/>
        </w:rPr>
        <w:tab/>
      </w:r>
      <w:r w:rsidRPr="002510FC">
        <w:rPr>
          <w:snapToGrid w:val="0"/>
          <w:lang w:eastAsia="en-US"/>
        </w:rPr>
        <w:tab/>
      </w:r>
      <w:r w:rsidRPr="002510FC">
        <w:rPr>
          <w:snapToGrid w:val="0"/>
          <w:lang w:eastAsia="en-US"/>
        </w:rPr>
        <w:tab/>
        <w:t>……………………………………….</w:t>
      </w:r>
    </w:p>
    <w:p w14:paraId="299BFABA" w14:textId="77777777" w:rsidR="00571CCB" w:rsidRPr="002510FC" w:rsidRDefault="00571CCB" w:rsidP="00571CCB">
      <w:pPr>
        <w:rPr>
          <w:snapToGrid w:val="0"/>
          <w:lang w:eastAsia="en-US"/>
        </w:rPr>
      </w:pPr>
    </w:p>
    <w:p w14:paraId="5FEE6F76" w14:textId="77777777" w:rsidR="00571CCB" w:rsidRPr="002510FC" w:rsidRDefault="00571CCB" w:rsidP="00571CCB">
      <w:pPr>
        <w:rPr>
          <w:snapToGrid w:val="0"/>
          <w:lang w:eastAsia="en-US"/>
        </w:rPr>
      </w:pPr>
      <w:r w:rsidRPr="002510FC">
        <w:rPr>
          <w:snapToGrid w:val="0"/>
          <w:lang w:eastAsia="en-US"/>
        </w:rPr>
        <w:t>Leader of the Council</w:t>
      </w:r>
      <w:r w:rsidRPr="002510FC">
        <w:rPr>
          <w:snapToGrid w:val="0"/>
          <w:lang w:eastAsia="en-US"/>
        </w:rPr>
        <w:tab/>
      </w:r>
      <w:r w:rsidRPr="002510FC">
        <w:rPr>
          <w:snapToGrid w:val="0"/>
          <w:lang w:eastAsia="en-US"/>
        </w:rPr>
        <w:tab/>
      </w:r>
      <w:r w:rsidRPr="002510FC">
        <w:rPr>
          <w:snapToGrid w:val="0"/>
          <w:lang w:eastAsia="en-US"/>
        </w:rPr>
        <w:tab/>
      </w:r>
      <w:r w:rsidRPr="002510FC">
        <w:rPr>
          <w:snapToGrid w:val="0"/>
          <w:lang w:eastAsia="en-US"/>
        </w:rPr>
        <w:tab/>
      </w:r>
      <w:r w:rsidRPr="002510FC">
        <w:rPr>
          <w:snapToGrid w:val="0"/>
          <w:lang w:eastAsia="en-US"/>
        </w:rPr>
        <w:tab/>
      </w:r>
      <w:r w:rsidRPr="002510FC">
        <w:rPr>
          <w:snapToGrid w:val="0"/>
          <w:lang w:eastAsia="en-US"/>
        </w:rPr>
        <w:tab/>
        <w:t>Chief Executive</w:t>
      </w:r>
    </w:p>
    <w:p w14:paraId="5936DD0E" w14:textId="77777777" w:rsidR="00571CCB" w:rsidRPr="002510FC" w:rsidRDefault="00571CCB" w:rsidP="00571CCB">
      <w:pPr>
        <w:rPr>
          <w:snapToGrid w:val="0"/>
          <w:lang w:eastAsia="en-US"/>
        </w:rPr>
      </w:pPr>
    </w:p>
    <w:p w14:paraId="28CB3E1A" w14:textId="77777777" w:rsidR="00571CCB" w:rsidRPr="002510FC" w:rsidRDefault="00571CCB" w:rsidP="00571CCB">
      <w:pPr>
        <w:rPr>
          <w:snapToGrid w:val="0"/>
          <w:lang w:eastAsia="en-US"/>
        </w:rPr>
      </w:pPr>
    </w:p>
    <w:p w14:paraId="181A2106" w14:textId="77777777" w:rsidR="00571CCB" w:rsidRPr="002510FC" w:rsidRDefault="00571CCB" w:rsidP="00571CCB">
      <w:pPr>
        <w:rPr>
          <w:snapToGrid w:val="0"/>
          <w:lang w:eastAsia="en-US"/>
        </w:rPr>
      </w:pPr>
    </w:p>
    <w:p w14:paraId="3D7191C9" w14:textId="77777777" w:rsidR="00571CCB" w:rsidRPr="002510FC" w:rsidRDefault="00571CCB" w:rsidP="00571CCB">
      <w:r w:rsidRPr="002510FC">
        <w:rPr>
          <w:rFonts w:ascii="Sabon-Roman" w:hAnsi="Sabon-Roman"/>
          <w:snapToGrid w:val="0"/>
          <w:lang w:eastAsia="en-US"/>
        </w:rPr>
        <w:t xml:space="preserve">Date: ……………….…………. </w:t>
      </w:r>
    </w:p>
    <w:p w14:paraId="48F2A51C" w14:textId="77777777" w:rsidR="00571CCB" w:rsidRPr="002510FC" w:rsidRDefault="00571CCB" w:rsidP="00571CCB"/>
    <w:p w14:paraId="1FB4FBE4" w14:textId="77777777" w:rsidR="00571CCB" w:rsidRPr="002510FC" w:rsidRDefault="00571CCB" w:rsidP="00571CCB"/>
    <w:p w14:paraId="7D300FB3" w14:textId="77777777" w:rsidR="00571CCB" w:rsidRPr="006A11D0" w:rsidRDefault="00571CCB" w:rsidP="00571CCB">
      <w:pPr>
        <w:pStyle w:val="BodyText2"/>
        <w:rPr>
          <w:rFonts w:ascii="News Gothic MT" w:hAnsi="News Gothic MT"/>
        </w:rPr>
      </w:pPr>
      <w:r w:rsidRPr="002510FC">
        <w:rPr>
          <w:rFonts w:cs="Arial"/>
        </w:rPr>
        <w:t xml:space="preserve">On behalf of the Members and Senior Officers of South </w:t>
      </w:r>
      <w:proofErr w:type="spellStart"/>
      <w:r w:rsidRPr="002510FC">
        <w:rPr>
          <w:rFonts w:cs="Arial"/>
        </w:rPr>
        <w:t>Ribble</w:t>
      </w:r>
      <w:proofErr w:type="spellEnd"/>
      <w:r w:rsidRPr="002510FC">
        <w:rPr>
          <w:rFonts w:cs="Arial"/>
        </w:rPr>
        <w:t xml:space="preserve"> Borough Council.</w:t>
      </w:r>
      <w:r w:rsidRPr="002510FC">
        <w:rPr>
          <w:b/>
        </w:rPr>
        <w:br w:type="page"/>
      </w:r>
    </w:p>
    <w:p w14:paraId="37D736DF" w14:textId="77777777" w:rsidR="00571CCB" w:rsidRPr="006A11D0" w:rsidRDefault="00571CCB" w:rsidP="00571CCB">
      <w:pPr>
        <w:jc w:val="center"/>
        <w:rPr>
          <w:b/>
          <w:u w:val="single"/>
        </w:rPr>
      </w:pPr>
      <w:r w:rsidRPr="006A11D0">
        <w:rPr>
          <w:b/>
          <w:u w:val="single"/>
        </w:rPr>
        <w:t xml:space="preserve">GLOSSARY </w:t>
      </w:r>
    </w:p>
    <w:p w14:paraId="5660D1C4" w14:textId="77777777" w:rsidR="00571CCB" w:rsidRPr="006A11D0" w:rsidRDefault="00571CCB" w:rsidP="00571CCB">
      <w:pPr>
        <w:jc w:val="center"/>
        <w:rPr>
          <w:b/>
          <w:u w:val="single"/>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975"/>
      </w:tblGrid>
      <w:tr w:rsidR="00571CCB" w:rsidRPr="006A11D0" w14:paraId="71B3688A" w14:textId="77777777" w:rsidTr="00571CCB">
        <w:tc>
          <w:tcPr>
            <w:tcW w:w="2518" w:type="dxa"/>
          </w:tcPr>
          <w:p w14:paraId="5B5C345A" w14:textId="77777777" w:rsidR="00571CCB" w:rsidRPr="006A11D0" w:rsidRDefault="00571CCB" w:rsidP="00571CCB">
            <w:r w:rsidRPr="006A11D0">
              <w:t>Annual Audit Letter</w:t>
            </w:r>
          </w:p>
        </w:tc>
        <w:tc>
          <w:tcPr>
            <w:tcW w:w="6975" w:type="dxa"/>
          </w:tcPr>
          <w:p w14:paraId="7B514CF7" w14:textId="77777777" w:rsidR="00571CCB" w:rsidRPr="006A11D0" w:rsidRDefault="00571CCB" w:rsidP="00571CCB">
            <w:r w:rsidRPr="006A11D0">
              <w:t>An External Audit report presented to Council and containing the findings of the Audit Commission’s work.  It is a requirement of the Code of Practice for Auditors.</w:t>
            </w:r>
          </w:p>
          <w:p w14:paraId="79028BA0" w14:textId="77777777" w:rsidR="00571CCB" w:rsidRPr="006A11D0" w:rsidRDefault="00571CCB" w:rsidP="00571CCB"/>
        </w:tc>
      </w:tr>
      <w:tr w:rsidR="00571CCB" w:rsidRPr="006A11D0" w14:paraId="03016FB8" w14:textId="77777777" w:rsidTr="00571CCB">
        <w:tc>
          <w:tcPr>
            <w:tcW w:w="2518" w:type="dxa"/>
          </w:tcPr>
          <w:p w14:paraId="0ABE7A3C" w14:textId="77777777" w:rsidR="00571CCB" w:rsidRPr="006A11D0" w:rsidRDefault="00571CCB" w:rsidP="00571CCB">
            <w:pPr>
              <w:rPr>
                <w:b/>
                <w:u w:val="single"/>
              </w:rPr>
            </w:pPr>
            <w:r w:rsidRPr="006A11D0">
              <w:t>Assurance</w:t>
            </w:r>
          </w:p>
        </w:tc>
        <w:tc>
          <w:tcPr>
            <w:tcW w:w="6975" w:type="dxa"/>
          </w:tcPr>
          <w:p w14:paraId="48640C44" w14:textId="77777777" w:rsidR="00571CCB" w:rsidRPr="006A11D0" w:rsidRDefault="00571CCB" w:rsidP="00571CCB">
            <w:pPr>
              <w:ind w:left="-250" w:hanging="34"/>
            </w:pPr>
            <w:r w:rsidRPr="006A11D0">
              <w:t xml:space="preserve">     An evaluated opinion based on evidence and gained from review.</w:t>
            </w:r>
          </w:p>
          <w:p w14:paraId="41375695" w14:textId="77777777" w:rsidR="00571CCB" w:rsidRPr="006A11D0" w:rsidRDefault="00571CCB" w:rsidP="00571CCB">
            <w:pPr>
              <w:rPr>
                <w:b/>
                <w:u w:val="single"/>
              </w:rPr>
            </w:pPr>
          </w:p>
        </w:tc>
      </w:tr>
      <w:tr w:rsidR="00571CCB" w:rsidRPr="006A11D0" w14:paraId="30CAC4EA" w14:textId="77777777" w:rsidTr="00571CCB">
        <w:tc>
          <w:tcPr>
            <w:tcW w:w="2518" w:type="dxa"/>
          </w:tcPr>
          <w:p w14:paraId="6927944C" w14:textId="77777777" w:rsidR="00571CCB" w:rsidRPr="006A11D0" w:rsidRDefault="00571CCB" w:rsidP="00571CCB">
            <w:r w:rsidRPr="006A11D0">
              <w:t>CIPFA</w:t>
            </w:r>
          </w:p>
        </w:tc>
        <w:tc>
          <w:tcPr>
            <w:tcW w:w="6975" w:type="dxa"/>
          </w:tcPr>
          <w:p w14:paraId="2E711921" w14:textId="77777777" w:rsidR="00571CCB" w:rsidRPr="006A11D0" w:rsidRDefault="00571CCB" w:rsidP="00571CCB">
            <w:r w:rsidRPr="006A11D0">
              <w:t xml:space="preserve">Chartered Institute of Public Finance and Accountancy </w:t>
            </w:r>
          </w:p>
          <w:p w14:paraId="43DDD896" w14:textId="77777777" w:rsidR="00571CCB" w:rsidRPr="006A11D0" w:rsidRDefault="00571CCB" w:rsidP="00571CCB"/>
        </w:tc>
      </w:tr>
      <w:tr w:rsidR="00571CCB" w:rsidRPr="006A11D0" w14:paraId="3D52FABB" w14:textId="77777777" w:rsidTr="00571CCB">
        <w:tc>
          <w:tcPr>
            <w:tcW w:w="2518" w:type="dxa"/>
          </w:tcPr>
          <w:p w14:paraId="6DF1175A" w14:textId="77777777" w:rsidR="00571CCB" w:rsidRPr="006A11D0" w:rsidRDefault="00571CCB" w:rsidP="00571CCB">
            <w:r w:rsidRPr="006A11D0">
              <w:t>Control Environment</w:t>
            </w:r>
          </w:p>
          <w:p w14:paraId="5519C96F" w14:textId="77777777" w:rsidR="00571CCB" w:rsidRPr="006A11D0" w:rsidRDefault="00571CCB" w:rsidP="00571CCB">
            <w:r w:rsidRPr="006A11D0">
              <w:t>System of Internal Control</w:t>
            </w:r>
          </w:p>
          <w:p w14:paraId="59519D56" w14:textId="77777777" w:rsidR="00571CCB" w:rsidRPr="006A11D0" w:rsidRDefault="00571CCB" w:rsidP="00571CCB"/>
        </w:tc>
        <w:tc>
          <w:tcPr>
            <w:tcW w:w="6975" w:type="dxa"/>
          </w:tcPr>
          <w:p w14:paraId="2B0DC94E" w14:textId="77777777" w:rsidR="00571CCB" w:rsidRPr="006A11D0" w:rsidRDefault="00571CCB" w:rsidP="00571CCB">
            <w:pPr>
              <w:autoSpaceDE w:val="0"/>
              <w:autoSpaceDN w:val="0"/>
              <w:adjustRightInd w:val="0"/>
              <w:rPr>
                <w:rFonts w:cs="Arial"/>
                <w:szCs w:val="22"/>
              </w:rPr>
            </w:pPr>
            <w:r w:rsidRPr="006A11D0">
              <w:rPr>
                <w:rFonts w:cs="Arial"/>
                <w:szCs w:val="22"/>
              </w:rPr>
              <w:t xml:space="preserve">Comprises the organisation’s policies, procedures and operations in place </w:t>
            </w:r>
            <w:proofErr w:type="gramStart"/>
            <w:r w:rsidRPr="006A11D0">
              <w:rPr>
                <w:rFonts w:cs="Arial"/>
                <w:szCs w:val="22"/>
              </w:rPr>
              <w:t>to :</w:t>
            </w:r>
            <w:proofErr w:type="gramEnd"/>
          </w:p>
          <w:p w14:paraId="4AF07FBD" w14:textId="77777777" w:rsidR="00571CCB" w:rsidRPr="006A11D0" w:rsidRDefault="00571CCB" w:rsidP="00571CCB">
            <w:pPr>
              <w:autoSpaceDE w:val="0"/>
              <w:autoSpaceDN w:val="0"/>
              <w:adjustRightInd w:val="0"/>
              <w:rPr>
                <w:rFonts w:cs="Arial"/>
                <w:szCs w:val="22"/>
              </w:rPr>
            </w:pPr>
            <w:r w:rsidRPr="006A11D0">
              <w:rPr>
                <w:rFonts w:cs="Arial"/>
                <w:szCs w:val="22"/>
              </w:rPr>
              <w:t>Establish and monitor the achievement of the organisation’s priorities; Identify, assess and manage the risks to achieving the organisation’s objectives; Facilitate policy and decision making; Ensure the economical, effective and efficient use of resources; Ensure compliance with policies, legislation and regulations; Safeguard the organisation’s assets; Ensure the integrity and reliability of information, accounts and data.</w:t>
            </w:r>
          </w:p>
          <w:p w14:paraId="07615DAA" w14:textId="77777777" w:rsidR="00571CCB" w:rsidRPr="006A11D0" w:rsidRDefault="00571CCB" w:rsidP="00571CCB">
            <w:pPr>
              <w:autoSpaceDE w:val="0"/>
              <w:autoSpaceDN w:val="0"/>
              <w:adjustRightInd w:val="0"/>
              <w:rPr>
                <w:rFonts w:cs="Arial"/>
                <w:szCs w:val="22"/>
              </w:rPr>
            </w:pPr>
          </w:p>
        </w:tc>
      </w:tr>
      <w:tr w:rsidR="00571CCB" w:rsidRPr="006A11D0" w14:paraId="2553F3D3" w14:textId="77777777" w:rsidTr="00571CCB">
        <w:tc>
          <w:tcPr>
            <w:tcW w:w="2518" w:type="dxa"/>
          </w:tcPr>
          <w:p w14:paraId="3369A5B6" w14:textId="77777777" w:rsidR="00571CCB" w:rsidRPr="006A11D0" w:rsidRDefault="00571CCB" w:rsidP="00571CCB">
            <w:r w:rsidRPr="006A11D0">
              <w:t xml:space="preserve">Corporate Governance           </w:t>
            </w:r>
          </w:p>
        </w:tc>
        <w:tc>
          <w:tcPr>
            <w:tcW w:w="6975" w:type="dxa"/>
          </w:tcPr>
          <w:p w14:paraId="7706FF6C" w14:textId="77777777" w:rsidR="00571CCB" w:rsidRPr="006A11D0" w:rsidRDefault="00571CCB" w:rsidP="00571CCB">
            <w:pPr>
              <w:ind w:hanging="108"/>
            </w:pPr>
            <w:r w:rsidRPr="006A11D0">
              <w:t xml:space="preserve"> Corporate governance is the system by which local authorities direct and control their functions and relate to their communities.</w:t>
            </w:r>
          </w:p>
          <w:p w14:paraId="6281B6F0" w14:textId="77777777" w:rsidR="00571CCB" w:rsidRPr="006A11D0" w:rsidRDefault="00571CCB" w:rsidP="00571CCB">
            <w:pPr>
              <w:ind w:left="-108"/>
            </w:pPr>
          </w:p>
        </w:tc>
      </w:tr>
      <w:tr w:rsidR="00571CCB" w:rsidRPr="006A11D0" w14:paraId="139C1C08" w14:textId="77777777" w:rsidTr="00571CCB">
        <w:tc>
          <w:tcPr>
            <w:tcW w:w="2518" w:type="dxa"/>
          </w:tcPr>
          <w:p w14:paraId="20BDA8F1" w14:textId="77777777" w:rsidR="00571CCB" w:rsidRPr="006A11D0" w:rsidRDefault="00571CCB" w:rsidP="00571CCB">
            <w:r w:rsidRPr="006A11D0">
              <w:t>Corporate Governance Group</w:t>
            </w:r>
          </w:p>
        </w:tc>
        <w:tc>
          <w:tcPr>
            <w:tcW w:w="6975" w:type="dxa"/>
          </w:tcPr>
          <w:p w14:paraId="2706DD60" w14:textId="77777777" w:rsidR="00571CCB" w:rsidRPr="006A11D0" w:rsidRDefault="00571CCB" w:rsidP="00571CCB">
            <w:pPr>
              <w:ind w:hanging="108"/>
            </w:pPr>
            <w:r w:rsidRPr="006A11D0">
              <w:t xml:space="preserve"> </w:t>
            </w:r>
            <w:r w:rsidRPr="00BC6990">
              <w:t>In 201</w:t>
            </w:r>
            <w:r>
              <w:t>7</w:t>
            </w:r>
            <w:r w:rsidRPr="00BC6990">
              <w:t xml:space="preserve"> this</w:t>
            </w:r>
            <w:r w:rsidRPr="006A11D0">
              <w:t xml:space="preserve"> involved the following officers: Chief Executive</w:t>
            </w:r>
            <w:r>
              <w:t xml:space="preserve">; </w:t>
            </w:r>
            <w:r w:rsidRPr="006A11D0">
              <w:t xml:space="preserve">Section 151 Officer; Monitoring Officer; </w:t>
            </w:r>
            <w:r>
              <w:t>Head of Shared Assurance; Corporate Governance Manager; Corporate Improvement Manager.</w:t>
            </w:r>
          </w:p>
          <w:p w14:paraId="4D676BB7" w14:textId="77777777" w:rsidR="00571CCB" w:rsidRPr="006A11D0" w:rsidRDefault="00571CCB" w:rsidP="00571CCB">
            <w:pPr>
              <w:ind w:left="-108"/>
            </w:pPr>
            <w:r w:rsidRPr="006A11D0">
              <w:tab/>
            </w:r>
          </w:p>
        </w:tc>
      </w:tr>
      <w:tr w:rsidR="00571CCB" w:rsidRPr="006A11D0" w14:paraId="432A72E3" w14:textId="77777777" w:rsidTr="00571CCB">
        <w:tc>
          <w:tcPr>
            <w:tcW w:w="2518" w:type="dxa"/>
          </w:tcPr>
          <w:p w14:paraId="66EC1C7F" w14:textId="77777777" w:rsidR="00571CCB" w:rsidRPr="006A11D0" w:rsidRDefault="00571CCB" w:rsidP="00571CCB">
            <w:r w:rsidRPr="006A11D0">
              <w:t>SOLACE</w:t>
            </w:r>
          </w:p>
        </w:tc>
        <w:tc>
          <w:tcPr>
            <w:tcW w:w="6975" w:type="dxa"/>
          </w:tcPr>
          <w:p w14:paraId="0B0E19D1" w14:textId="77777777" w:rsidR="00571CCB" w:rsidRPr="006A11D0" w:rsidRDefault="00571CCB" w:rsidP="00571CCB">
            <w:r w:rsidRPr="006A11D0">
              <w:t>Society of Local Authority Chief Executives</w:t>
            </w:r>
          </w:p>
          <w:p w14:paraId="37012D0F" w14:textId="77777777" w:rsidR="00571CCB" w:rsidRPr="006A11D0" w:rsidRDefault="00571CCB" w:rsidP="00571CCB"/>
        </w:tc>
      </w:tr>
    </w:tbl>
    <w:p w14:paraId="4E865185" w14:textId="77777777" w:rsidR="00571CCB" w:rsidRPr="006A11D0" w:rsidRDefault="00571CCB" w:rsidP="00571CCB"/>
    <w:p w14:paraId="11F23A1B" w14:textId="77777777" w:rsidR="00571CCB" w:rsidRDefault="00571CCB" w:rsidP="00571CCB"/>
    <w:p w14:paraId="14ABC8AC" w14:textId="77777777" w:rsidR="00571CCB" w:rsidRDefault="00571CCB" w:rsidP="00571CCB">
      <w:pPr>
        <w:jc w:val="center"/>
      </w:pPr>
    </w:p>
    <w:p w14:paraId="19C73CFD" w14:textId="77777777" w:rsidR="00CD4B9F" w:rsidRDefault="00CD4B9F" w:rsidP="00613790">
      <w:pPr>
        <w:widowControl w:val="0"/>
        <w:tabs>
          <w:tab w:val="left" w:pos="426"/>
          <w:tab w:val="left" w:pos="2881"/>
        </w:tabs>
        <w:rPr>
          <w:rFonts w:cs="Arial"/>
          <w:szCs w:val="22"/>
        </w:rPr>
      </w:pPr>
    </w:p>
    <w:p w14:paraId="40572F94" w14:textId="77777777" w:rsidR="00CD4B9F" w:rsidRDefault="00CD4B9F" w:rsidP="00613790">
      <w:pPr>
        <w:widowControl w:val="0"/>
        <w:tabs>
          <w:tab w:val="left" w:pos="426"/>
          <w:tab w:val="left" w:pos="2881"/>
        </w:tabs>
        <w:rPr>
          <w:rFonts w:cs="Arial"/>
          <w:szCs w:val="22"/>
        </w:rPr>
      </w:pPr>
    </w:p>
    <w:p w14:paraId="6BC92937" w14:textId="77777777" w:rsidR="00CD4B9F" w:rsidRDefault="00CD4B9F" w:rsidP="00613790">
      <w:pPr>
        <w:widowControl w:val="0"/>
        <w:tabs>
          <w:tab w:val="left" w:pos="426"/>
          <w:tab w:val="left" w:pos="2881"/>
        </w:tabs>
        <w:rPr>
          <w:rFonts w:cs="Arial"/>
          <w:szCs w:val="22"/>
        </w:rPr>
      </w:pPr>
    </w:p>
    <w:p w14:paraId="1F3F04C4" w14:textId="77777777" w:rsidR="00CD4B9F" w:rsidRDefault="00CD4B9F" w:rsidP="00613790">
      <w:pPr>
        <w:widowControl w:val="0"/>
        <w:tabs>
          <w:tab w:val="left" w:pos="426"/>
          <w:tab w:val="left" w:pos="2881"/>
        </w:tabs>
        <w:rPr>
          <w:rFonts w:cs="Arial"/>
          <w:szCs w:val="22"/>
        </w:rPr>
      </w:pPr>
    </w:p>
    <w:p w14:paraId="4FA68854" w14:textId="77777777" w:rsidR="00546414" w:rsidRDefault="00546414" w:rsidP="00613790">
      <w:pPr>
        <w:widowControl w:val="0"/>
        <w:tabs>
          <w:tab w:val="left" w:pos="426"/>
          <w:tab w:val="left" w:pos="2881"/>
        </w:tabs>
        <w:rPr>
          <w:rFonts w:cs="Arial"/>
          <w:szCs w:val="22"/>
        </w:rPr>
        <w:sectPr w:rsidR="00546414" w:rsidSect="00546414">
          <w:pgSz w:w="16838" w:h="11906" w:orient="landscape"/>
          <w:pgMar w:top="1134" w:right="1134" w:bottom="1134" w:left="1134" w:header="567" w:footer="567" w:gutter="0"/>
          <w:cols w:space="720"/>
          <w:docGrid w:linePitch="360"/>
        </w:sectPr>
      </w:pPr>
    </w:p>
    <w:p w14:paraId="42C8D00A" w14:textId="77777777" w:rsidR="00154F9E" w:rsidRPr="00EC06E7" w:rsidRDefault="00154F9E" w:rsidP="00154F9E">
      <w:pPr>
        <w:pStyle w:val="Heading1"/>
      </w:pPr>
      <w:bookmarkStart w:id="237" w:name="_Toc77603821"/>
      <w:r w:rsidRPr="00EC06E7">
        <w:t>Glossary of Terms</w:t>
      </w:r>
      <w:bookmarkEnd w:id="237"/>
    </w:p>
    <w:p w14:paraId="2CE1DB16" w14:textId="77777777" w:rsidR="00154F9E" w:rsidRPr="00EC06E7" w:rsidRDefault="00154F9E" w:rsidP="00154F9E"/>
    <w:p w14:paraId="6F9EB175" w14:textId="77777777" w:rsidR="000E396D" w:rsidRPr="00EC06E7" w:rsidRDefault="00154F9E" w:rsidP="009A19BE">
      <w:pPr>
        <w:rPr>
          <w:b/>
        </w:rPr>
      </w:pPr>
      <w:r w:rsidRPr="00EC06E7">
        <w:rPr>
          <w:b/>
        </w:rPr>
        <w:t>Accounting Poli</w:t>
      </w:r>
      <w:r w:rsidR="00261730" w:rsidRPr="00EC06E7">
        <w:rPr>
          <w:b/>
        </w:rPr>
        <w:t>cies</w:t>
      </w:r>
    </w:p>
    <w:p w14:paraId="360AC6DF" w14:textId="77777777" w:rsidR="00154F9E" w:rsidRPr="00EC06E7" w:rsidRDefault="00154F9E" w:rsidP="009A19BE">
      <w:r w:rsidRPr="00EC06E7">
        <w:t>The rules and practices adopted by the authority that determine how the transactions and events are reflected in the accounts.</w:t>
      </w:r>
    </w:p>
    <w:p w14:paraId="567C2C1B" w14:textId="77777777" w:rsidR="00154F9E" w:rsidRPr="00EC06E7" w:rsidRDefault="00154F9E" w:rsidP="009A19BE"/>
    <w:p w14:paraId="74B4F281" w14:textId="77777777" w:rsidR="000E396D" w:rsidRPr="00EC06E7" w:rsidRDefault="009A19BE" w:rsidP="009A19BE">
      <w:pPr>
        <w:rPr>
          <w:b/>
        </w:rPr>
      </w:pPr>
      <w:r w:rsidRPr="00EC06E7">
        <w:rPr>
          <w:b/>
        </w:rPr>
        <w:t>Accruals Basis</w:t>
      </w:r>
    </w:p>
    <w:p w14:paraId="5CC831E0" w14:textId="77777777" w:rsidR="00154F9E" w:rsidRPr="00EC06E7" w:rsidRDefault="00154F9E" w:rsidP="009A19BE">
      <w:r w:rsidRPr="00EC06E7">
        <w:t>The accruals principle is that income is recorded when it is earned rather than when it is received, and expenses are recorded when goods or services are received rather than when the payment is made.</w:t>
      </w:r>
    </w:p>
    <w:p w14:paraId="072E57B0" w14:textId="77777777" w:rsidR="00154F9E" w:rsidRPr="00EC06E7" w:rsidRDefault="00154F9E" w:rsidP="009A19BE"/>
    <w:p w14:paraId="17E6B157" w14:textId="77777777" w:rsidR="00154F9E" w:rsidRPr="00EC06E7" w:rsidRDefault="00154F9E" w:rsidP="009A19BE">
      <w:pPr>
        <w:rPr>
          <w:b/>
        </w:rPr>
      </w:pPr>
      <w:r w:rsidRPr="00EC06E7">
        <w:rPr>
          <w:b/>
        </w:rPr>
        <w:t>Agency Services</w:t>
      </w:r>
    </w:p>
    <w:p w14:paraId="082E0524" w14:textId="77777777" w:rsidR="00154F9E" w:rsidRPr="00EC06E7" w:rsidRDefault="00154F9E" w:rsidP="009A19BE">
      <w:r w:rsidRPr="00EC06E7">
        <w:t>These are services that are performed by or for another Authority or public body, where the principal (the Authority responsible for the service) reimburses the agent (the Authority carrying out the work) for the costs of the work.</w:t>
      </w:r>
    </w:p>
    <w:p w14:paraId="6887E1D6" w14:textId="77777777" w:rsidR="00154F9E" w:rsidRPr="00EC06E7" w:rsidRDefault="00154F9E" w:rsidP="009A19BE">
      <w:pPr>
        <w:rPr>
          <w:b/>
        </w:rPr>
      </w:pPr>
    </w:p>
    <w:p w14:paraId="3FEFAB94" w14:textId="77777777" w:rsidR="000E396D" w:rsidRPr="00EC06E7" w:rsidRDefault="009A19BE" w:rsidP="009A19BE">
      <w:pPr>
        <w:rPr>
          <w:b/>
        </w:rPr>
      </w:pPr>
      <w:r w:rsidRPr="00EC06E7">
        <w:rPr>
          <w:b/>
        </w:rPr>
        <w:t>Appointed Auditors</w:t>
      </w:r>
    </w:p>
    <w:p w14:paraId="689628A0" w14:textId="77777777" w:rsidR="00154F9E" w:rsidRPr="00EC06E7" w:rsidRDefault="00154F9E" w:rsidP="009A19BE">
      <w:r w:rsidRPr="00EC06E7">
        <w:t xml:space="preserve">From 1 April 2015 the appointment of External Auditors to Local Authorities is undertaken by Public Sector Audit Appointments Limited (PSAA), an independent company limited by guarantee and incorporated by the Local Government Association in August 2014. This role was previously undertaken by The Audit Commission. Grant Thornton </w:t>
      </w:r>
      <w:r w:rsidR="00CD1ECA" w:rsidRPr="00EC06E7">
        <w:t xml:space="preserve">UK LLP </w:t>
      </w:r>
      <w:r w:rsidRPr="00EC06E7">
        <w:t xml:space="preserve">is the </w:t>
      </w:r>
      <w:r w:rsidR="00DF0341">
        <w:t>c</w:t>
      </w:r>
      <w:r w:rsidRPr="00EC06E7">
        <w:t>ouncil’s appointed Auditor.</w:t>
      </w:r>
    </w:p>
    <w:p w14:paraId="63A1767D" w14:textId="77777777" w:rsidR="00154F9E" w:rsidRPr="00EC06E7" w:rsidRDefault="00154F9E" w:rsidP="009A19BE"/>
    <w:p w14:paraId="444B769F" w14:textId="77777777" w:rsidR="000E396D" w:rsidRPr="00EC06E7" w:rsidRDefault="009A19BE" w:rsidP="009A19BE">
      <w:pPr>
        <w:rPr>
          <w:b/>
        </w:rPr>
      </w:pPr>
      <w:r w:rsidRPr="00EC06E7">
        <w:rPr>
          <w:b/>
        </w:rPr>
        <w:t>Balances</w:t>
      </w:r>
    </w:p>
    <w:p w14:paraId="1E128A1B" w14:textId="77777777" w:rsidR="00154F9E" w:rsidRPr="00EC06E7" w:rsidRDefault="00154F9E" w:rsidP="009A19BE">
      <w:r w:rsidRPr="00EC06E7">
        <w:t>The balances of the Authority represent the accumulated surplus of income over expenditure on any of the Funds.</w:t>
      </w:r>
    </w:p>
    <w:p w14:paraId="4848E734" w14:textId="77777777" w:rsidR="00154F9E" w:rsidRPr="00EC06E7" w:rsidRDefault="00154F9E" w:rsidP="009A19BE"/>
    <w:p w14:paraId="2FDA94FA" w14:textId="77777777" w:rsidR="000E396D" w:rsidRPr="00EC06E7" w:rsidRDefault="009A19BE" w:rsidP="009A19BE">
      <w:pPr>
        <w:rPr>
          <w:b/>
        </w:rPr>
      </w:pPr>
      <w:r w:rsidRPr="00EC06E7">
        <w:rPr>
          <w:b/>
        </w:rPr>
        <w:t>Capital Adjustment Account</w:t>
      </w:r>
    </w:p>
    <w:p w14:paraId="6F92018D" w14:textId="77777777" w:rsidR="00154F9E" w:rsidRPr="00EC06E7" w:rsidRDefault="00154F9E" w:rsidP="009A19BE">
      <w:r w:rsidRPr="00EC06E7">
        <w:t>The Account accumulates (on the debit side) the write-down of the historical cost of non-current assets as they are consumed by depreciation and impairments or written off on disposal. It accumulates (on the credit side) the resources that have been set aside to finance capital expenditure. The same process applies to capital expenditure that is only capital by statutory definition (revenue expenditure funded by capital under statute). The balance on the account thus represents timing differences between the amount of the historical cost of non-current assets that has been consumed and the amount that has been financed in accordance with statutory requirements.</w:t>
      </w:r>
    </w:p>
    <w:p w14:paraId="4F526A0B" w14:textId="77777777" w:rsidR="00154F9E" w:rsidRPr="00EC06E7" w:rsidRDefault="00154F9E" w:rsidP="009A19BE"/>
    <w:p w14:paraId="27BB1086" w14:textId="77777777" w:rsidR="000E396D" w:rsidRPr="00EC06E7" w:rsidRDefault="009A19BE" w:rsidP="009A19BE">
      <w:pPr>
        <w:rPr>
          <w:b/>
        </w:rPr>
      </w:pPr>
      <w:r w:rsidRPr="00EC06E7">
        <w:rPr>
          <w:b/>
        </w:rPr>
        <w:t>Capital Expenditure</w:t>
      </w:r>
    </w:p>
    <w:p w14:paraId="4E75A711" w14:textId="77777777" w:rsidR="00154F9E" w:rsidRPr="00EC06E7" w:rsidRDefault="00154F9E" w:rsidP="009A19BE">
      <w:r w:rsidRPr="00EC06E7">
        <w:t>This is expenditure on the acquisition of a fixed asset, or expenditure, which adds to, and not merely maintains, the value of an existing fixed asset.</w:t>
      </w:r>
    </w:p>
    <w:p w14:paraId="12970E78" w14:textId="77777777" w:rsidR="00154F9E" w:rsidRPr="00EC06E7" w:rsidRDefault="00154F9E" w:rsidP="009A19BE"/>
    <w:p w14:paraId="4812DC86" w14:textId="77777777" w:rsidR="000E396D" w:rsidRPr="00EC06E7" w:rsidRDefault="009A19BE" w:rsidP="009A19BE">
      <w:pPr>
        <w:rPr>
          <w:b/>
        </w:rPr>
      </w:pPr>
      <w:r w:rsidRPr="00EC06E7">
        <w:rPr>
          <w:b/>
        </w:rPr>
        <w:t>Capital Financing Charges</w:t>
      </w:r>
    </w:p>
    <w:p w14:paraId="16A2CCBC" w14:textId="77777777" w:rsidR="00154F9E" w:rsidRPr="00EC06E7" w:rsidRDefault="00154F9E" w:rsidP="009A19BE">
      <w:r w:rsidRPr="00EC06E7">
        <w:t>This is the annual charge to the revenue account in respect of interest and principal repayments and payments of borrowed money, together with leasing rentals.</w:t>
      </w:r>
    </w:p>
    <w:p w14:paraId="7E9509C8" w14:textId="77777777" w:rsidR="00606B8D" w:rsidRPr="00EC06E7" w:rsidRDefault="00606B8D" w:rsidP="009A19BE"/>
    <w:p w14:paraId="36A5346B" w14:textId="77777777" w:rsidR="00606B8D" w:rsidRPr="00EC06E7" w:rsidRDefault="00606B8D" w:rsidP="009A19BE">
      <w:pPr>
        <w:rPr>
          <w:b/>
        </w:rPr>
      </w:pPr>
      <w:r w:rsidRPr="00EC06E7">
        <w:rPr>
          <w:b/>
        </w:rPr>
        <w:t>Capital Financing Requirement (CFR)</w:t>
      </w:r>
    </w:p>
    <w:p w14:paraId="7AD8C2F6" w14:textId="77777777" w:rsidR="00606B8D" w:rsidRPr="00EC06E7" w:rsidRDefault="00F5190A" w:rsidP="009A19BE">
      <w:r w:rsidRPr="00EC06E7">
        <w:t xml:space="preserve">CFR is a measure of the capital expenditure historically incurred by the Authority that has yet to be financed. This will be discharged by future charges to the revenue account. In determining Council Tax charges, authorities </w:t>
      </w:r>
      <w:proofErr w:type="gramStart"/>
      <w:r w:rsidRPr="00EC06E7">
        <w:t>have to</w:t>
      </w:r>
      <w:proofErr w:type="gramEnd"/>
      <w:r w:rsidRPr="00EC06E7">
        <w:t xml:space="preserve"> make a specific provision for the financing of capital expenditure. The outstanding amount for which provision </w:t>
      </w:r>
      <w:proofErr w:type="gramStart"/>
      <w:r w:rsidRPr="00EC06E7">
        <w:t>has to</w:t>
      </w:r>
      <w:proofErr w:type="gramEnd"/>
      <w:r w:rsidRPr="00EC06E7">
        <w:t xml:space="preserve"> be made is known as the Capital Financing Requirement.</w:t>
      </w:r>
    </w:p>
    <w:p w14:paraId="68BC4C41" w14:textId="77777777" w:rsidR="00154F9E" w:rsidRPr="00EC06E7" w:rsidRDefault="00154F9E" w:rsidP="009A19BE"/>
    <w:p w14:paraId="1AC6413E" w14:textId="77777777" w:rsidR="000E396D" w:rsidRPr="00EC06E7" w:rsidRDefault="009A19BE" w:rsidP="009A19BE">
      <w:pPr>
        <w:rPr>
          <w:b/>
        </w:rPr>
      </w:pPr>
      <w:r w:rsidRPr="00EC06E7">
        <w:rPr>
          <w:b/>
        </w:rPr>
        <w:t>Capital Receipts</w:t>
      </w:r>
    </w:p>
    <w:p w14:paraId="42C1A304" w14:textId="77777777" w:rsidR="00154F9E" w:rsidRPr="00EC06E7" w:rsidRDefault="00154F9E" w:rsidP="009A19BE">
      <w:r w:rsidRPr="00EC06E7">
        <w:t>Income received from the sale of land or other capital assets, a proportion of which may be used to finance new capital expenditure, subject to the provisions contained within the Local Government Act 2003.</w:t>
      </w:r>
    </w:p>
    <w:p w14:paraId="1997B2D6" w14:textId="77777777" w:rsidR="000E396D" w:rsidRPr="00EC06E7" w:rsidRDefault="000E396D" w:rsidP="009A19BE">
      <w:pPr>
        <w:rPr>
          <w:b/>
        </w:rPr>
      </w:pPr>
    </w:p>
    <w:p w14:paraId="6BB4822C" w14:textId="77777777" w:rsidR="00F5190A" w:rsidRPr="00EC06E7" w:rsidRDefault="00F5190A" w:rsidP="009A19BE">
      <w:pPr>
        <w:rPr>
          <w:b/>
        </w:rPr>
      </w:pPr>
    </w:p>
    <w:p w14:paraId="06F2C84D" w14:textId="77777777" w:rsidR="000E396D" w:rsidRPr="00EC06E7" w:rsidRDefault="009A19BE" w:rsidP="009A19BE">
      <w:pPr>
        <w:rPr>
          <w:b/>
        </w:rPr>
      </w:pPr>
      <w:r w:rsidRPr="00EC06E7">
        <w:rPr>
          <w:b/>
        </w:rPr>
        <w:t>Carrying Amount</w:t>
      </w:r>
    </w:p>
    <w:p w14:paraId="2AFADE42" w14:textId="77777777" w:rsidR="00154F9E" w:rsidRPr="00EC06E7" w:rsidRDefault="00154F9E" w:rsidP="009A19BE">
      <w:r w:rsidRPr="00EC06E7">
        <w:t>The Balance Sheet value recorded of either an asset or a liability.</w:t>
      </w:r>
    </w:p>
    <w:p w14:paraId="752D4ADD" w14:textId="77777777" w:rsidR="00154F9E" w:rsidRPr="00EC06E7" w:rsidRDefault="00154F9E" w:rsidP="009A19BE"/>
    <w:p w14:paraId="659DE5A9" w14:textId="77777777" w:rsidR="000E396D" w:rsidRPr="00EC06E7" w:rsidRDefault="009A19BE" w:rsidP="009A19BE">
      <w:pPr>
        <w:rPr>
          <w:b/>
        </w:rPr>
      </w:pPr>
      <w:r w:rsidRPr="00EC06E7">
        <w:rPr>
          <w:b/>
        </w:rPr>
        <w:t>Chartered Institute of Public Finance and Accountancy (CIPFA)</w:t>
      </w:r>
    </w:p>
    <w:p w14:paraId="75807B74" w14:textId="77777777" w:rsidR="00154F9E" w:rsidRPr="00EC06E7" w:rsidRDefault="00154F9E" w:rsidP="009A19BE">
      <w:r w:rsidRPr="00EC06E7">
        <w:t>CIPFA is the leading professional accountancy body for public services.</w:t>
      </w:r>
    </w:p>
    <w:p w14:paraId="5D0D0308" w14:textId="77777777" w:rsidR="00954B03" w:rsidRPr="00EC06E7" w:rsidRDefault="00954B03" w:rsidP="009A19BE">
      <w:pPr>
        <w:rPr>
          <w:b/>
        </w:rPr>
      </w:pPr>
    </w:p>
    <w:p w14:paraId="573A2757" w14:textId="77777777" w:rsidR="00154F9E" w:rsidRPr="00EC06E7" w:rsidRDefault="00154F9E" w:rsidP="009A19BE">
      <w:pPr>
        <w:rPr>
          <w:b/>
        </w:rPr>
      </w:pPr>
      <w:r w:rsidRPr="00EC06E7">
        <w:rPr>
          <w:b/>
        </w:rPr>
        <w:t>Code of Practice on Local Authority Accounting in the United Kingdom (The Code)</w:t>
      </w:r>
    </w:p>
    <w:p w14:paraId="6D0421D9" w14:textId="77777777" w:rsidR="00154F9E" w:rsidRPr="00EC06E7" w:rsidRDefault="00154F9E" w:rsidP="009A19BE">
      <w:r w:rsidRPr="00EC06E7">
        <w:t xml:space="preserve">The Code incorporates guidance in line with IFRS, IPSAS and UK GAAP Accounting Standards. It sets out the proper accounting practice to be adopted for the Statement of Accounts to ensure they ‘present fairly’ the financial position of the </w:t>
      </w:r>
      <w:r w:rsidR="00DF0341">
        <w:t>c</w:t>
      </w:r>
      <w:r w:rsidRPr="00EC06E7">
        <w:t>ouncil. The Code has statutory status via the provision of the Local Government Act 2003.</w:t>
      </w:r>
    </w:p>
    <w:p w14:paraId="52937B97" w14:textId="77777777" w:rsidR="00154F9E" w:rsidRPr="00EC06E7" w:rsidRDefault="00154F9E" w:rsidP="009A19BE"/>
    <w:p w14:paraId="7EF93023" w14:textId="77777777" w:rsidR="000E396D" w:rsidRPr="00EC06E7" w:rsidRDefault="009A19BE" w:rsidP="009A19BE">
      <w:pPr>
        <w:rPr>
          <w:b/>
        </w:rPr>
      </w:pPr>
      <w:r w:rsidRPr="00EC06E7">
        <w:rPr>
          <w:b/>
        </w:rPr>
        <w:t>Collection Fund</w:t>
      </w:r>
    </w:p>
    <w:p w14:paraId="38B89837" w14:textId="77777777" w:rsidR="00154F9E" w:rsidRPr="00EC06E7" w:rsidRDefault="00154F9E" w:rsidP="009A19BE">
      <w:r w:rsidRPr="00EC06E7">
        <w:t xml:space="preserve">The </w:t>
      </w:r>
      <w:r w:rsidR="00DF0341">
        <w:t>c</w:t>
      </w:r>
      <w:r w:rsidRPr="00EC06E7">
        <w:t xml:space="preserve">ouncil as a billing authority has a statutory obligation to maintain a separate Collection Fund. This shows the transactions of the </w:t>
      </w:r>
      <w:r w:rsidR="00DF0341">
        <w:t>c</w:t>
      </w:r>
      <w:r w:rsidRPr="00EC06E7">
        <w:t>ouncil in relation to the collection from taxpayers of Council Tax and Non-Domestic Rates (NDR) and its distribution to local government bodies and the Government.</w:t>
      </w:r>
    </w:p>
    <w:p w14:paraId="1CB4463B" w14:textId="77777777" w:rsidR="00154F9E" w:rsidRPr="00EC06E7" w:rsidRDefault="00154F9E" w:rsidP="009A19BE"/>
    <w:p w14:paraId="4AF70D84" w14:textId="77777777" w:rsidR="000E396D" w:rsidRPr="00EC06E7" w:rsidRDefault="009A19BE" w:rsidP="009A19BE">
      <w:pPr>
        <w:rPr>
          <w:b/>
        </w:rPr>
      </w:pPr>
      <w:r w:rsidRPr="00EC06E7">
        <w:rPr>
          <w:b/>
        </w:rPr>
        <w:t>Community Assets</w:t>
      </w:r>
    </w:p>
    <w:p w14:paraId="02CE50C1" w14:textId="77777777" w:rsidR="00154F9E" w:rsidRPr="00EC06E7" w:rsidRDefault="00154F9E" w:rsidP="009A19BE">
      <w:r w:rsidRPr="00EC06E7">
        <w:t xml:space="preserve">These are non-current assets that the </w:t>
      </w:r>
      <w:r w:rsidR="00DF0341">
        <w:t>c</w:t>
      </w:r>
      <w:r w:rsidRPr="00EC06E7">
        <w:t>ouncil intends to hold in perpetuity which have no determinable finite useful life and, in addition, may have restrictions on their disposal. Examples include parks and historical buildings not used for operational purposes.</w:t>
      </w:r>
    </w:p>
    <w:p w14:paraId="3FFCC0BF" w14:textId="77777777" w:rsidR="00154F9E" w:rsidRPr="00EC06E7" w:rsidRDefault="00154F9E" w:rsidP="009A19BE"/>
    <w:p w14:paraId="5E7B47EA" w14:textId="77777777" w:rsidR="000E396D" w:rsidRPr="00EC06E7" w:rsidRDefault="009A19BE" w:rsidP="009A19BE">
      <w:pPr>
        <w:rPr>
          <w:b/>
        </w:rPr>
      </w:pPr>
      <w:r w:rsidRPr="00EC06E7">
        <w:rPr>
          <w:b/>
        </w:rPr>
        <w:t>Contingency</w:t>
      </w:r>
    </w:p>
    <w:p w14:paraId="3A82B566" w14:textId="77777777" w:rsidR="00154F9E" w:rsidRPr="00EC06E7" w:rsidRDefault="00154F9E" w:rsidP="009A19BE">
      <w:r w:rsidRPr="00EC06E7">
        <w:t>This is money set aside in the budget to meet the cost of unforeseen items of expenditure, or shortfalls in income, and to provide for inflation where this is not included in individual budgets.</w:t>
      </w:r>
    </w:p>
    <w:p w14:paraId="4375D848" w14:textId="77777777" w:rsidR="00154F9E" w:rsidRPr="00EC06E7" w:rsidRDefault="00154F9E" w:rsidP="009A19BE"/>
    <w:p w14:paraId="1AF70DE9" w14:textId="77777777" w:rsidR="000E396D" w:rsidRPr="00EC06E7" w:rsidRDefault="009A19BE" w:rsidP="009A19BE">
      <w:pPr>
        <w:rPr>
          <w:b/>
        </w:rPr>
      </w:pPr>
      <w:r w:rsidRPr="00EC06E7">
        <w:rPr>
          <w:b/>
        </w:rPr>
        <w:t>Contingent Liabilities or Assets</w:t>
      </w:r>
    </w:p>
    <w:p w14:paraId="12DD6FA0" w14:textId="77777777" w:rsidR="00154F9E" w:rsidRPr="00EC06E7" w:rsidRDefault="00154F9E" w:rsidP="009A19BE">
      <w:r w:rsidRPr="00EC06E7">
        <w:t xml:space="preserve">These are amounts potentially due to or from individuals or organisations which may arise in the future but which at this time cannot be determined accurately, and for which provision has not been made in the </w:t>
      </w:r>
      <w:r w:rsidR="00DF0341">
        <w:t>c</w:t>
      </w:r>
      <w:r w:rsidRPr="00EC06E7">
        <w:t>ouncil’s accounts.</w:t>
      </w:r>
    </w:p>
    <w:p w14:paraId="541007A5" w14:textId="77777777" w:rsidR="00154F9E" w:rsidRPr="00EC06E7" w:rsidRDefault="00154F9E" w:rsidP="009A19BE"/>
    <w:p w14:paraId="06021977" w14:textId="77777777" w:rsidR="00154F9E" w:rsidRPr="00EC06E7" w:rsidRDefault="00154F9E" w:rsidP="009A19BE">
      <w:pPr>
        <w:rPr>
          <w:b/>
        </w:rPr>
      </w:pPr>
      <w:r w:rsidRPr="00EC06E7">
        <w:rPr>
          <w:b/>
        </w:rPr>
        <w:t>Council Tax</w:t>
      </w:r>
    </w:p>
    <w:p w14:paraId="19979983" w14:textId="77777777" w:rsidR="00154F9E" w:rsidRPr="00EC06E7" w:rsidRDefault="00154F9E" w:rsidP="009A19BE">
      <w:r w:rsidRPr="00EC06E7">
        <w:t xml:space="preserve">A local tax on residential properties within the </w:t>
      </w:r>
      <w:r w:rsidR="00DF0341">
        <w:t>c</w:t>
      </w:r>
      <w:r w:rsidRPr="00EC06E7">
        <w:t xml:space="preserve">ouncil’s area, set by the charging (South </w:t>
      </w:r>
      <w:proofErr w:type="spellStart"/>
      <w:r w:rsidRPr="00EC06E7">
        <w:t>Ribble</w:t>
      </w:r>
      <w:proofErr w:type="spellEnd"/>
      <w:r w:rsidRPr="00EC06E7">
        <w:t xml:space="preserve"> Borough Council) and precepting authorities. The level is determined by the revenue expenditure requirements for each authority divided by council tax base for the year.</w:t>
      </w:r>
    </w:p>
    <w:p w14:paraId="67E901AA" w14:textId="77777777" w:rsidR="00154F9E" w:rsidRPr="00EC06E7" w:rsidRDefault="00154F9E" w:rsidP="009A19BE">
      <w:pPr>
        <w:rPr>
          <w:b/>
        </w:rPr>
      </w:pPr>
    </w:p>
    <w:p w14:paraId="70F1D71B" w14:textId="77777777" w:rsidR="000E396D" w:rsidRPr="00EC06E7" w:rsidRDefault="009A19BE" w:rsidP="009A19BE">
      <w:pPr>
        <w:rPr>
          <w:b/>
        </w:rPr>
      </w:pPr>
      <w:r w:rsidRPr="00EC06E7">
        <w:rPr>
          <w:b/>
        </w:rPr>
        <w:t xml:space="preserve">Council Tax </w:t>
      </w:r>
      <w:r w:rsidR="00154F9E" w:rsidRPr="00EC06E7">
        <w:rPr>
          <w:b/>
        </w:rPr>
        <w:t>Base</w:t>
      </w:r>
    </w:p>
    <w:p w14:paraId="08D62CC9" w14:textId="77777777" w:rsidR="00154F9E" w:rsidRPr="00EC06E7" w:rsidRDefault="00154F9E" w:rsidP="009A19BE">
      <w:r w:rsidRPr="00EC06E7">
        <w:t>The amount calculated for each billing authority from which the grant entitlement of its share is derived. The number of properties in each band is multiplied by the relevant band proportion in order to calculate the number of Band D equivalent properties in the area. The calculation allows for exemptions, discounts, appeals and a provision for non-collection.</w:t>
      </w:r>
    </w:p>
    <w:p w14:paraId="1B80C5CE" w14:textId="77777777" w:rsidR="00154F9E" w:rsidRPr="00EC06E7" w:rsidRDefault="00154F9E" w:rsidP="009A19BE"/>
    <w:p w14:paraId="36313ED0" w14:textId="77777777" w:rsidR="000E396D" w:rsidRPr="00EC06E7" w:rsidRDefault="009A19BE" w:rsidP="009A19BE">
      <w:pPr>
        <w:rPr>
          <w:b/>
        </w:rPr>
      </w:pPr>
      <w:r w:rsidRPr="00EC06E7">
        <w:rPr>
          <w:b/>
        </w:rPr>
        <w:t>Council Tax Requirement</w:t>
      </w:r>
    </w:p>
    <w:p w14:paraId="1A437646" w14:textId="77777777" w:rsidR="00154F9E" w:rsidRPr="00EC06E7" w:rsidRDefault="00154F9E" w:rsidP="009A19BE">
      <w:r w:rsidRPr="00EC06E7">
        <w:t>This is the estimated revenue expenditure on General Fund services that will be financed from the Council Tax after deducting income from fees and charges, General Fund Balances, specific grants and any funding from reserves.</w:t>
      </w:r>
    </w:p>
    <w:p w14:paraId="291D2490" w14:textId="77777777" w:rsidR="00154F9E" w:rsidRPr="00EC06E7" w:rsidRDefault="00154F9E" w:rsidP="009A19BE"/>
    <w:p w14:paraId="5E106694" w14:textId="77777777" w:rsidR="000E396D" w:rsidRPr="00EC06E7" w:rsidRDefault="009A19BE" w:rsidP="009A19BE">
      <w:pPr>
        <w:rPr>
          <w:b/>
        </w:rPr>
      </w:pPr>
      <w:r w:rsidRPr="00EC06E7">
        <w:rPr>
          <w:b/>
        </w:rPr>
        <w:t>Creditors</w:t>
      </w:r>
    </w:p>
    <w:p w14:paraId="363C136F" w14:textId="77777777" w:rsidR="00154F9E" w:rsidRPr="00EC06E7" w:rsidRDefault="00154F9E" w:rsidP="009A19BE">
      <w:r w:rsidRPr="00EC06E7">
        <w:t xml:space="preserve">Amounts owed by the </w:t>
      </w:r>
      <w:r w:rsidR="00DF0341">
        <w:t>c</w:t>
      </w:r>
      <w:r w:rsidRPr="00EC06E7">
        <w:t xml:space="preserve">ouncil for work done, goods </w:t>
      </w:r>
      <w:proofErr w:type="gramStart"/>
      <w:r w:rsidRPr="00EC06E7">
        <w:t>received</w:t>
      </w:r>
      <w:proofErr w:type="gramEnd"/>
      <w:r w:rsidRPr="00EC06E7">
        <w:t xml:space="preserve"> or services rendered, for which payment has not been made at the date of the balance sheet.</w:t>
      </w:r>
    </w:p>
    <w:p w14:paraId="39C250BB" w14:textId="77777777" w:rsidR="00154F9E" w:rsidRPr="00EC06E7" w:rsidRDefault="00154F9E" w:rsidP="009A19BE"/>
    <w:p w14:paraId="6E9FF3BE" w14:textId="77777777" w:rsidR="000E396D" w:rsidRPr="00EC06E7" w:rsidRDefault="009A19BE" w:rsidP="009A19BE">
      <w:pPr>
        <w:rPr>
          <w:b/>
        </w:rPr>
      </w:pPr>
      <w:r w:rsidRPr="00EC06E7">
        <w:rPr>
          <w:b/>
        </w:rPr>
        <w:t>Current Service Cost</w:t>
      </w:r>
    </w:p>
    <w:p w14:paraId="0956A9C0" w14:textId="77777777" w:rsidR="009A19BE" w:rsidRPr="00EC06E7" w:rsidRDefault="00154F9E" w:rsidP="009A19BE">
      <w:r w:rsidRPr="00EC06E7">
        <w:t>Current Service Cost is the increase in the present value of a defined benefit pension scheme’s liabilities expected to arise from employee service in the current period, i.e. the ultimate pension benefits “earned” by employees in the current year’s employment.</w:t>
      </w:r>
    </w:p>
    <w:p w14:paraId="5CBAE99D" w14:textId="77777777" w:rsidR="00F5190A" w:rsidRPr="00EC06E7" w:rsidRDefault="00F5190A" w:rsidP="009A19BE">
      <w:pPr>
        <w:rPr>
          <w:b/>
        </w:rPr>
      </w:pPr>
    </w:p>
    <w:p w14:paraId="09A11517" w14:textId="77777777" w:rsidR="000E396D" w:rsidRPr="00EC06E7" w:rsidRDefault="009A19BE" w:rsidP="009A19BE">
      <w:pPr>
        <w:rPr>
          <w:b/>
        </w:rPr>
      </w:pPr>
      <w:r w:rsidRPr="00EC06E7">
        <w:rPr>
          <w:b/>
        </w:rPr>
        <w:t>Current Value</w:t>
      </w:r>
    </w:p>
    <w:p w14:paraId="03B2B9CC" w14:textId="77777777" w:rsidR="00154F9E" w:rsidRPr="00EC06E7" w:rsidRDefault="00154F9E" w:rsidP="009A19BE">
      <w:r w:rsidRPr="00EC06E7">
        <w:t>The current value of an asset reflects the economic environment prevailing for the service or function the asset is supporting at the reporting date.</w:t>
      </w:r>
    </w:p>
    <w:p w14:paraId="7A8E818D" w14:textId="77777777" w:rsidR="00154F9E" w:rsidRPr="00EC06E7" w:rsidRDefault="00154F9E" w:rsidP="009A19BE"/>
    <w:p w14:paraId="480CF223" w14:textId="77777777" w:rsidR="000E396D" w:rsidRPr="00EC06E7" w:rsidRDefault="009A19BE" w:rsidP="009A19BE">
      <w:pPr>
        <w:rPr>
          <w:b/>
        </w:rPr>
      </w:pPr>
      <w:r w:rsidRPr="00EC06E7">
        <w:rPr>
          <w:b/>
        </w:rPr>
        <w:t>Curtailment</w:t>
      </w:r>
    </w:p>
    <w:p w14:paraId="33B2028E" w14:textId="77777777" w:rsidR="00154F9E" w:rsidRPr="00EC06E7" w:rsidRDefault="00154F9E" w:rsidP="009A19BE">
      <w:r w:rsidRPr="00EC06E7">
        <w:t>Curtailments will show the cost of the early payment of pension benefits if any employee has been made redundant in the previous financial year.</w:t>
      </w:r>
    </w:p>
    <w:p w14:paraId="4F18D342" w14:textId="77777777" w:rsidR="00154F9E" w:rsidRPr="00EC06E7" w:rsidRDefault="00154F9E" w:rsidP="009A19BE"/>
    <w:p w14:paraId="066D645F" w14:textId="77777777" w:rsidR="000E396D" w:rsidRPr="00EC06E7" w:rsidRDefault="009A19BE" w:rsidP="009A19BE">
      <w:pPr>
        <w:rPr>
          <w:b/>
        </w:rPr>
      </w:pPr>
      <w:r w:rsidRPr="00EC06E7">
        <w:rPr>
          <w:b/>
        </w:rPr>
        <w:t>Debtors</w:t>
      </w:r>
    </w:p>
    <w:p w14:paraId="2DB03860" w14:textId="77777777" w:rsidR="00154F9E" w:rsidRPr="00EC06E7" w:rsidRDefault="00154F9E" w:rsidP="009A19BE">
      <w:r w:rsidRPr="00EC06E7">
        <w:t xml:space="preserve">These are sums of money due to the </w:t>
      </w:r>
      <w:r w:rsidR="00DF0341">
        <w:t>c</w:t>
      </w:r>
      <w:r w:rsidRPr="00EC06E7">
        <w:t>ouncil that have not been received at the date of the Balance Sheet.</w:t>
      </w:r>
    </w:p>
    <w:p w14:paraId="5C6F86A0" w14:textId="77777777" w:rsidR="00154F9E" w:rsidRPr="00EC06E7" w:rsidRDefault="00154F9E" w:rsidP="009A19BE"/>
    <w:p w14:paraId="3D8C9A77" w14:textId="77777777" w:rsidR="000E396D" w:rsidRPr="00EC06E7" w:rsidRDefault="009A19BE" w:rsidP="009A19BE">
      <w:pPr>
        <w:rPr>
          <w:b/>
        </w:rPr>
      </w:pPr>
      <w:r w:rsidRPr="00EC06E7">
        <w:rPr>
          <w:b/>
        </w:rPr>
        <w:t>Deferred Capital Receipts</w:t>
      </w:r>
    </w:p>
    <w:p w14:paraId="560EA81D" w14:textId="77777777" w:rsidR="00154F9E" w:rsidRPr="00EC06E7" w:rsidRDefault="00154F9E" w:rsidP="009A19BE">
      <w:r w:rsidRPr="00EC06E7">
        <w:t>These represent capital income still to be received after disposals have taken place and wholly consists of principal outstanding from the sale of council houses.</w:t>
      </w:r>
    </w:p>
    <w:p w14:paraId="0B54350F" w14:textId="77777777" w:rsidR="00154F9E" w:rsidRPr="00EC06E7" w:rsidRDefault="00154F9E" w:rsidP="009A19BE"/>
    <w:p w14:paraId="38842FBB" w14:textId="77777777" w:rsidR="000E396D" w:rsidRPr="00EC06E7" w:rsidRDefault="009A19BE" w:rsidP="009A19BE">
      <w:pPr>
        <w:rPr>
          <w:b/>
        </w:rPr>
      </w:pPr>
      <w:r w:rsidRPr="00EC06E7">
        <w:rPr>
          <w:b/>
        </w:rPr>
        <w:t>Defined Benefit Scheme</w:t>
      </w:r>
    </w:p>
    <w:p w14:paraId="4227E403" w14:textId="77777777" w:rsidR="00154F9E" w:rsidRPr="00EC06E7" w:rsidRDefault="00154F9E" w:rsidP="009A19BE">
      <w:r w:rsidRPr="00EC06E7">
        <w:t>This is a pension or other retirement benefit scheme other than a defined contribution scheme. Usually, the scheme rules define the benefits independently of the contributions payable and the benefits are not directly related to the investments of the scheme. The scheme may be funded or unfunded (including notionally funded).</w:t>
      </w:r>
    </w:p>
    <w:p w14:paraId="0F632115" w14:textId="77777777" w:rsidR="00154F9E" w:rsidRPr="00EC06E7" w:rsidRDefault="00154F9E" w:rsidP="009A19BE"/>
    <w:p w14:paraId="68F8DBDF" w14:textId="77777777" w:rsidR="000E396D" w:rsidRPr="00EC06E7" w:rsidRDefault="009A19BE" w:rsidP="009A19BE">
      <w:pPr>
        <w:rPr>
          <w:b/>
        </w:rPr>
      </w:pPr>
      <w:r w:rsidRPr="00EC06E7">
        <w:rPr>
          <w:b/>
        </w:rPr>
        <w:t>Department for Communities and Local Government (DCLG)</w:t>
      </w:r>
    </w:p>
    <w:p w14:paraId="2E17F186" w14:textId="77777777" w:rsidR="00154F9E" w:rsidRPr="00EC06E7" w:rsidRDefault="00154F9E" w:rsidP="009A19BE">
      <w:r w:rsidRPr="00EC06E7">
        <w:t>DCLG is a Central Government department with the overriding responsibility for determining the allocation of general resources to Local Authorities.</w:t>
      </w:r>
    </w:p>
    <w:p w14:paraId="679970A7" w14:textId="77777777" w:rsidR="00154F9E" w:rsidRPr="00EC06E7" w:rsidRDefault="00154F9E" w:rsidP="009A19BE"/>
    <w:p w14:paraId="0483A1BF" w14:textId="77777777" w:rsidR="000E396D" w:rsidRPr="00EC06E7" w:rsidRDefault="009A19BE" w:rsidP="009A19BE">
      <w:pPr>
        <w:rPr>
          <w:b/>
        </w:rPr>
      </w:pPr>
      <w:r w:rsidRPr="00EC06E7">
        <w:rPr>
          <w:b/>
        </w:rPr>
        <w:t>Depreciation</w:t>
      </w:r>
    </w:p>
    <w:p w14:paraId="48E0BF27" w14:textId="77777777" w:rsidR="00154F9E" w:rsidRPr="00EC06E7" w:rsidRDefault="00154F9E" w:rsidP="009A19BE">
      <w:r w:rsidRPr="00EC06E7">
        <w:t>This is the measure of the wearing out, consumption, or other reduction in the useful economic life of property plant and equipment assets.</w:t>
      </w:r>
    </w:p>
    <w:p w14:paraId="71121FCB" w14:textId="77777777" w:rsidR="00154F9E" w:rsidRPr="00EC06E7" w:rsidRDefault="00154F9E" w:rsidP="009A19BE"/>
    <w:p w14:paraId="5F5AACC6" w14:textId="77777777" w:rsidR="000E396D" w:rsidRPr="00EC06E7" w:rsidRDefault="009A19BE" w:rsidP="009A19BE">
      <w:pPr>
        <w:rPr>
          <w:b/>
        </w:rPr>
      </w:pPr>
      <w:r w:rsidRPr="00EC06E7">
        <w:rPr>
          <w:b/>
        </w:rPr>
        <w:t>Derecognition</w:t>
      </w:r>
    </w:p>
    <w:p w14:paraId="34A315DA" w14:textId="77777777" w:rsidR="00154F9E" w:rsidRPr="00EC06E7" w:rsidRDefault="00154F9E" w:rsidP="009A19BE">
      <w:r w:rsidRPr="00EC06E7">
        <w:t>Financial assets and liabilities will need to be removed from the Balance Sheet once performance under the contract is complete or the contract is terminated.</w:t>
      </w:r>
    </w:p>
    <w:p w14:paraId="6F8A1194" w14:textId="77777777" w:rsidR="00154F9E" w:rsidRPr="00EC06E7" w:rsidRDefault="00154F9E" w:rsidP="009A19BE"/>
    <w:p w14:paraId="1ED13C40" w14:textId="77777777" w:rsidR="000E396D" w:rsidRPr="00EC06E7" w:rsidRDefault="009A19BE" w:rsidP="009A19BE">
      <w:pPr>
        <w:rPr>
          <w:b/>
        </w:rPr>
      </w:pPr>
      <w:r w:rsidRPr="00EC06E7">
        <w:rPr>
          <w:b/>
        </w:rPr>
        <w:t>Discounts</w:t>
      </w:r>
    </w:p>
    <w:p w14:paraId="5C0122DD" w14:textId="77777777" w:rsidR="00154F9E" w:rsidRPr="00EC06E7" w:rsidRDefault="00154F9E" w:rsidP="009A19BE">
      <w:r w:rsidRPr="00EC06E7">
        <w:t>Discounts represent the outstanding discount received on the premature repayment of Public Works Loan Board loans. In line with the requirements of the Code, gains arising from the repurchase or early settlement of borrowing have been written back to revenue. However, where the repurchase or borrowing was coupled with a refinancing or restructuring of borrowing with substantially the same overall economic effect when viewed as a whole, gains have been recognised over the life of the replacement loan.</w:t>
      </w:r>
    </w:p>
    <w:p w14:paraId="32A35A4B" w14:textId="77777777" w:rsidR="00154F9E" w:rsidRPr="00EC06E7" w:rsidRDefault="00154F9E" w:rsidP="009A19BE"/>
    <w:p w14:paraId="3FCBB933" w14:textId="77777777" w:rsidR="000E396D" w:rsidRPr="00EC06E7" w:rsidRDefault="009A19BE" w:rsidP="009A19BE">
      <w:pPr>
        <w:rPr>
          <w:b/>
        </w:rPr>
      </w:pPr>
      <w:r w:rsidRPr="00EC06E7">
        <w:rPr>
          <w:b/>
        </w:rPr>
        <w:t>Earmarked Reserves</w:t>
      </w:r>
    </w:p>
    <w:p w14:paraId="058CBE16" w14:textId="77777777" w:rsidR="00154F9E" w:rsidRPr="00EC06E7" w:rsidRDefault="00154F9E" w:rsidP="009A19BE">
      <w:r w:rsidRPr="00EC06E7">
        <w:t xml:space="preserve">The </w:t>
      </w:r>
      <w:r w:rsidR="00DF0341">
        <w:t>c</w:t>
      </w:r>
      <w:r w:rsidRPr="00EC06E7">
        <w:t xml:space="preserve">ouncil holds </w:t>
      </w:r>
      <w:proofErr w:type="gramStart"/>
      <w:r w:rsidRPr="00EC06E7">
        <w:t>a number of</w:t>
      </w:r>
      <w:proofErr w:type="gramEnd"/>
      <w:r w:rsidRPr="00EC06E7">
        <w:t xml:space="preserve"> reserves earmarked to be used to meet specific, known or predicted future expenditure.</w:t>
      </w:r>
    </w:p>
    <w:p w14:paraId="0364FC55" w14:textId="77777777" w:rsidR="00154F9E" w:rsidRPr="00EC06E7" w:rsidRDefault="00154F9E" w:rsidP="009A19BE"/>
    <w:p w14:paraId="5430EE0B" w14:textId="77777777" w:rsidR="000E396D" w:rsidRPr="00EC06E7" w:rsidRDefault="009A19BE" w:rsidP="009A19BE">
      <w:pPr>
        <w:rPr>
          <w:b/>
        </w:rPr>
      </w:pPr>
      <w:r w:rsidRPr="00EC06E7">
        <w:rPr>
          <w:b/>
        </w:rPr>
        <w:t>External Audit</w:t>
      </w:r>
    </w:p>
    <w:p w14:paraId="7428F96E" w14:textId="77777777" w:rsidR="00154F9E" w:rsidRPr="00EC06E7" w:rsidRDefault="00154F9E" w:rsidP="009A19BE">
      <w:r w:rsidRPr="00EC06E7">
        <w:t>The independent examination of the activities and accounts of Local Authorities to ensure the accounts have been prepared in accordance with legislative requirements and proper practices and to ensure the Authority has made proper arrangements to secure value for money in its use of resources.</w:t>
      </w:r>
    </w:p>
    <w:p w14:paraId="62F5DE34" w14:textId="77777777" w:rsidR="00424734" w:rsidRPr="00EC06E7" w:rsidRDefault="00424734" w:rsidP="009A19BE">
      <w:pPr>
        <w:rPr>
          <w:b/>
        </w:rPr>
      </w:pPr>
    </w:p>
    <w:p w14:paraId="0D5A6ACD" w14:textId="77777777" w:rsidR="000E396D" w:rsidRPr="00EC06E7" w:rsidRDefault="009A19BE" w:rsidP="009A19BE">
      <w:pPr>
        <w:rPr>
          <w:b/>
        </w:rPr>
      </w:pPr>
      <w:r w:rsidRPr="00EC06E7">
        <w:rPr>
          <w:b/>
        </w:rPr>
        <w:t>Fair Value</w:t>
      </w:r>
    </w:p>
    <w:p w14:paraId="60C00241" w14:textId="77777777" w:rsidR="00154F9E" w:rsidRPr="00EC06E7" w:rsidRDefault="00154F9E" w:rsidP="009A19BE">
      <w:r w:rsidRPr="00EC06E7">
        <w:t>Fair Value is the price th</w:t>
      </w:r>
      <w:r w:rsidR="00300A42">
        <w:t>at would be received to sell an</w:t>
      </w:r>
      <w:r w:rsidRPr="00EC06E7">
        <w:t xml:space="preserve"> asset or paid to transfer a liability in an orderly transaction between market participants at the measurement date.</w:t>
      </w:r>
    </w:p>
    <w:p w14:paraId="412351E7" w14:textId="77777777" w:rsidR="00154F9E" w:rsidRPr="00EC06E7" w:rsidRDefault="00154F9E" w:rsidP="009A19BE"/>
    <w:p w14:paraId="0309E00A" w14:textId="77777777" w:rsidR="00424734" w:rsidRPr="00EC06E7" w:rsidRDefault="00424734" w:rsidP="009A19BE">
      <w:pPr>
        <w:rPr>
          <w:b/>
        </w:rPr>
      </w:pPr>
    </w:p>
    <w:p w14:paraId="2CE4A04C" w14:textId="77777777" w:rsidR="000E396D" w:rsidRPr="00EC06E7" w:rsidRDefault="009A19BE" w:rsidP="009A19BE">
      <w:pPr>
        <w:rPr>
          <w:b/>
        </w:rPr>
      </w:pPr>
      <w:r w:rsidRPr="00EC06E7">
        <w:rPr>
          <w:b/>
        </w:rPr>
        <w:t>Finance Lease</w:t>
      </w:r>
    </w:p>
    <w:p w14:paraId="59E65415" w14:textId="77777777" w:rsidR="00154F9E" w:rsidRPr="00EC06E7" w:rsidRDefault="00154F9E" w:rsidP="009A19BE">
      <w:r w:rsidRPr="00EC06E7">
        <w:t xml:space="preserve">A finance lease is a lease that transfers substantially </w:t>
      </w:r>
      <w:proofErr w:type="gramStart"/>
      <w:r w:rsidRPr="00EC06E7">
        <w:t>all of</w:t>
      </w:r>
      <w:proofErr w:type="gramEnd"/>
      <w:r w:rsidRPr="00EC06E7">
        <w:t xml:space="preserve"> the risks and rewards of ownership of a fixed asset to the lessee.</w:t>
      </w:r>
    </w:p>
    <w:p w14:paraId="74349D9D" w14:textId="77777777" w:rsidR="00154F9E" w:rsidRPr="00EC06E7" w:rsidRDefault="00154F9E" w:rsidP="009A19BE"/>
    <w:p w14:paraId="218F9722" w14:textId="77777777" w:rsidR="000E396D" w:rsidRPr="00EC06E7" w:rsidRDefault="009A19BE" w:rsidP="009A19BE">
      <w:pPr>
        <w:rPr>
          <w:b/>
        </w:rPr>
      </w:pPr>
      <w:r w:rsidRPr="00EC06E7">
        <w:rPr>
          <w:b/>
        </w:rPr>
        <w:t>Financial Instruments</w:t>
      </w:r>
    </w:p>
    <w:p w14:paraId="1CA5BA03" w14:textId="77777777" w:rsidR="00154F9E" w:rsidRPr="00EC06E7" w:rsidRDefault="00154F9E" w:rsidP="009A19BE">
      <w:r w:rsidRPr="00EC06E7">
        <w:t>A financial instrument is any contract that gives rise to a financial asset of one entity and a financial liability or equity instrument of another. The term ‘financial instrument’ covers both financial assets and financial liabilities and includes both the most straightforward financial assets and liabilities such as trade receivables and trade payables and the most complex ones such as derivatives and embedded derivatives.</w:t>
      </w:r>
    </w:p>
    <w:p w14:paraId="1CDDC395" w14:textId="77777777" w:rsidR="00154F9E" w:rsidRPr="00EC06E7" w:rsidRDefault="00154F9E" w:rsidP="009A19BE"/>
    <w:p w14:paraId="02A4F157" w14:textId="77777777" w:rsidR="000E396D" w:rsidRPr="00EC06E7" w:rsidRDefault="009A19BE" w:rsidP="009A19BE">
      <w:pPr>
        <w:rPr>
          <w:b/>
        </w:rPr>
      </w:pPr>
      <w:r w:rsidRPr="00EC06E7">
        <w:rPr>
          <w:b/>
        </w:rPr>
        <w:t>Financial Regulations</w:t>
      </w:r>
    </w:p>
    <w:p w14:paraId="0CCB51A7" w14:textId="77777777" w:rsidR="00154F9E" w:rsidRPr="00EC06E7" w:rsidRDefault="00154F9E" w:rsidP="009A19BE">
      <w:r w:rsidRPr="00EC06E7">
        <w:t xml:space="preserve">These are the written code of procedures approved by the </w:t>
      </w:r>
      <w:r w:rsidR="00DF0341">
        <w:t>c</w:t>
      </w:r>
      <w:r w:rsidRPr="00EC06E7">
        <w:t>ouncil, intended to provide a framework for proper financial management. Financial regulations usually set out rules on accounting, audit, administrative and budgeting procedures.</w:t>
      </w:r>
    </w:p>
    <w:p w14:paraId="6F082C3D" w14:textId="77777777" w:rsidR="009A19BE" w:rsidRPr="00EC06E7" w:rsidRDefault="009A19BE" w:rsidP="009A19BE">
      <w:pPr>
        <w:rPr>
          <w:b/>
        </w:rPr>
      </w:pPr>
    </w:p>
    <w:p w14:paraId="27961651" w14:textId="77777777" w:rsidR="000E396D" w:rsidRPr="00EC06E7" w:rsidRDefault="009A19BE" w:rsidP="009A19BE">
      <w:pPr>
        <w:rPr>
          <w:b/>
        </w:rPr>
      </w:pPr>
      <w:r w:rsidRPr="00EC06E7">
        <w:rPr>
          <w:b/>
        </w:rPr>
        <w:t>General Fund</w:t>
      </w:r>
    </w:p>
    <w:p w14:paraId="43E2D6DA" w14:textId="77777777" w:rsidR="00154F9E" w:rsidRPr="00EC06E7" w:rsidRDefault="00154F9E" w:rsidP="009A19BE">
      <w:r w:rsidRPr="00EC06E7">
        <w:t>This is the main revenue fund of the Authority and includes the net cost of all services financed by local taxpayers and Government grants.</w:t>
      </w:r>
    </w:p>
    <w:p w14:paraId="7059303A" w14:textId="77777777" w:rsidR="00154F9E" w:rsidRPr="00EC06E7" w:rsidRDefault="00154F9E" w:rsidP="009A19BE"/>
    <w:p w14:paraId="289C0267" w14:textId="77777777" w:rsidR="000E396D" w:rsidRPr="00EC06E7" w:rsidRDefault="009A19BE" w:rsidP="009A19BE">
      <w:pPr>
        <w:rPr>
          <w:b/>
        </w:rPr>
      </w:pPr>
      <w:r w:rsidRPr="00EC06E7">
        <w:rPr>
          <w:b/>
        </w:rPr>
        <w:t>Highways Network Asset</w:t>
      </w:r>
    </w:p>
    <w:p w14:paraId="04150176" w14:textId="77777777" w:rsidR="00154F9E" w:rsidRPr="00EC06E7" w:rsidRDefault="00154F9E" w:rsidP="009A19BE">
      <w:r w:rsidRPr="00EC06E7">
        <w:t xml:space="preserve">A grouping of interconnected components, expenditure on which is only recoverable by continued use of the asset created, i.e. there is no prospect of sale or alternative use. Components include carriageways, footways and </w:t>
      </w:r>
      <w:r w:rsidR="00B872ED" w:rsidRPr="00EC06E7">
        <w:t>cycle tracks</w:t>
      </w:r>
      <w:r w:rsidRPr="00EC06E7">
        <w:t xml:space="preserve">, structures, street lighting, street furniture, traffic management systems and land. District Council’s such as South </w:t>
      </w:r>
      <w:proofErr w:type="spellStart"/>
      <w:r w:rsidRPr="00EC06E7">
        <w:t>Ribble</w:t>
      </w:r>
      <w:proofErr w:type="spellEnd"/>
      <w:r w:rsidRPr="00EC06E7">
        <w:t xml:space="preserve"> Borough Council rarely hold such assets as they are not Highways Authorities.</w:t>
      </w:r>
    </w:p>
    <w:p w14:paraId="34E5CFC1" w14:textId="77777777" w:rsidR="00154F9E" w:rsidRPr="00EC06E7" w:rsidRDefault="00154F9E" w:rsidP="009A19BE"/>
    <w:p w14:paraId="6F5FE851" w14:textId="77777777" w:rsidR="000E396D" w:rsidRPr="00EC06E7" w:rsidRDefault="009A19BE" w:rsidP="009A19BE">
      <w:pPr>
        <w:rPr>
          <w:b/>
        </w:rPr>
      </w:pPr>
      <w:r w:rsidRPr="00EC06E7">
        <w:rPr>
          <w:b/>
        </w:rPr>
        <w:t>Housing Benefit</w:t>
      </w:r>
    </w:p>
    <w:p w14:paraId="4D605706" w14:textId="77777777" w:rsidR="00154F9E" w:rsidRPr="00EC06E7" w:rsidRDefault="00154F9E" w:rsidP="009A19BE">
      <w:r w:rsidRPr="00EC06E7">
        <w:t>This is an allowance to persons receiving little or no income to meet, in whole or part, their rent. Benefit is allowed or paid by Local Authorities but Central Government refunds part of the cost of the benefits and of the running costs of the services to Local Authorities. Benefits paid to the Authority’s own tenants are known as rent rebate and that paid to private tenants as rent allowance.</w:t>
      </w:r>
    </w:p>
    <w:p w14:paraId="03F754BB" w14:textId="77777777" w:rsidR="00154F9E" w:rsidRPr="00EC06E7" w:rsidRDefault="00154F9E" w:rsidP="009A19BE"/>
    <w:p w14:paraId="427A2B5A" w14:textId="77777777" w:rsidR="000E396D" w:rsidRPr="00EC06E7" w:rsidRDefault="009A19BE" w:rsidP="009A19BE">
      <w:pPr>
        <w:rPr>
          <w:b/>
        </w:rPr>
      </w:pPr>
      <w:r w:rsidRPr="00EC06E7">
        <w:rPr>
          <w:b/>
        </w:rPr>
        <w:t>Impairment</w:t>
      </w:r>
    </w:p>
    <w:p w14:paraId="63DDF5FB" w14:textId="77777777" w:rsidR="00154F9E" w:rsidRPr="00EC06E7" w:rsidRDefault="00154F9E" w:rsidP="009A19BE">
      <w:r w:rsidRPr="00EC06E7">
        <w:t>A reduction in the value of assets below its value brought forward in the Balance Sheet. Examples of factors which may cause such a reduction in value include general price decreases, a significant decline in a fixed asset’s market value and evidence of obsolescence or physical damage to the asset.</w:t>
      </w:r>
    </w:p>
    <w:p w14:paraId="553299AA" w14:textId="77777777" w:rsidR="00154F9E" w:rsidRPr="00EC06E7" w:rsidRDefault="00154F9E" w:rsidP="009A19BE"/>
    <w:p w14:paraId="113DF5CA" w14:textId="77777777" w:rsidR="000E396D" w:rsidRPr="00EC06E7" w:rsidRDefault="009A19BE" w:rsidP="009A19BE">
      <w:pPr>
        <w:rPr>
          <w:b/>
        </w:rPr>
      </w:pPr>
      <w:r w:rsidRPr="00EC06E7">
        <w:rPr>
          <w:b/>
        </w:rPr>
        <w:t>Infrastructure Assets</w:t>
      </w:r>
    </w:p>
    <w:p w14:paraId="110AF07F" w14:textId="77777777" w:rsidR="00154F9E" w:rsidRPr="00EC06E7" w:rsidRDefault="00154F9E" w:rsidP="009A19BE">
      <w:r w:rsidRPr="00EC06E7">
        <w:t>Fixed Assets which generally cannot be sold and from which benefit can be obtained only by continued use of the asset created. Examples of such assets are highways, footpaths, bridges and water and drainage facilities.</w:t>
      </w:r>
    </w:p>
    <w:p w14:paraId="6BB8EEC2" w14:textId="77777777" w:rsidR="00154F9E" w:rsidRPr="00EC06E7" w:rsidRDefault="00154F9E" w:rsidP="009A19BE"/>
    <w:p w14:paraId="30AC7247" w14:textId="77777777" w:rsidR="000E396D" w:rsidRPr="00EC06E7" w:rsidRDefault="009A19BE" w:rsidP="009A19BE">
      <w:pPr>
        <w:rPr>
          <w:b/>
        </w:rPr>
      </w:pPr>
      <w:r w:rsidRPr="00EC06E7">
        <w:rPr>
          <w:b/>
        </w:rPr>
        <w:t>Intangible Assets</w:t>
      </w:r>
    </w:p>
    <w:p w14:paraId="62A8D38D" w14:textId="77777777" w:rsidR="00154F9E" w:rsidRPr="00EC06E7" w:rsidRDefault="00154F9E" w:rsidP="009A19BE">
      <w:r w:rsidRPr="00EC06E7">
        <w:t xml:space="preserve">These are assets that do not have physical substance but are identifiable and controlled by the </w:t>
      </w:r>
      <w:r w:rsidR="00DF0341">
        <w:t>c</w:t>
      </w:r>
      <w:r w:rsidRPr="00EC06E7">
        <w:t>ouncil. Examples include software, licenses and patents.</w:t>
      </w:r>
    </w:p>
    <w:p w14:paraId="01C8A630" w14:textId="77777777" w:rsidR="00154F9E" w:rsidRPr="00EC06E7" w:rsidRDefault="00154F9E" w:rsidP="009A19BE"/>
    <w:p w14:paraId="099C2A60" w14:textId="77777777" w:rsidR="000E396D" w:rsidRPr="00EC06E7" w:rsidRDefault="009A19BE" w:rsidP="009A19BE">
      <w:pPr>
        <w:rPr>
          <w:b/>
        </w:rPr>
      </w:pPr>
      <w:r w:rsidRPr="00EC06E7">
        <w:rPr>
          <w:b/>
        </w:rPr>
        <w:t>International Financial Reporting Standard (IFRS)</w:t>
      </w:r>
    </w:p>
    <w:p w14:paraId="47125B6D" w14:textId="77777777" w:rsidR="000E396D" w:rsidRPr="00EC06E7" w:rsidRDefault="00154F9E" w:rsidP="009A19BE">
      <w:r w:rsidRPr="00EC06E7">
        <w:t>Defined Accounting Standards that must be applied by all reporting entities to all financial statements in order to provide a true and fair view of the entity’s financial position, and a standardised method of comparison with financial statements of the other entities.</w:t>
      </w:r>
    </w:p>
    <w:p w14:paraId="264A380F" w14:textId="77777777" w:rsidR="00B872ED" w:rsidRPr="00EC06E7" w:rsidRDefault="00B872ED" w:rsidP="009A19BE"/>
    <w:p w14:paraId="08556F58" w14:textId="77777777" w:rsidR="000E396D" w:rsidRPr="00EC06E7" w:rsidRDefault="009A19BE" w:rsidP="009A19BE">
      <w:pPr>
        <w:rPr>
          <w:b/>
        </w:rPr>
      </w:pPr>
      <w:r w:rsidRPr="00EC06E7">
        <w:rPr>
          <w:b/>
        </w:rPr>
        <w:t xml:space="preserve">Inventories </w:t>
      </w:r>
    </w:p>
    <w:p w14:paraId="509D38EB" w14:textId="77777777" w:rsidR="00154F9E" w:rsidRPr="00EC06E7" w:rsidRDefault="00154F9E" w:rsidP="009A19BE">
      <w:r w:rsidRPr="00EC06E7">
        <w:t>Amounts of unused or unconsumed stocks held in expectation of future use. Inventories are comprised of the following categories:</w:t>
      </w:r>
    </w:p>
    <w:p w14:paraId="3A9D60D2" w14:textId="77777777" w:rsidR="00154F9E" w:rsidRPr="00EC06E7" w:rsidRDefault="00154F9E" w:rsidP="009A19BE">
      <w:r w:rsidRPr="00EC06E7">
        <w:t>• Goods or other assets purchased for resale</w:t>
      </w:r>
    </w:p>
    <w:p w14:paraId="42981CC6" w14:textId="77777777" w:rsidR="00154F9E" w:rsidRPr="00EC06E7" w:rsidRDefault="00154F9E" w:rsidP="009A19BE">
      <w:r w:rsidRPr="00EC06E7">
        <w:t>• Consumable stores</w:t>
      </w:r>
    </w:p>
    <w:p w14:paraId="6094B284" w14:textId="77777777" w:rsidR="00154F9E" w:rsidRPr="00EC06E7" w:rsidRDefault="00154F9E" w:rsidP="009A19BE">
      <w:r w:rsidRPr="00EC06E7">
        <w:t>• Raw materials and components</w:t>
      </w:r>
    </w:p>
    <w:p w14:paraId="439162F2" w14:textId="77777777" w:rsidR="00154F9E" w:rsidRPr="00EC06E7" w:rsidRDefault="00154F9E" w:rsidP="009A19BE">
      <w:r w:rsidRPr="00EC06E7">
        <w:t>• Products and services in intermediate stages of completion</w:t>
      </w:r>
    </w:p>
    <w:p w14:paraId="3B8DB475" w14:textId="77777777" w:rsidR="00154F9E" w:rsidRPr="00EC06E7" w:rsidRDefault="00154F9E" w:rsidP="009A19BE">
      <w:r w:rsidRPr="00EC06E7">
        <w:t>• Finished goods</w:t>
      </w:r>
    </w:p>
    <w:p w14:paraId="4650BE7A" w14:textId="77777777" w:rsidR="00154F9E" w:rsidRPr="00EC06E7" w:rsidRDefault="00154F9E" w:rsidP="009A19BE"/>
    <w:p w14:paraId="22A81D39" w14:textId="77777777" w:rsidR="000E396D" w:rsidRPr="00EC06E7" w:rsidRDefault="009A19BE" w:rsidP="009A19BE">
      <w:pPr>
        <w:rPr>
          <w:b/>
        </w:rPr>
      </w:pPr>
      <w:r w:rsidRPr="00EC06E7">
        <w:rPr>
          <w:b/>
        </w:rPr>
        <w:t>Investment Properties</w:t>
      </w:r>
    </w:p>
    <w:p w14:paraId="2675D173" w14:textId="77777777" w:rsidR="00154F9E" w:rsidRPr="00EC06E7" w:rsidRDefault="00154F9E" w:rsidP="009A19BE">
      <w:r w:rsidRPr="00EC06E7">
        <w:t>Property, which can be land or a building or part of a building or both, that is held solely to earn rentals or for capital appreciation or both, rather than for operational purposes.</w:t>
      </w:r>
    </w:p>
    <w:p w14:paraId="10F0F608" w14:textId="77777777" w:rsidR="00154F9E" w:rsidRPr="00EC06E7" w:rsidRDefault="00154F9E" w:rsidP="009A19BE"/>
    <w:p w14:paraId="071B4ECD" w14:textId="77777777" w:rsidR="000E396D" w:rsidRPr="00EC06E7" w:rsidRDefault="009A19BE" w:rsidP="009A19BE">
      <w:pPr>
        <w:rPr>
          <w:b/>
        </w:rPr>
      </w:pPr>
      <w:r w:rsidRPr="00EC06E7">
        <w:rPr>
          <w:b/>
        </w:rPr>
        <w:t>Joint Venture</w:t>
      </w:r>
    </w:p>
    <w:p w14:paraId="3DAAC34C" w14:textId="77777777" w:rsidR="00154F9E" w:rsidRPr="00EC06E7" w:rsidRDefault="00154F9E" w:rsidP="009A19BE">
      <w:r w:rsidRPr="00EC06E7">
        <w:t>A joint venture is a joint arrangement whereby the parties who have joint control of the arrangement have rights to the net assets of the arrangement.</w:t>
      </w:r>
    </w:p>
    <w:p w14:paraId="5B13169F" w14:textId="77777777" w:rsidR="00154F9E" w:rsidRPr="00EC06E7" w:rsidRDefault="00154F9E" w:rsidP="009A19BE"/>
    <w:p w14:paraId="0657ADB4" w14:textId="77777777" w:rsidR="000E396D" w:rsidRPr="00EC06E7" w:rsidRDefault="009A19BE" w:rsidP="009A19BE">
      <w:pPr>
        <w:rPr>
          <w:b/>
        </w:rPr>
      </w:pPr>
      <w:r w:rsidRPr="00EC06E7">
        <w:rPr>
          <w:b/>
        </w:rPr>
        <w:t>Leasing Costs</w:t>
      </w:r>
    </w:p>
    <w:p w14:paraId="6CAF80FE" w14:textId="77777777" w:rsidR="00154F9E" w:rsidRPr="00EC06E7" w:rsidRDefault="00154F9E" w:rsidP="009A19BE">
      <w:r w:rsidRPr="00EC06E7">
        <w:t xml:space="preserve">This is where a rental is paid for the use of an asset for a specified </w:t>
      </w:r>
      <w:proofErr w:type="gramStart"/>
      <w:r w:rsidRPr="00EC06E7">
        <w:t>period of time</w:t>
      </w:r>
      <w:proofErr w:type="gramEnd"/>
      <w:r w:rsidRPr="00EC06E7">
        <w:t>. Two forms of lease exist: finance leases and operating leases.</w:t>
      </w:r>
    </w:p>
    <w:p w14:paraId="23F48FBA" w14:textId="77777777" w:rsidR="00154F9E" w:rsidRPr="00EC06E7" w:rsidRDefault="00154F9E" w:rsidP="009A19BE"/>
    <w:p w14:paraId="783AAB5B" w14:textId="77777777" w:rsidR="000E396D" w:rsidRPr="00EC06E7" w:rsidRDefault="009A19BE" w:rsidP="009A19BE">
      <w:pPr>
        <w:rPr>
          <w:b/>
        </w:rPr>
      </w:pPr>
      <w:r w:rsidRPr="00EC06E7">
        <w:rPr>
          <w:b/>
        </w:rPr>
        <w:t>Materiality</w:t>
      </w:r>
    </w:p>
    <w:p w14:paraId="7DCCCBA0" w14:textId="77777777" w:rsidR="00154F9E" w:rsidRPr="00EC06E7" w:rsidRDefault="00154F9E" w:rsidP="009A19BE">
      <w:r w:rsidRPr="00EC06E7">
        <w:t xml:space="preserve">Information is material if omitting it or misstating it could influence the decisions that users make </w:t>
      </w:r>
      <w:proofErr w:type="gramStart"/>
      <w:r w:rsidRPr="00EC06E7">
        <w:t>on the basis of</w:t>
      </w:r>
      <w:proofErr w:type="gramEnd"/>
      <w:r w:rsidRPr="00EC06E7">
        <w:t xml:space="preserve"> financial information about a specific reporting authority.</w:t>
      </w:r>
    </w:p>
    <w:p w14:paraId="34ACA5D9" w14:textId="77777777" w:rsidR="00154F9E" w:rsidRPr="00EC06E7" w:rsidRDefault="00154F9E" w:rsidP="009A19BE"/>
    <w:p w14:paraId="5E633EE3" w14:textId="77777777" w:rsidR="000E396D" w:rsidRPr="00EC06E7" w:rsidRDefault="009A19BE" w:rsidP="009A19BE">
      <w:pPr>
        <w:rPr>
          <w:b/>
        </w:rPr>
      </w:pPr>
      <w:r w:rsidRPr="00EC06E7">
        <w:rPr>
          <w:b/>
        </w:rPr>
        <w:t>Medium Term Financial Strategy (MTFS)</w:t>
      </w:r>
    </w:p>
    <w:p w14:paraId="20706821" w14:textId="77777777" w:rsidR="00154F9E" w:rsidRPr="00EC06E7" w:rsidRDefault="00154F9E" w:rsidP="009A19BE">
      <w:r w:rsidRPr="00EC06E7">
        <w:t xml:space="preserve">This is a financial planning document that sets out the future </w:t>
      </w:r>
      <w:proofErr w:type="gramStart"/>
      <w:r w:rsidRPr="00EC06E7">
        <w:t>years</w:t>
      </w:r>
      <w:proofErr w:type="gramEnd"/>
      <w:r w:rsidRPr="00EC06E7">
        <w:t xml:space="preserve"> financial forecasts for the </w:t>
      </w:r>
      <w:r w:rsidR="00DF0341">
        <w:t>c</w:t>
      </w:r>
      <w:r w:rsidRPr="00EC06E7">
        <w:t xml:space="preserve">ouncil. It considers local and national policy influences and projects their impact on the general fund revenue budget, and capital programme. At South </w:t>
      </w:r>
      <w:proofErr w:type="spellStart"/>
      <w:r w:rsidRPr="00EC06E7">
        <w:t>Ribble</w:t>
      </w:r>
      <w:proofErr w:type="spellEnd"/>
      <w:r w:rsidRPr="00EC06E7">
        <w:t xml:space="preserve"> </w:t>
      </w:r>
      <w:r w:rsidR="00CD1ECA" w:rsidRPr="00EC06E7">
        <w:t xml:space="preserve">Borough Council </w:t>
      </w:r>
      <w:r w:rsidRPr="00EC06E7">
        <w:t xml:space="preserve">this usually covers a </w:t>
      </w:r>
      <w:proofErr w:type="gramStart"/>
      <w:r w:rsidRPr="00EC06E7">
        <w:t>four year</w:t>
      </w:r>
      <w:proofErr w:type="gramEnd"/>
      <w:r w:rsidRPr="00EC06E7">
        <w:t xml:space="preserve"> timeframe.</w:t>
      </w:r>
    </w:p>
    <w:p w14:paraId="13576F6A" w14:textId="77777777" w:rsidR="00154F9E" w:rsidRPr="00EC06E7" w:rsidRDefault="00154F9E" w:rsidP="009A19BE"/>
    <w:p w14:paraId="1C59FC8B" w14:textId="77777777" w:rsidR="000E396D" w:rsidRPr="00EC06E7" w:rsidRDefault="009A19BE" w:rsidP="009A19BE">
      <w:pPr>
        <w:rPr>
          <w:b/>
        </w:rPr>
      </w:pPr>
      <w:r w:rsidRPr="00EC06E7">
        <w:rPr>
          <w:b/>
        </w:rPr>
        <w:t>Minimum Revenue Provision (MRP)</w:t>
      </w:r>
    </w:p>
    <w:p w14:paraId="433A1B77" w14:textId="77777777" w:rsidR="00154F9E" w:rsidRPr="00EC06E7" w:rsidRDefault="00606B8D" w:rsidP="00606B8D">
      <w:r w:rsidRPr="00EC06E7">
        <w:t xml:space="preserve">The </w:t>
      </w:r>
      <w:r w:rsidR="00DF0341">
        <w:t>c</w:t>
      </w:r>
      <w:r w:rsidRPr="00EC06E7">
        <w:t xml:space="preserve">ouncil is required to pay off an element of the accumulated General Fund capital spend each year through a revenue charge. </w:t>
      </w:r>
      <w:r w:rsidR="00154F9E" w:rsidRPr="00EC06E7">
        <w:t xml:space="preserve">MRP is the minimum amount which must be charged to an Authority’s revenue account each year and set aside as provision for credit liabilities, as required by the Local </w:t>
      </w:r>
      <w:r w:rsidRPr="00EC06E7">
        <w:t>Government and Housing Act 1989 and calculated in accordance with The Local Authorities (Capital Finance and Accounting) (England) Regulations 2003.</w:t>
      </w:r>
    </w:p>
    <w:p w14:paraId="273C7C33" w14:textId="77777777" w:rsidR="00154F9E" w:rsidRPr="00EC06E7" w:rsidRDefault="00154F9E" w:rsidP="009A19BE"/>
    <w:p w14:paraId="56756D71" w14:textId="77777777" w:rsidR="000E396D" w:rsidRPr="00EC06E7" w:rsidRDefault="009A19BE" w:rsidP="009A19BE">
      <w:pPr>
        <w:rPr>
          <w:b/>
        </w:rPr>
      </w:pPr>
      <w:r w:rsidRPr="00EC06E7">
        <w:rPr>
          <w:b/>
        </w:rPr>
        <w:t>Non</w:t>
      </w:r>
      <w:r w:rsidR="00B872ED" w:rsidRPr="00EC06E7">
        <w:rPr>
          <w:b/>
        </w:rPr>
        <w:t>-</w:t>
      </w:r>
      <w:r w:rsidRPr="00EC06E7">
        <w:rPr>
          <w:b/>
        </w:rPr>
        <w:t>Domestic Rate (NDR) (also known as Business Rates)</w:t>
      </w:r>
    </w:p>
    <w:p w14:paraId="71F47BBD" w14:textId="77777777" w:rsidR="00154F9E" w:rsidRPr="00EC06E7" w:rsidRDefault="00154F9E" w:rsidP="009A19BE">
      <w:r w:rsidRPr="00EC06E7">
        <w:t>NDR is the levy on business property, based on a national rate in the pound applied to the ‘rateable value’ of the property. The Government determines national rate poundage each year which is applicable to all Local Authorities.</w:t>
      </w:r>
    </w:p>
    <w:p w14:paraId="4B3BECE2" w14:textId="77777777" w:rsidR="00154F9E" w:rsidRPr="00EC06E7" w:rsidRDefault="00154F9E" w:rsidP="009A19BE"/>
    <w:p w14:paraId="54FB713E" w14:textId="77777777" w:rsidR="000E396D" w:rsidRPr="00EC06E7" w:rsidRDefault="009A19BE" w:rsidP="009A19BE">
      <w:pPr>
        <w:rPr>
          <w:b/>
        </w:rPr>
      </w:pPr>
      <w:r w:rsidRPr="00EC06E7">
        <w:rPr>
          <w:b/>
        </w:rPr>
        <w:t>Net Book Value (NBV)</w:t>
      </w:r>
    </w:p>
    <w:p w14:paraId="4D343AE1" w14:textId="77777777" w:rsidR="00154F9E" w:rsidRPr="00EC06E7" w:rsidRDefault="00154F9E" w:rsidP="009A19BE">
      <w:r w:rsidRPr="00EC06E7">
        <w:t>The amount at which non-current assets are included in the balance sheet, i.e. their historical cost or current value less the cumulative amounts provided for depreciation.</w:t>
      </w:r>
    </w:p>
    <w:p w14:paraId="67C39E08" w14:textId="77777777" w:rsidR="00154F9E" w:rsidRPr="00EC06E7" w:rsidRDefault="00154F9E" w:rsidP="009A19BE"/>
    <w:p w14:paraId="56928002" w14:textId="77777777" w:rsidR="000E396D" w:rsidRPr="00EC06E7" w:rsidRDefault="009A19BE" w:rsidP="009A19BE">
      <w:pPr>
        <w:rPr>
          <w:b/>
        </w:rPr>
      </w:pPr>
      <w:r w:rsidRPr="00EC06E7">
        <w:rPr>
          <w:b/>
        </w:rPr>
        <w:t>Net Realisable Value (NRV)</w:t>
      </w:r>
    </w:p>
    <w:p w14:paraId="4D45A42B" w14:textId="77777777" w:rsidR="00154F9E" w:rsidRPr="00EC06E7" w:rsidRDefault="00154F9E" w:rsidP="009A19BE">
      <w:r w:rsidRPr="00EC06E7">
        <w:t>NRV is the open market value of the asset in its existing use (or open market value in the case of non-operational assets) less the expenses to be incurred in realising the asset.</w:t>
      </w:r>
    </w:p>
    <w:p w14:paraId="03B7DE7D" w14:textId="77777777" w:rsidR="009A19BE" w:rsidRPr="00EC06E7" w:rsidRDefault="009A19BE" w:rsidP="009A19BE"/>
    <w:p w14:paraId="3FDF2538" w14:textId="77777777" w:rsidR="000E396D" w:rsidRPr="00EC06E7" w:rsidRDefault="009A19BE" w:rsidP="009A19BE">
      <w:pPr>
        <w:rPr>
          <w:b/>
        </w:rPr>
      </w:pPr>
      <w:r w:rsidRPr="00EC06E7">
        <w:rPr>
          <w:b/>
        </w:rPr>
        <w:t>Operating Lease</w:t>
      </w:r>
    </w:p>
    <w:p w14:paraId="6EA3BDF1" w14:textId="77777777" w:rsidR="00154F9E" w:rsidRPr="00EC06E7" w:rsidRDefault="00154F9E" w:rsidP="009A19BE">
      <w:r w:rsidRPr="00EC06E7">
        <w:t>This is a type of lease, usually of computer equipment, office equipment, furniture, etc. where the balance of risks and rewards of holding the asset remains with the lessor. The asset remains the property of the lessor and the lease costs are revenue expenditure to the Authority.</w:t>
      </w:r>
    </w:p>
    <w:p w14:paraId="1ABAB645" w14:textId="77777777" w:rsidR="00154F9E" w:rsidRPr="00EC06E7" w:rsidRDefault="00154F9E" w:rsidP="009A19BE"/>
    <w:p w14:paraId="07EF4851" w14:textId="77777777" w:rsidR="000E396D" w:rsidRPr="00EC06E7" w:rsidRDefault="009A19BE" w:rsidP="009A19BE">
      <w:pPr>
        <w:rPr>
          <w:b/>
        </w:rPr>
      </w:pPr>
      <w:r w:rsidRPr="00EC06E7">
        <w:rPr>
          <w:b/>
        </w:rPr>
        <w:t>Precept</w:t>
      </w:r>
    </w:p>
    <w:p w14:paraId="01B5F757" w14:textId="77777777" w:rsidR="00154F9E" w:rsidRPr="00EC06E7" w:rsidRDefault="00154F9E" w:rsidP="009A19BE">
      <w:r w:rsidRPr="00EC06E7">
        <w:t xml:space="preserve">The amount levied by various Authorities that is collected by the </w:t>
      </w:r>
      <w:r w:rsidR="00DF0341">
        <w:t>c</w:t>
      </w:r>
      <w:r w:rsidRPr="00EC06E7">
        <w:t xml:space="preserve">ouncil on their behalf. The major precepting Authorities in South </w:t>
      </w:r>
      <w:proofErr w:type="spellStart"/>
      <w:r w:rsidRPr="00EC06E7">
        <w:t>Ribble</w:t>
      </w:r>
      <w:proofErr w:type="spellEnd"/>
      <w:r w:rsidRPr="00EC06E7">
        <w:t xml:space="preserve"> are Lancashire County Council, the Police and Crime Commissioner for Lancashire, and the Lancashire Combined Fire and Rescue Authority. Parish precepts are also collected on behalf of </w:t>
      </w:r>
      <w:proofErr w:type="gramStart"/>
      <w:r w:rsidRPr="00EC06E7">
        <w:t>a number of</w:t>
      </w:r>
      <w:proofErr w:type="gramEnd"/>
      <w:r w:rsidRPr="00EC06E7">
        <w:t xml:space="preserve"> Parish and Town Councils in the area.</w:t>
      </w:r>
    </w:p>
    <w:p w14:paraId="3CDE62A7" w14:textId="77777777" w:rsidR="00154F9E" w:rsidRPr="00EC06E7" w:rsidRDefault="00154F9E" w:rsidP="009A19BE"/>
    <w:p w14:paraId="3A7B744A" w14:textId="77777777" w:rsidR="000E396D" w:rsidRPr="00EC06E7" w:rsidRDefault="009A19BE" w:rsidP="009A19BE">
      <w:pPr>
        <w:rPr>
          <w:b/>
        </w:rPr>
      </w:pPr>
      <w:r w:rsidRPr="00EC06E7">
        <w:rPr>
          <w:b/>
        </w:rPr>
        <w:t>Premiums</w:t>
      </w:r>
    </w:p>
    <w:p w14:paraId="2D2920A3" w14:textId="77777777" w:rsidR="00154F9E" w:rsidRPr="00EC06E7" w:rsidRDefault="00154F9E" w:rsidP="009A19BE">
      <w:r w:rsidRPr="00EC06E7">
        <w:t xml:space="preserve">These are discounts that have arisen following the early redemption of </w:t>
      </w:r>
      <w:proofErr w:type="gramStart"/>
      <w:r w:rsidRPr="00EC06E7">
        <w:t>long term</w:t>
      </w:r>
      <w:proofErr w:type="gramEnd"/>
      <w:r w:rsidRPr="00EC06E7">
        <w:t xml:space="preserve"> debt, which are written down over the lifetime of replacement loans where applicable.</w:t>
      </w:r>
    </w:p>
    <w:p w14:paraId="1DD5DA52" w14:textId="77777777" w:rsidR="00154F9E" w:rsidRPr="00EC06E7" w:rsidRDefault="00154F9E" w:rsidP="009A19BE"/>
    <w:p w14:paraId="30252BBF" w14:textId="77777777" w:rsidR="000E396D" w:rsidRPr="00EC06E7" w:rsidRDefault="009A19BE" w:rsidP="009A19BE">
      <w:pPr>
        <w:rPr>
          <w:b/>
        </w:rPr>
      </w:pPr>
      <w:r w:rsidRPr="00EC06E7">
        <w:rPr>
          <w:b/>
        </w:rPr>
        <w:t>Prior Period Adjustments</w:t>
      </w:r>
    </w:p>
    <w:p w14:paraId="1D0BFB75" w14:textId="77777777" w:rsidR="00154F9E" w:rsidRPr="00EC06E7" w:rsidRDefault="00154F9E" w:rsidP="009A19BE">
      <w:r w:rsidRPr="00EC06E7">
        <w:t>These are material adjustments which are applicable to an earlier period arising from changes in accounting poli</w:t>
      </w:r>
      <w:r w:rsidR="00261730" w:rsidRPr="00EC06E7">
        <w:t>cies</w:t>
      </w:r>
      <w:r w:rsidRPr="00EC06E7">
        <w:t xml:space="preserve"> or for the correction of fundamental errors.</w:t>
      </w:r>
    </w:p>
    <w:p w14:paraId="6FBA6C67" w14:textId="77777777" w:rsidR="00154F9E" w:rsidRPr="00EC06E7" w:rsidRDefault="00154F9E" w:rsidP="009A19BE"/>
    <w:p w14:paraId="5DDD8E66" w14:textId="77777777" w:rsidR="000E396D" w:rsidRPr="00EC06E7" w:rsidRDefault="009A19BE" w:rsidP="009A19BE">
      <w:pPr>
        <w:rPr>
          <w:b/>
        </w:rPr>
      </w:pPr>
      <w:r w:rsidRPr="00EC06E7">
        <w:rPr>
          <w:b/>
        </w:rPr>
        <w:t>Property, Plant and Equipment (PPE)</w:t>
      </w:r>
    </w:p>
    <w:p w14:paraId="17ACB6F3" w14:textId="77777777" w:rsidR="00154F9E" w:rsidRPr="00EC06E7" w:rsidRDefault="00154F9E" w:rsidP="009A19BE">
      <w:r w:rsidRPr="00EC06E7">
        <w:t>PPE are tangible assets (i.e. assets that have physical substance) that are held for use in the production or supply of goods and services, for rental to others, or for administrative purposes, and are expected to be used during more than one year.</w:t>
      </w:r>
    </w:p>
    <w:p w14:paraId="57F33E39" w14:textId="77777777" w:rsidR="00154F9E" w:rsidRPr="00EC06E7" w:rsidRDefault="00154F9E" w:rsidP="009A19BE"/>
    <w:p w14:paraId="29A70885" w14:textId="77777777" w:rsidR="000E396D" w:rsidRPr="00EC06E7" w:rsidRDefault="009A19BE" w:rsidP="009A19BE">
      <w:pPr>
        <w:rPr>
          <w:b/>
        </w:rPr>
      </w:pPr>
      <w:r w:rsidRPr="00EC06E7">
        <w:rPr>
          <w:b/>
        </w:rPr>
        <w:t>Provisions</w:t>
      </w:r>
    </w:p>
    <w:p w14:paraId="07FE9ACE" w14:textId="77777777" w:rsidR="00154F9E" w:rsidRPr="00EC06E7" w:rsidRDefault="00154F9E" w:rsidP="009A19BE">
      <w:r w:rsidRPr="00EC06E7">
        <w:t>Amounts set aside to meet liabilities or losses which it is anticipated will be incurred but where the amount and/or the timing of such costs are uncertain.</w:t>
      </w:r>
    </w:p>
    <w:p w14:paraId="4D85850F" w14:textId="77777777" w:rsidR="00154F9E" w:rsidRPr="00EC06E7" w:rsidRDefault="00154F9E" w:rsidP="009A19BE"/>
    <w:p w14:paraId="164E8172" w14:textId="77777777" w:rsidR="000E396D" w:rsidRPr="00EC06E7" w:rsidRDefault="009A19BE" w:rsidP="009A19BE">
      <w:pPr>
        <w:rPr>
          <w:b/>
        </w:rPr>
      </w:pPr>
      <w:r w:rsidRPr="00EC06E7">
        <w:rPr>
          <w:b/>
        </w:rPr>
        <w:t>Public Works Loan Board (PWLB)</w:t>
      </w:r>
    </w:p>
    <w:p w14:paraId="5CC8A297" w14:textId="77777777" w:rsidR="00154F9E" w:rsidRPr="00EC06E7" w:rsidRDefault="00154F9E" w:rsidP="009A19BE">
      <w:r w:rsidRPr="00EC06E7">
        <w:t>An arm of Central Government which is the major provider of loans to finance long term funding requirements for Local Authorities.</w:t>
      </w:r>
    </w:p>
    <w:p w14:paraId="18127331" w14:textId="77777777" w:rsidR="00154F9E" w:rsidRPr="00EC06E7" w:rsidRDefault="00154F9E" w:rsidP="009A19BE"/>
    <w:p w14:paraId="16D9EDB4" w14:textId="77777777" w:rsidR="000E396D" w:rsidRPr="00EC06E7" w:rsidRDefault="009A19BE" w:rsidP="009A19BE">
      <w:pPr>
        <w:rPr>
          <w:b/>
        </w:rPr>
      </w:pPr>
      <w:r w:rsidRPr="00EC06E7">
        <w:rPr>
          <w:b/>
        </w:rPr>
        <w:t>Related Parties</w:t>
      </w:r>
    </w:p>
    <w:p w14:paraId="4180D022" w14:textId="77777777" w:rsidR="00154F9E" w:rsidRPr="00EC06E7" w:rsidRDefault="00154F9E" w:rsidP="009A19BE">
      <w:r w:rsidRPr="00EC06E7">
        <w:t>Related parties are Central Government, other Local Authorities, precepting and levying bodies, subsidiary and associated companies, Elected Members, all senior officers from Director and above and the Pension Fund. For individuals identified as related parties, the following are also presumed to be related parties:</w:t>
      </w:r>
    </w:p>
    <w:p w14:paraId="05BD759B" w14:textId="77777777" w:rsidR="00B872ED" w:rsidRPr="00EC06E7" w:rsidRDefault="00154F9E" w:rsidP="00E948BF">
      <w:pPr>
        <w:pStyle w:val="ListParagraph"/>
        <w:numPr>
          <w:ilvl w:val="0"/>
          <w:numId w:val="19"/>
        </w:numPr>
      </w:pPr>
      <w:r w:rsidRPr="00EC06E7">
        <w:t>members of the close family, or the same household; and</w:t>
      </w:r>
    </w:p>
    <w:p w14:paraId="50557933" w14:textId="77777777" w:rsidR="00154F9E" w:rsidRPr="00EC06E7" w:rsidRDefault="00154F9E" w:rsidP="00E948BF">
      <w:pPr>
        <w:pStyle w:val="ListParagraph"/>
        <w:numPr>
          <w:ilvl w:val="0"/>
          <w:numId w:val="19"/>
        </w:numPr>
      </w:pPr>
      <w:r w:rsidRPr="00EC06E7">
        <w:t>partnerships, companies, trusts or other entities in which the individual, or member of their close family or the same household, has a controlling interest.</w:t>
      </w:r>
    </w:p>
    <w:p w14:paraId="7A1774B6" w14:textId="77777777" w:rsidR="00154F9E" w:rsidRPr="00EC06E7" w:rsidRDefault="00154F9E" w:rsidP="009A19BE"/>
    <w:p w14:paraId="70E56C7D" w14:textId="77777777" w:rsidR="000E396D" w:rsidRPr="00EC06E7" w:rsidRDefault="009A19BE" w:rsidP="009A19BE">
      <w:pPr>
        <w:rPr>
          <w:b/>
        </w:rPr>
      </w:pPr>
      <w:r w:rsidRPr="00EC06E7">
        <w:rPr>
          <w:b/>
        </w:rPr>
        <w:t>Remeasurement of the Net Defined Benefit Liability</w:t>
      </w:r>
    </w:p>
    <w:p w14:paraId="2C7FF9B6" w14:textId="77777777" w:rsidR="00154F9E" w:rsidRPr="00EC06E7" w:rsidRDefault="00154F9E" w:rsidP="009A19BE">
      <w:r w:rsidRPr="00EC06E7">
        <w:t>Remeasurement of the Net Defined Benefit Liability (asset) comprises:</w:t>
      </w:r>
    </w:p>
    <w:p w14:paraId="449B9029" w14:textId="77777777" w:rsidR="00154F9E" w:rsidRPr="00EC06E7" w:rsidRDefault="00154F9E" w:rsidP="00E948BF">
      <w:pPr>
        <w:pStyle w:val="ListParagraph"/>
        <w:numPr>
          <w:ilvl w:val="4"/>
          <w:numId w:val="18"/>
        </w:numPr>
      </w:pPr>
      <w:r w:rsidRPr="00EC06E7">
        <w:t>actuarial gains and losses</w:t>
      </w:r>
    </w:p>
    <w:p w14:paraId="1EF654F4" w14:textId="77777777" w:rsidR="00B872ED" w:rsidRPr="00EC06E7" w:rsidRDefault="00154F9E" w:rsidP="00E948BF">
      <w:pPr>
        <w:pStyle w:val="ListParagraph"/>
        <w:numPr>
          <w:ilvl w:val="4"/>
          <w:numId w:val="18"/>
        </w:numPr>
      </w:pPr>
      <w:r w:rsidRPr="00EC06E7">
        <w:t>the return on plan assets, excluding amounts included in net interest on the net defined benefit liability (asset), and</w:t>
      </w:r>
    </w:p>
    <w:p w14:paraId="6B25E93B" w14:textId="77777777" w:rsidR="00154F9E" w:rsidRPr="00EC06E7" w:rsidRDefault="00154F9E" w:rsidP="00E948BF">
      <w:pPr>
        <w:pStyle w:val="ListParagraph"/>
        <w:numPr>
          <w:ilvl w:val="4"/>
          <w:numId w:val="18"/>
        </w:numPr>
      </w:pPr>
      <w:r w:rsidRPr="00EC06E7">
        <w:t>any change in the effect of the asset ceiling, excluding amounts included in net interest on the net defined benefit liability (asset).</w:t>
      </w:r>
    </w:p>
    <w:p w14:paraId="28717F69" w14:textId="77777777" w:rsidR="00154F9E" w:rsidRPr="00EC06E7" w:rsidRDefault="00154F9E" w:rsidP="009A19BE"/>
    <w:p w14:paraId="2531A61B" w14:textId="77777777" w:rsidR="000E396D" w:rsidRPr="00EC06E7" w:rsidRDefault="009A19BE" w:rsidP="009A19BE">
      <w:pPr>
        <w:rPr>
          <w:b/>
        </w:rPr>
      </w:pPr>
      <w:r w:rsidRPr="00EC06E7">
        <w:rPr>
          <w:b/>
        </w:rPr>
        <w:t>Reporting Standards</w:t>
      </w:r>
    </w:p>
    <w:p w14:paraId="7CBE0DCE" w14:textId="77777777" w:rsidR="00154F9E" w:rsidRPr="00EC06E7" w:rsidRDefault="00154F9E" w:rsidP="009A19BE">
      <w:r w:rsidRPr="00EC06E7">
        <w:t>The Code of Practice prescribes the accounting treatment and disclosures for all normal transactions of a Local Authority. It is based on International Financial Reporting Standards (IFRS), International Standards (IAS) and International Financial Reporting Interpretations Committee (IFRIC) plus UK Generally Accepted Accounting Practice (GAAP) and Financial Reporting Standards (FRS).</w:t>
      </w:r>
    </w:p>
    <w:p w14:paraId="22249A4A" w14:textId="77777777" w:rsidR="00154F9E" w:rsidRPr="00EC06E7" w:rsidRDefault="00154F9E" w:rsidP="009A19BE"/>
    <w:p w14:paraId="713FC57F" w14:textId="77777777" w:rsidR="00154F9E" w:rsidRPr="00EC06E7" w:rsidRDefault="00154F9E" w:rsidP="009A19BE">
      <w:pPr>
        <w:rPr>
          <w:b/>
        </w:rPr>
      </w:pPr>
      <w:r w:rsidRPr="00EC06E7">
        <w:rPr>
          <w:b/>
        </w:rPr>
        <w:t>Regulation(s)</w:t>
      </w:r>
    </w:p>
    <w:p w14:paraId="36889751" w14:textId="77777777" w:rsidR="00154F9E" w:rsidRPr="00EC06E7" w:rsidRDefault="00154F9E" w:rsidP="009A19BE">
      <w:r w:rsidRPr="00EC06E7">
        <w:t xml:space="preserve">Various Acts of Parliament, Statutory Instruments and Bills that require local authorities to account for transactions in a </w:t>
      </w:r>
      <w:proofErr w:type="gramStart"/>
      <w:r w:rsidRPr="00EC06E7">
        <w:t>particularly</w:t>
      </w:r>
      <w:proofErr w:type="gramEnd"/>
      <w:r w:rsidRPr="00EC06E7">
        <w:t xml:space="preserve"> way which might depart from proper accounting practice, IFRS or other Reporting Standards.</w:t>
      </w:r>
    </w:p>
    <w:p w14:paraId="3121D3C5" w14:textId="77777777" w:rsidR="009A19BE" w:rsidRPr="00EC06E7" w:rsidRDefault="009A19BE" w:rsidP="009A19BE">
      <w:pPr>
        <w:rPr>
          <w:b/>
        </w:rPr>
      </w:pPr>
    </w:p>
    <w:p w14:paraId="79C60222" w14:textId="77777777" w:rsidR="000E396D" w:rsidRPr="00EC06E7" w:rsidRDefault="009A19BE" w:rsidP="009A19BE">
      <w:pPr>
        <w:rPr>
          <w:b/>
        </w:rPr>
      </w:pPr>
      <w:r w:rsidRPr="00EC06E7">
        <w:rPr>
          <w:b/>
        </w:rPr>
        <w:t>Reserves</w:t>
      </w:r>
    </w:p>
    <w:p w14:paraId="3C4CBCD3" w14:textId="77777777" w:rsidR="00154F9E" w:rsidRPr="00EC06E7" w:rsidRDefault="00154F9E" w:rsidP="009A19BE">
      <w:r w:rsidRPr="00EC06E7">
        <w:t>Amounts set aside to help manage future risks, to provide working balances or that are earmarked for specific future expenditure priorities.</w:t>
      </w:r>
    </w:p>
    <w:p w14:paraId="66F4C8D6" w14:textId="77777777" w:rsidR="00424734" w:rsidRPr="00EC06E7" w:rsidRDefault="00424734" w:rsidP="009A19BE"/>
    <w:p w14:paraId="57C99FF1" w14:textId="77777777" w:rsidR="00424734" w:rsidRPr="00EC06E7" w:rsidRDefault="00424734">
      <w:pPr>
        <w:jc w:val="left"/>
      </w:pPr>
      <w:r w:rsidRPr="00EC06E7">
        <w:br w:type="page"/>
      </w:r>
    </w:p>
    <w:p w14:paraId="6D09D776" w14:textId="77777777" w:rsidR="000E396D" w:rsidRPr="00EC06E7" w:rsidRDefault="009A19BE" w:rsidP="009A19BE">
      <w:pPr>
        <w:rPr>
          <w:b/>
        </w:rPr>
      </w:pPr>
      <w:r w:rsidRPr="00EC06E7">
        <w:rPr>
          <w:b/>
        </w:rPr>
        <w:t>Revaluation Reserve</w:t>
      </w:r>
    </w:p>
    <w:p w14:paraId="2D9BADD3" w14:textId="77777777" w:rsidR="00154F9E" w:rsidRPr="00EC06E7" w:rsidRDefault="00154F9E" w:rsidP="009A19BE">
      <w:r w:rsidRPr="00EC06E7">
        <w:t>The</w:t>
      </w:r>
      <w:r w:rsidR="009A19BE" w:rsidRPr="00EC06E7">
        <w:t xml:space="preserve"> Revaluation</w:t>
      </w:r>
      <w:r w:rsidRPr="00EC06E7">
        <w:t xml:space="preserve"> Reserve records the accumulated gains on the non-current assets held by the Authority arising from increases in value as a result of inflation or other factors (to the extent that these gains have not been consumed by subsequent downward movements in value).</w:t>
      </w:r>
    </w:p>
    <w:p w14:paraId="4868371E" w14:textId="77777777" w:rsidR="00154F9E" w:rsidRPr="00EC06E7" w:rsidRDefault="00154F9E" w:rsidP="009A19BE"/>
    <w:p w14:paraId="61174DF7" w14:textId="77777777" w:rsidR="000E396D" w:rsidRPr="00EC06E7" w:rsidRDefault="009A19BE" w:rsidP="009A19BE">
      <w:pPr>
        <w:rPr>
          <w:b/>
        </w:rPr>
      </w:pPr>
      <w:r w:rsidRPr="00EC06E7">
        <w:rPr>
          <w:b/>
        </w:rPr>
        <w:t>Revenue Support Grant</w:t>
      </w:r>
    </w:p>
    <w:p w14:paraId="5616F54A" w14:textId="77777777" w:rsidR="00154F9E" w:rsidRPr="00EC06E7" w:rsidRDefault="00154F9E" w:rsidP="009A19BE">
      <w:r w:rsidRPr="00EC06E7">
        <w:t>The main Government grant paid to local authorities. It is intended to adjust for differences in needs between areas so that, if all local authorities were to spend at the level which the Government assess that they need to spend, the council tax would be the same across the whole country.</w:t>
      </w:r>
    </w:p>
    <w:p w14:paraId="49CCFBB0" w14:textId="77777777" w:rsidR="00154F9E" w:rsidRPr="00EC06E7" w:rsidRDefault="00154F9E" w:rsidP="009A19BE"/>
    <w:p w14:paraId="57E066AD" w14:textId="77777777" w:rsidR="000E396D" w:rsidRPr="00EC06E7" w:rsidRDefault="009A19BE" w:rsidP="009A19BE">
      <w:pPr>
        <w:rPr>
          <w:b/>
        </w:rPr>
      </w:pPr>
      <w:r w:rsidRPr="00EC06E7">
        <w:rPr>
          <w:b/>
        </w:rPr>
        <w:t xml:space="preserve">Revenue Expenditure Funded </w:t>
      </w:r>
      <w:proofErr w:type="gramStart"/>
      <w:r w:rsidRPr="00EC06E7">
        <w:rPr>
          <w:b/>
        </w:rPr>
        <w:t>From</w:t>
      </w:r>
      <w:proofErr w:type="gramEnd"/>
      <w:r w:rsidRPr="00EC06E7">
        <w:rPr>
          <w:b/>
        </w:rPr>
        <w:t xml:space="preserve"> Capital Under Statute (REFCUS)</w:t>
      </w:r>
    </w:p>
    <w:p w14:paraId="56CFEF96" w14:textId="77777777" w:rsidR="00154F9E" w:rsidRPr="00EC06E7" w:rsidRDefault="00154F9E" w:rsidP="009A19BE">
      <w:r w:rsidRPr="00EC06E7">
        <w:t xml:space="preserve">Expenditure incurred during the year that may be capitalised under statutory provision but that does not result in the creation of a non-current asset that has been charged as expenditure to the </w:t>
      </w:r>
      <w:r w:rsidR="00174B83" w:rsidRPr="00EC06E7">
        <w:t>CIES</w:t>
      </w:r>
      <w:r w:rsidRPr="00EC06E7">
        <w:t>.</w:t>
      </w:r>
    </w:p>
    <w:p w14:paraId="0227272F" w14:textId="77777777" w:rsidR="00154F9E" w:rsidRPr="00EC06E7" w:rsidRDefault="00154F9E" w:rsidP="009A19BE"/>
    <w:p w14:paraId="3316F9CF" w14:textId="77777777" w:rsidR="00BA2E4D" w:rsidRPr="00EC06E7" w:rsidRDefault="00BA2E4D" w:rsidP="009A19BE">
      <w:pPr>
        <w:rPr>
          <w:b/>
        </w:rPr>
      </w:pPr>
      <w:r w:rsidRPr="00EC06E7">
        <w:rPr>
          <w:b/>
        </w:rPr>
        <w:t>Royal Institution of Chartered Surveyors (RICS)</w:t>
      </w:r>
    </w:p>
    <w:p w14:paraId="137A5BD6" w14:textId="77777777" w:rsidR="00BA2E4D" w:rsidRPr="00EC06E7" w:rsidRDefault="00BA2E4D" w:rsidP="00BA2E4D">
      <w:r w:rsidRPr="00EC06E7">
        <w:t>The Royal Institution of Chartered Surveyors (RICS) is a professional body that accredits professionals within the land, property and construction sectors worldwide.</w:t>
      </w:r>
    </w:p>
    <w:p w14:paraId="5821DEDB" w14:textId="77777777" w:rsidR="00BA2E4D" w:rsidRPr="00EC06E7" w:rsidRDefault="00BA2E4D" w:rsidP="00BA2E4D"/>
    <w:p w14:paraId="266F67A7" w14:textId="77777777" w:rsidR="00BA2E4D" w:rsidRPr="00EC06E7" w:rsidRDefault="00BA2E4D" w:rsidP="00BA2E4D">
      <w:r w:rsidRPr="00EC06E7">
        <w:t>Members holding RICS qualifications may use the following designations after their name: MRICS (Member), FRICS (Fellow), AssocRICS (Associate). Those with the designation MRICS or FRICS are also known as chartered surveyors.</w:t>
      </w:r>
    </w:p>
    <w:p w14:paraId="1AE84152" w14:textId="77777777" w:rsidR="007E30F2" w:rsidRPr="00EC06E7" w:rsidRDefault="007E30F2" w:rsidP="007E30F2">
      <w:pPr>
        <w:rPr>
          <w:b/>
        </w:rPr>
      </w:pPr>
    </w:p>
    <w:p w14:paraId="5B1E9D7C" w14:textId="77777777" w:rsidR="007E30F2" w:rsidRPr="00EC06E7" w:rsidRDefault="007E30F2" w:rsidP="007E30F2">
      <w:pPr>
        <w:rPr>
          <w:b/>
        </w:rPr>
      </w:pPr>
      <w:r w:rsidRPr="00EC06E7">
        <w:rPr>
          <w:b/>
        </w:rPr>
        <w:t>Service Reporting Code of Practice (</w:t>
      </w:r>
      <w:proofErr w:type="spellStart"/>
      <w:r w:rsidRPr="00EC06E7">
        <w:rPr>
          <w:b/>
        </w:rPr>
        <w:t>SeRCOP</w:t>
      </w:r>
      <w:proofErr w:type="spellEnd"/>
      <w:r w:rsidRPr="00EC06E7">
        <w:rPr>
          <w:b/>
        </w:rPr>
        <w:t>)</w:t>
      </w:r>
    </w:p>
    <w:p w14:paraId="408C8ED0" w14:textId="77777777" w:rsidR="00BA2E4D" w:rsidRPr="00EC06E7" w:rsidRDefault="007E30F2" w:rsidP="007E30F2">
      <w:r w:rsidRPr="00EC06E7">
        <w:t>Prepared and published by CIPFA, the Service Reporting Code of Practice (</w:t>
      </w:r>
      <w:proofErr w:type="spellStart"/>
      <w:r w:rsidRPr="00EC06E7">
        <w:t>SeRCOP</w:t>
      </w:r>
      <w:proofErr w:type="spellEnd"/>
      <w:r w:rsidRPr="00EC06E7">
        <w:t xml:space="preserve">) is reviewed annually to ensure that it develops in line with the needs of modern Local Government, Transparency, Best Value and public services reform. </w:t>
      </w:r>
      <w:proofErr w:type="spellStart"/>
      <w:r w:rsidRPr="00EC06E7">
        <w:t>SeRCOP</w:t>
      </w:r>
      <w:proofErr w:type="spellEnd"/>
      <w:r w:rsidRPr="00EC06E7">
        <w:t xml:space="preserve"> establishes proper practices </w:t>
      </w:r>
      <w:proofErr w:type="gramStart"/>
      <w:r w:rsidRPr="00EC06E7">
        <w:t>with regard to</w:t>
      </w:r>
      <w:proofErr w:type="gramEnd"/>
      <w:r w:rsidRPr="00EC06E7">
        <w:t xml:space="preserve"> consistent financial reporting for services and in England and Wales, it is given legislative backing by regulations which identify the accounting practices it propounds as proper practices under the Local Government Act 2003.</w:t>
      </w:r>
    </w:p>
    <w:p w14:paraId="6B4FA990" w14:textId="77777777" w:rsidR="007E30F2" w:rsidRPr="00EC06E7" w:rsidRDefault="007E30F2" w:rsidP="009A19BE">
      <w:pPr>
        <w:rPr>
          <w:b/>
        </w:rPr>
      </w:pPr>
    </w:p>
    <w:p w14:paraId="6A28D7A5" w14:textId="77777777" w:rsidR="000E396D" w:rsidRPr="00EC06E7" w:rsidRDefault="009A19BE" w:rsidP="009A19BE">
      <w:pPr>
        <w:rPr>
          <w:b/>
        </w:rPr>
      </w:pPr>
      <w:r w:rsidRPr="00EC06E7">
        <w:rPr>
          <w:b/>
        </w:rPr>
        <w:t>Treasury Management</w:t>
      </w:r>
    </w:p>
    <w:p w14:paraId="3BE5C928" w14:textId="77777777" w:rsidR="00154F9E" w:rsidRPr="00EC06E7" w:rsidRDefault="00154F9E" w:rsidP="009A19BE">
      <w:r w:rsidRPr="00EC06E7">
        <w:t>This is the process by which the Authority controls its cash flow and its borrowing and lending activities.</w:t>
      </w:r>
    </w:p>
    <w:p w14:paraId="7962D2CD" w14:textId="77777777" w:rsidR="00154F9E" w:rsidRPr="00EC06E7" w:rsidRDefault="00154F9E" w:rsidP="009A19BE"/>
    <w:p w14:paraId="5F3E096B" w14:textId="77777777" w:rsidR="000E396D" w:rsidRPr="00EC06E7" w:rsidRDefault="009A19BE" w:rsidP="009A19BE">
      <w:pPr>
        <w:rPr>
          <w:b/>
        </w:rPr>
      </w:pPr>
      <w:r w:rsidRPr="00EC06E7">
        <w:rPr>
          <w:b/>
        </w:rPr>
        <w:t>Treasury Management Strategy (TMS)</w:t>
      </w:r>
    </w:p>
    <w:p w14:paraId="69FC2CF4" w14:textId="77777777" w:rsidR="00154F9E" w:rsidRPr="00EC06E7" w:rsidRDefault="00154F9E" w:rsidP="009A19BE">
      <w:r w:rsidRPr="00EC06E7">
        <w:t xml:space="preserve">A strategy prepared </w:t>
      </w:r>
      <w:proofErr w:type="gramStart"/>
      <w:r w:rsidRPr="00EC06E7">
        <w:t>with regard to</w:t>
      </w:r>
      <w:proofErr w:type="gramEnd"/>
      <w:r w:rsidRPr="00EC06E7">
        <w:t xml:space="preserve"> legislative and CIPFA requirements setting out the framework for treasury management activity for the </w:t>
      </w:r>
      <w:r w:rsidR="00DF0341">
        <w:t>c</w:t>
      </w:r>
      <w:r w:rsidRPr="00EC06E7">
        <w:t>ouncil.</w:t>
      </w:r>
    </w:p>
    <w:p w14:paraId="0A5579BD" w14:textId="77777777" w:rsidR="00154F9E" w:rsidRPr="00EC06E7" w:rsidRDefault="00154F9E" w:rsidP="009A19BE"/>
    <w:p w14:paraId="0C2C0D1F" w14:textId="77777777" w:rsidR="00954B03" w:rsidRPr="00EC06E7" w:rsidRDefault="00954B03" w:rsidP="009A19BE">
      <w:pPr>
        <w:rPr>
          <w:b/>
        </w:rPr>
      </w:pPr>
      <w:r w:rsidRPr="00EC06E7">
        <w:rPr>
          <w:b/>
        </w:rPr>
        <w:t>Voluntary Revenue Provision</w:t>
      </w:r>
    </w:p>
    <w:p w14:paraId="1100205A" w14:textId="77777777" w:rsidR="00606B8D" w:rsidRPr="00154F9E" w:rsidRDefault="00606B8D" w:rsidP="009A19BE">
      <w:r w:rsidRPr="00EC06E7">
        <w:t xml:space="preserve">The </w:t>
      </w:r>
      <w:r w:rsidR="00DF0341">
        <w:t>c</w:t>
      </w:r>
      <w:r w:rsidRPr="00EC06E7">
        <w:t>ouncil is required to pay off an element of the accumulated General Fund capital spend each year through a revenue charge (the Minimum Revenue Provision - MRP), although it is also allowed to undertake additional voluntary payments if required, this is the Voluntary Revenue Provision (VRP).</w:t>
      </w:r>
    </w:p>
    <w:sectPr w:rsidR="00606B8D" w:rsidRPr="00154F9E" w:rsidSect="00A535A0">
      <w:pgSz w:w="11906" w:h="16838"/>
      <w:pgMar w:top="1134" w:right="1134" w:bottom="1134"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B9FB32" w14:textId="77777777" w:rsidR="00D9125F" w:rsidRDefault="00D9125F" w:rsidP="00AD389B">
      <w:r>
        <w:separator/>
      </w:r>
    </w:p>
    <w:p w14:paraId="28E69996" w14:textId="77777777" w:rsidR="00D9125F" w:rsidRDefault="00D9125F"/>
  </w:endnote>
  <w:endnote w:type="continuationSeparator" w:id="0">
    <w:p w14:paraId="3778BE6A" w14:textId="77777777" w:rsidR="00D9125F" w:rsidRDefault="00D9125F" w:rsidP="00AD389B">
      <w:r>
        <w:continuationSeparator/>
      </w:r>
    </w:p>
    <w:p w14:paraId="2E2DC2CC" w14:textId="77777777" w:rsidR="00D9125F" w:rsidRDefault="00D912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DIN-Regular">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FS Lola">
    <w:altName w:val="FS Lol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Bold">
    <w:altName w:val="Arial"/>
    <w:panose1 w:val="00000000000000000000"/>
    <w:charset w:val="00"/>
    <w:family w:val="auto"/>
    <w:notTrueType/>
    <w:pitch w:val="default"/>
    <w:sig w:usb0="00000003" w:usb1="00000000" w:usb2="00000000" w:usb3="00000000" w:csb0="00000001" w:csb1="00000000"/>
  </w:font>
  <w:font w:name="Sabon-Roman">
    <w:altName w:val="Calibri"/>
    <w:charset w:val="00"/>
    <w:family w:val="auto"/>
    <w:pitch w:val="default"/>
    <w:sig w:usb0="00000003" w:usb1="00000000" w:usb2="00000000" w:usb3="00000000" w:csb0="00000001" w:csb1="00000000"/>
  </w:font>
  <w:font w:name="News Gothic MT">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0992059"/>
      <w:docPartObj>
        <w:docPartGallery w:val="Page Numbers (Bottom of Page)"/>
        <w:docPartUnique/>
      </w:docPartObj>
    </w:sdtPr>
    <w:sdtEndPr>
      <w:rPr>
        <w:noProof/>
      </w:rPr>
    </w:sdtEndPr>
    <w:sdtContent>
      <w:p w14:paraId="2D005364" w14:textId="77777777" w:rsidR="002E7B90" w:rsidRDefault="002E7B9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8BE665" w14:textId="77777777" w:rsidR="002E7B90" w:rsidRDefault="002E7B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5041898"/>
      <w:docPartObj>
        <w:docPartGallery w:val="Page Numbers (Bottom of Page)"/>
        <w:docPartUnique/>
      </w:docPartObj>
    </w:sdtPr>
    <w:sdtEndPr>
      <w:rPr>
        <w:rFonts w:cs="Arial"/>
        <w:noProof/>
      </w:rPr>
    </w:sdtEndPr>
    <w:sdtContent>
      <w:p w14:paraId="641E53E0" w14:textId="77777777" w:rsidR="002E7B90" w:rsidRPr="00841C2F" w:rsidRDefault="002E7B90" w:rsidP="002878CB">
        <w:pPr>
          <w:pStyle w:val="Footer"/>
          <w:jc w:val="center"/>
          <w:rPr>
            <w:rFonts w:cs="Arial"/>
          </w:rPr>
        </w:pPr>
        <w:r w:rsidRPr="0074358D">
          <w:rPr>
            <w:rFonts w:cs="Arial"/>
          </w:rPr>
          <w:fldChar w:fldCharType="begin"/>
        </w:r>
        <w:r w:rsidRPr="0074358D">
          <w:rPr>
            <w:rFonts w:cs="Arial"/>
          </w:rPr>
          <w:instrText xml:space="preserve"> PAGE   \* MERGEFORMAT </w:instrText>
        </w:r>
        <w:r w:rsidRPr="0074358D">
          <w:rPr>
            <w:rFonts w:cs="Arial"/>
          </w:rPr>
          <w:fldChar w:fldCharType="separate"/>
        </w:r>
        <w:r>
          <w:rPr>
            <w:rFonts w:cs="Arial"/>
            <w:noProof/>
          </w:rPr>
          <w:t>11</w:t>
        </w:r>
        <w:r w:rsidRPr="0074358D">
          <w:rPr>
            <w:rFonts w:cs="Arial"/>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9246A" w14:textId="77777777" w:rsidR="002E7B90" w:rsidRDefault="002E7B90">
    <w:pPr>
      <w:pStyle w:val="BodyText"/>
      <w:spacing w:line="14" w:lineRule="auto"/>
    </w:pPr>
    <w:r>
      <w:rPr>
        <w:noProof/>
        <w:sz w:val="19"/>
      </w:rPr>
      <mc:AlternateContent>
        <mc:Choice Requires="wpg">
          <w:drawing>
            <wp:anchor distT="0" distB="0" distL="114300" distR="114300" simplePos="0" relativeHeight="251660288" behindDoc="1" locked="0" layoutInCell="1" allowOverlap="1" wp14:anchorId="0E14AD0B" wp14:editId="4A3F473A">
              <wp:simplePos x="0" y="0"/>
              <wp:positionH relativeFrom="page">
                <wp:posOffset>0</wp:posOffset>
              </wp:positionH>
              <wp:positionV relativeFrom="page">
                <wp:posOffset>10400030</wp:posOffset>
              </wp:positionV>
              <wp:extent cx="15106015" cy="280670"/>
              <wp:effectExtent l="0" t="0" r="635"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06015" cy="280670"/>
                        <a:chOff x="0" y="16378"/>
                        <a:chExt cx="23789" cy="442"/>
                      </a:xfrm>
                    </wpg:grpSpPr>
                    <pic:pic xmlns:pic="http://schemas.openxmlformats.org/drawingml/2006/picture">
                      <pic:nvPicPr>
                        <pic:cNvPr id="132"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6378"/>
                          <a:ext cx="12442"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8048" y="16378"/>
                          <a:ext cx="5741"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Line 7"/>
                      <wps:cNvCnPr>
                        <a:cxnSpLocks noChangeShapeType="1"/>
                      </wps:cNvCnPr>
                      <wps:spPr bwMode="auto">
                        <a:xfrm>
                          <a:off x="12412" y="16407"/>
                          <a:ext cx="5663" cy="0"/>
                        </a:xfrm>
                        <a:prstGeom prst="line">
                          <a:avLst/>
                        </a:prstGeom>
                        <a:noFill/>
                        <a:ln w="10667">
                          <a:solidFill>
                            <a:srgbClr val="87BC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54534362" id="Group 131" o:spid="_x0000_s1026" style="position:absolute;margin-left:0;margin-top:818.9pt;width:1189.45pt;height:22.1pt;z-index:-251656192;mso-position-horizontal-relative:page;mso-position-vertical-relative:page" coordorigin=",16378" coordsize="23789,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16378;width:12442;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">
                <v:imagedata r:id="rId3" o:title=""/>
              </v:shape>
              <v:shape id="Picture 6" o:spid="_x0000_s1028" type="#_x0000_t75" style="position:absolute;left:18048;top:16378;width:5741;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">
                <v:imagedata r:id="rId4" o:title=""/>
              </v:shape>
              <v:line id="Line 7" o:spid="_x0000_s1029" style="position:absolute;visibility:visible;mso-wrap-style:square" from="12412,16407" to="18075,16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" strokecolor="#87bc3f" strokeweight=".29631mm"/>
              <w10:wrap anchorx="page" anchory="page"/>
            </v:group>
          </w:pict>
        </mc:Fallback>
      </mc:AlternateContent>
    </w:r>
  </w:p>
  <w:p w14:paraId="5DA4423C" w14:textId="77777777" w:rsidR="002E7B90" w:rsidRDefault="002E7B9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1726041"/>
      <w:docPartObj>
        <w:docPartGallery w:val="Page Numbers (Bottom of Page)"/>
        <w:docPartUnique/>
      </w:docPartObj>
    </w:sdtPr>
    <w:sdtEndPr>
      <w:rPr>
        <w:noProof/>
      </w:rPr>
    </w:sdtEndPr>
    <w:sdtContent>
      <w:p w14:paraId="6B4C0A36" w14:textId="77777777" w:rsidR="002E7B90" w:rsidRDefault="002E7B90">
        <w:pPr>
          <w:pStyle w:val="Footer"/>
          <w:jc w:val="center"/>
        </w:pPr>
        <w:r>
          <w:fldChar w:fldCharType="begin"/>
        </w:r>
        <w:r>
          <w:instrText xml:space="preserve"> PAGE   \* MERGEFORMAT </w:instrText>
        </w:r>
        <w:r>
          <w:fldChar w:fldCharType="separate"/>
        </w:r>
        <w:r>
          <w:rPr>
            <w:noProof/>
          </w:rPr>
          <w:t>86</w:t>
        </w:r>
        <w:r>
          <w:rPr>
            <w:noProof/>
          </w:rPr>
          <w:fldChar w:fldCharType="end"/>
        </w:r>
      </w:p>
    </w:sdtContent>
  </w:sdt>
  <w:p w14:paraId="5F309C25" w14:textId="77777777" w:rsidR="002E7B90" w:rsidRDefault="002E7B9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8373917"/>
      <w:docPartObj>
        <w:docPartGallery w:val="Page Numbers (Bottom of Page)"/>
        <w:docPartUnique/>
      </w:docPartObj>
    </w:sdtPr>
    <w:sdtEndPr>
      <w:rPr>
        <w:rFonts w:cs="Arial"/>
        <w:noProof/>
      </w:rPr>
    </w:sdtEndPr>
    <w:sdtContent>
      <w:p w14:paraId="350B8FED" w14:textId="77777777" w:rsidR="002E7B90" w:rsidRPr="00841C2F" w:rsidRDefault="002E7B90" w:rsidP="002878CB">
        <w:pPr>
          <w:pStyle w:val="Footer"/>
          <w:jc w:val="center"/>
          <w:rPr>
            <w:rFonts w:cs="Arial"/>
          </w:rPr>
        </w:pPr>
        <w:r w:rsidRPr="0074358D">
          <w:rPr>
            <w:rFonts w:cs="Arial"/>
          </w:rPr>
          <w:fldChar w:fldCharType="begin"/>
        </w:r>
        <w:r w:rsidRPr="0074358D">
          <w:rPr>
            <w:rFonts w:cs="Arial"/>
          </w:rPr>
          <w:instrText xml:space="preserve"> PAGE   \* MERGEFORMAT </w:instrText>
        </w:r>
        <w:r w:rsidRPr="0074358D">
          <w:rPr>
            <w:rFonts w:cs="Arial"/>
          </w:rPr>
          <w:fldChar w:fldCharType="separate"/>
        </w:r>
        <w:r>
          <w:rPr>
            <w:rFonts w:cs="Arial"/>
            <w:noProof/>
          </w:rPr>
          <w:t>11</w:t>
        </w:r>
        <w:r w:rsidRPr="0074358D">
          <w:rPr>
            <w:rFonts w:cs="Arial"/>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140752" w14:textId="77777777" w:rsidR="00D9125F" w:rsidRDefault="00D9125F" w:rsidP="00AD389B">
      <w:r>
        <w:separator/>
      </w:r>
    </w:p>
    <w:p w14:paraId="4969959A" w14:textId="77777777" w:rsidR="00D9125F" w:rsidRDefault="00D9125F"/>
  </w:footnote>
  <w:footnote w:type="continuationSeparator" w:id="0">
    <w:p w14:paraId="0EFC5ECE" w14:textId="77777777" w:rsidR="00D9125F" w:rsidRDefault="00D9125F" w:rsidP="00AD389B">
      <w:r>
        <w:continuationSeparator/>
      </w:r>
    </w:p>
    <w:p w14:paraId="02CDC91A" w14:textId="77777777" w:rsidR="00D9125F" w:rsidRDefault="00D9125F"/>
  </w:footnote>
  <w:footnote w:id="1">
    <w:p w14:paraId="1D3E1E11" w14:textId="77777777" w:rsidR="002E7B90" w:rsidRPr="00AE77D6" w:rsidRDefault="002E7B90" w:rsidP="00571CCB">
      <w:pPr>
        <w:pStyle w:val="FootnoteText"/>
        <w:rPr>
          <w:lang w:val="en-US"/>
        </w:rPr>
      </w:pPr>
      <w:r>
        <w:rPr>
          <w:rStyle w:val="FootnoteReference"/>
        </w:rPr>
        <w:footnoteRef/>
      </w:r>
      <w:r>
        <w:t xml:space="preserve"> </w:t>
      </w:r>
      <w:r w:rsidRPr="008B7BA4">
        <w:rPr>
          <w:rFonts w:cs="Arial"/>
          <w:sz w:val="16"/>
          <w:szCs w:val="16"/>
        </w:rPr>
        <w:t>The CIPFA / SOLACE (Chartered Institute of Public Finance and Accountancy / Society</w:t>
      </w:r>
      <w:r w:rsidRPr="008B7BA4">
        <w:rPr>
          <w:rFonts w:cs="Arial"/>
          <w:snapToGrid w:val="0"/>
          <w:sz w:val="16"/>
          <w:szCs w:val="16"/>
          <w:lang w:eastAsia="en-US"/>
        </w:rPr>
        <w:t xml:space="preserve"> of Local Authority Chief Executives and Senior Managers) framework “Delivering Good Governance in Local Government”.</w:t>
      </w:r>
    </w:p>
  </w:footnote>
  <w:footnote w:id="2">
    <w:p w14:paraId="731432C3" w14:textId="77777777" w:rsidR="002E7B90" w:rsidRPr="00AE77D6" w:rsidRDefault="002E7B90" w:rsidP="00571CCB">
      <w:pPr>
        <w:pStyle w:val="FootnoteText"/>
        <w:rPr>
          <w:lang w:val="en-US"/>
        </w:rPr>
      </w:pPr>
      <w:r>
        <w:rPr>
          <w:rStyle w:val="FootnoteReference"/>
        </w:rPr>
        <w:footnoteRef/>
      </w:r>
      <w:r>
        <w:t xml:space="preserve"> </w:t>
      </w:r>
      <w:r w:rsidRPr="008B7BA4">
        <w:rPr>
          <w:rFonts w:cs="Arial"/>
          <w:snapToGrid w:val="0"/>
          <w:sz w:val="16"/>
          <w:szCs w:val="16"/>
          <w:lang w:eastAsia="en-US"/>
        </w:rPr>
        <w:t xml:space="preserve">South Ribble Borough Council has approved and adopted a code of governance that </w:t>
      </w:r>
      <w:r w:rsidRPr="008B7BA4">
        <w:rPr>
          <w:rFonts w:cs="Arial"/>
          <w:sz w:val="16"/>
          <w:szCs w:val="16"/>
        </w:rPr>
        <w:t>is consistent with the principles of the CIPFA/</w:t>
      </w:r>
      <w:r w:rsidRPr="006B19FD">
        <w:rPr>
          <w:rFonts w:cs="Arial"/>
          <w:sz w:val="16"/>
          <w:szCs w:val="16"/>
        </w:rPr>
        <w:t xml:space="preserve">SOLACE Framework. </w:t>
      </w:r>
      <w:r w:rsidRPr="006B19FD">
        <w:rPr>
          <w:rFonts w:cs="Arial"/>
          <w:snapToGrid w:val="0"/>
          <w:sz w:val="16"/>
          <w:szCs w:val="16"/>
          <w:lang w:eastAsia="en-US"/>
        </w:rPr>
        <w:t xml:space="preserve">A copy of the local code is available on line at www.southribble.gov.uk or can be obtained by contacting D Whelan, </w:t>
      </w:r>
      <w:r>
        <w:rPr>
          <w:rFonts w:cs="Arial"/>
          <w:snapToGrid w:val="0"/>
          <w:sz w:val="16"/>
          <w:szCs w:val="16"/>
          <w:lang w:eastAsia="en-US"/>
        </w:rPr>
        <w:t xml:space="preserve">Deputy </w:t>
      </w:r>
      <w:r w:rsidRPr="006B19FD">
        <w:rPr>
          <w:rFonts w:cs="Arial"/>
          <w:snapToGrid w:val="0"/>
          <w:sz w:val="16"/>
          <w:szCs w:val="16"/>
          <w:lang w:eastAsia="en-US"/>
        </w:rPr>
        <w:t>Monitoring Officer - Civic Centre, West Paddock, Leyland, Lancs, PR25 1DH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0" w:type="dxa"/>
        <w:right w:w="0" w:type="dxa"/>
      </w:tblCellMar>
      <w:tblLook w:val="04A0" w:firstRow="1" w:lastRow="0" w:firstColumn="1" w:lastColumn="0" w:noHBand="0" w:noVBand="1"/>
    </w:tblPr>
    <w:tblGrid>
      <w:gridCol w:w="3010"/>
      <w:gridCol w:w="3009"/>
      <w:gridCol w:w="3007"/>
    </w:tblGrid>
    <w:tr w:rsidR="001C71EF" w14:paraId="20508FF6" w14:textId="77777777">
      <w:trPr>
        <w:trHeight w:val="720"/>
      </w:trPr>
      <w:tc>
        <w:tcPr>
          <w:tcW w:w="1667" w:type="pct"/>
        </w:tcPr>
        <w:p w14:paraId="5DFAB7DC" w14:textId="77777777" w:rsidR="001C71EF" w:rsidRDefault="001C71EF">
          <w:pPr>
            <w:pStyle w:val="Header"/>
            <w:rPr>
              <w:color w:val="4F81BD" w:themeColor="accent1"/>
            </w:rPr>
          </w:pPr>
        </w:p>
      </w:tc>
      <w:tc>
        <w:tcPr>
          <w:tcW w:w="1667" w:type="pct"/>
        </w:tcPr>
        <w:p w14:paraId="766C64CF" w14:textId="77777777" w:rsidR="001C71EF" w:rsidRDefault="001C71EF">
          <w:pPr>
            <w:pStyle w:val="Header"/>
            <w:jc w:val="center"/>
            <w:rPr>
              <w:color w:val="4F81BD" w:themeColor="accent1"/>
            </w:rPr>
          </w:pPr>
        </w:p>
      </w:tc>
      <w:tc>
        <w:tcPr>
          <w:tcW w:w="1666" w:type="pct"/>
        </w:tcPr>
        <w:p w14:paraId="37645D00" w14:textId="06E55EEB" w:rsidR="001C71EF" w:rsidRDefault="001C71EF">
          <w:pPr>
            <w:pStyle w:val="Header"/>
            <w:jc w:val="right"/>
            <w:rPr>
              <w:color w:val="4F81BD" w:themeColor="accent1"/>
            </w:rPr>
          </w:pPr>
          <w:proofErr w:type="spellStart"/>
          <w:r>
            <w:rPr>
              <w:color w:val="4F81BD" w:themeColor="accent1"/>
              <w:sz w:val="24"/>
            </w:rPr>
            <w:t>ApAppendixpendi</w:t>
          </w:r>
          <w:proofErr w:type="spellEnd"/>
        </w:p>
      </w:tc>
    </w:tr>
  </w:tbl>
  <w:p w14:paraId="5A438D7E" w14:textId="77777777" w:rsidR="001C71EF" w:rsidRDefault="001C71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3C7BD" w14:textId="77777777" w:rsidR="002E7B90" w:rsidRDefault="002E7B90">
    <w:pPr>
      <w:pStyle w:val="BodyText"/>
      <w:spacing w:line="14" w:lineRule="auto"/>
    </w:pPr>
    <w:r>
      <w:rPr>
        <w:noProof/>
        <w:sz w:val="19"/>
      </w:rPr>
      <mc:AlternateContent>
        <mc:Choice Requires="wps">
          <w:drawing>
            <wp:anchor distT="0" distB="0" distL="114300" distR="114300" simplePos="0" relativeHeight="251659264" behindDoc="1" locked="0" layoutInCell="1" allowOverlap="1" wp14:anchorId="1AECB4CA" wp14:editId="05E06F26">
              <wp:simplePos x="0" y="0"/>
              <wp:positionH relativeFrom="page">
                <wp:posOffset>371475</wp:posOffset>
              </wp:positionH>
              <wp:positionV relativeFrom="page">
                <wp:posOffset>421005</wp:posOffset>
              </wp:positionV>
              <wp:extent cx="5156835" cy="539750"/>
              <wp:effectExtent l="0" t="1905" r="0" b="127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83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5A11D" w14:textId="77777777" w:rsidR="002E7B90" w:rsidRDefault="002E7B90">
                          <w:pPr>
                            <w:spacing w:line="848" w:lineRule="exact"/>
                            <w:ind w:left="20"/>
                            <w:rPr>
                              <w:b/>
                              <w:sz w:val="81"/>
                            </w:rPr>
                          </w:pPr>
                          <w:r>
                            <w:rPr>
                              <w:b/>
                              <w:color w:val="03529E"/>
                              <w:spacing w:val="8"/>
                              <w:w w:val="110"/>
                              <w:sz w:val="81"/>
                            </w:rPr>
                            <w:t>Corporate</w:t>
                          </w:r>
                          <w:r>
                            <w:rPr>
                              <w:b/>
                              <w:color w:val="03529E"/>
                              <w:spacing w:val="-63"/>
                              <w:w w:val="110"/>
                              <w:sz w:val="81"/>
                            </w:rPr>
                            <w:t xml:space="preserve"> </w:t>
                          </w:r>
                          <w:r>
                            <w:rPr>
                              <w:b/>
                              <w:color w:val="03529E"/>
                              <w:w w:val="110"/>
                              <w:sz w:val="81"/>
                            </w:rPr>
                            <w:t>Strategy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ECB4CA" id="_x0000_t202" coordsize="21600,21600" o:spt="202" path="m,l,21600r21600,l21600,xe">
              <v:stroke joinstyle="miter"/>
              <v:path gradientshapeok="t" o:connecttype="rect"/>
            </v:shapetype>
            <v:shape id="Text Box 135" o:spid="_x0000_s1029" type="#_x0000_t202" style="position:absolute;left:0;text-align:left;margin-left:29.25pt;margin-top:33.15pt;width:406.05pt;height:4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" filled="f" stroked="f">
              <v:textbox inset="0,0,0,0">
                <w:txbxContent>
                  <w:p w14:paraId="09C5A11D" w14:textId="77777777" w:rsidR="002E7B90" w:rsidRDefault="002E7B90">
                    <w:pPr>
                      <w:spacing w:line="848" w:lineRule="exact"/>
                      <w:ind w:left="20"/>
                      <w:rPr>
                        <w:b/>
                        <w:sz w:val="81"/>
                      </w:rPr>
                    </w:pPr>
                    <w:r>
                      <w:rPr>
                        <w:b/>
                        <w:color w:val="03529E"/>
                        <w:spacing w:val="8"/>
                        <w:w w:val="110"/>
                        <w:sz w:val="81"/>
                      </w:rPr>
                      <w:t>Corporate</w:t>
                    </w:r>
                    <w:r>
                      <w:rPr>
                        <w:b/>
                        <w:color w:val="03529E"/>
                        <w:spacing w:val="-63"/>
                        <w:w w:val="110"/>
                        <w:sz w:val="81"/>
                      </w:rPr>
                      <w:t xml:space="preserve"> </w:t>
                    </w:r>
                    <w:r>
                      <w:rPr>
                        <w:b/>
                        <w:color w:val="03529E"/>
                        <w:w w:val="110"/>
                        <w:sz w:val="81"/>
                      </w:rPr>
                      <w:t>Strategy</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62074" w14:textId="336166A0" w:rsidR="002E7B90" w:rsidRDefault="002E7B90">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76C2F"/>
    <w:multiLevelType w:val="hybridMultilevel"/>
    <w:tmpl w:val="D6109D2A"/>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 w15:restartNumberingAfterBreak="0">
    <w:nsid w:val="00394375"/>
    <w:multiLevelType w:val="hybridMultilevel"/>
    <w:tmpl w:val="1FE4CC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0211034D"/>
    <w:multiLevelType w:val="hybridMultilevel"/>
    <w:tmpl w:val="C5A00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CC0FFE"/>
    <w:multiLevelType w:val="multilevel"/>
    <w:tmpl w:val="5A9C7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CD2F85"/>
    <w:multiLevelType w:val="multilevel"/>
    <w:tmpl w:val="5A9C7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987443"/>
    <w:multiLevelType w:val="hybridMultilevel"/>
    <w:tmpl w:val="F31C2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A2005E"/>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97F05BF"/>
    <w:multiLevelType w:val="hybridMultilevel"/>
    <w:tmpl w:val="F8E2B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5F616F"/>
    <w:multiLevelType w:val="hybridMultilevel"/>
    <w:tmpl w:val="6B446BB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7DF00C8"/>
    <w:multiLevelType w:val="hybridMultilevel"/>
    <w:tmpl w:val="60DAE6CA"/>
    <w:lvl w:ilvl="0" w:tplc="5FEE9650">
      <w:start w:val="1"/>
      <w:numFmt w:val="bullet"/>
      <w:lvlText w:val="•"/>
      <w:lvlJc w:val="left"/>
      <w:pPr>
        <w:ind w:left="2035" w:hanging="221"/>
      </w:pPr>
      <w:rPr>
        <w:rFonts w:ascii="Arial" w:eastAsia="Arial" w:hAnsi="Arial" w:cs="Arial" w:hint="default"/>
        <w:color w:val="893895"/>
        <w:w w:val="121"/>
        <w:sz w:val="28"/>
        <w:szCs w:val="28"/>
      </w:rPr>
    </w:lvl>
    <w:lvl w:ilvl="1" w:tplc="12A4820C">
      <w:start w:val="1"/>
      <w:numFmt w:val="bullet"/>
      <w:lvlText w:val="•"/>
      <w:lvlJc w:val="left"/>
      <w:pPr>
        <w:ind w:left="2632" w:hanging="221"/>
      </w:pPr>
      <w:rPr>
        <w:rFonts w:hint="default"/>
      </w:rPr>
    </w:lvl>
    <w:lvl w:ilvl="2" w:tplc="989C08E6">
      <w:start w:val="1"/>
      <w:numFmt w:val="bullet"/>
      <w:lvlText w:val="•"/>
      <w:lvlJc w:val="left"/>
      <w:pPr>
        <w:ind w:left="3224" w:hanging="221"/>
      </w:pPr>
      <w:rPr>
        <w:rFonts w:hint="default"/>
      </w:rPr>
    </w:lvl>
    <w:lvl w:ilvl="3" w:tplc="D436C8A8">
      <w:start w:val="1"/>
      <w:numFmt w:val="bullet"/>
      <w:lvlText w:val="•"/>
      <w:lvlJc w:val="left"/>
      <w:pPr>
        <w:ind w:left="3816" w:hanging="221"/>
      </w:pPr>
      <w:rPr>
        <w:rFonts w:hint="default"/>
      </w:rPr>
    </w:lvl>
    <w:lvl w:ilvl="4" w:tplc="6C628AFC">
      <w:start w:val="1"/>
      <w:numFmt w:val="bullet"/>
      <w:lvlText w:val="•"/>
      <w:lvlJc w:val="left"/>
      <w:pPr>
        <w:ind w:left="4409" w:hanging="221"/>
      </w:pPr>
      <w:rPr>
        <w:rFonts w:hint="default"/>
      </w:rPr>
    </w:lvl>
    <w:lvl w:ilvl="5" w:tplc="76262AB8">
      <w:start w:val="1"/>
      <w:numFmt w:val="bullet"/>
      <w:lvlText w:val="•"/>
      <w:lvlJc w:val="left"/>
      <w:pPr>
        <w:ind w:left="5001" w:hanging="221"/>
      </w:pPr>
      <w:rPr>
        <w:rFonts w:hint="default"/>
      </w:rPr>
    </w:lvl>
    <w:lvl w:ilvl="6" w:tplc="21368D56">
      <w:start w:val="1"/>
      <w:numFmt w:val="bullet"/>
      <w:lvlText w:val="•"/>
      <w:lvlJc w:val="left"/>
      <w:pPr>
        <w:ind w:left="5593" w:hanging="221"/>
      </w:pPr>
      <w:rPr>
        <w:rFonts w:hint="default"/>
      </w:rPr>
    </w:lvl>
    <w:lvl w:ilvl="7" w:tplc="8468F3A0">
      <w:start w:val="1"/>
      <w:numFmt w:val="bullet"/>
      <w:lvlText w:val="•"/>
      <w:lvlJc w:val="left"/>
      <w:pPr>
        <w:ind w:left="6185" w:hanging="221"/>
      </w:pPr>
      <w:rPr>
        <w:rFonts w:hint="default"/>
      </w:rPr>
    </w:lvl>
    <w:lvl w:ilvl="8" w:tplc="F57C194C">
      <w:start w:val="1"/>
      <w:numFmt w:val="bullet"/>
      <w:lvlText w:val="•"/>
      <w:lvlJc w:val="left"/>
      <w:pPr>
        <w:ind w:left="6778" w:hanging="221"/>
      </w:pPr>
      <w:rPr>
        <w:rFonts w:hint="default"/>
      </w:rPr>
    </w:lvl>
  </w:abstractNum>
  <w:abstractNum w:abstractNumId="10" w15:restartNumberingAfterBreak="0">
    <w:nsid w:val="1D8F3454"/>
    <w:multiLevelType w:val="hybridMultilevel"/>
    <w:tmpl w:val="8F0E8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1D4F17"/>
    <w:multiLevelType w:val="hybridMultilevel"/>
    <w:tmpl w:val="B114E0F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21F5795A"/>
    <w:multiLevelType w:val="hybridMultilevel"/>
    <w:tmpl w:val="1CBCD8E4"/>
    <w:lvl w:ilvl="0" w:tplc="9B6ABCA2">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4591E76"/>
    <w:multiLevelType w:val="hybridMultilevel"/>
    <w:tmpl w:val="014E67F0"/>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3">
      <w:start w:val="1"/>
      <w:numFmt w:val="bullet"/>
      <w:lvlText w:val="o"/>
      <w:lvlJc w:val="left"/>
      <w:pPr>
        <w:ind w:left="2880" w:hanging="180"/>
      </w:pPr>
      <w:rPr>
        <w:rFonts w:ascii="Courier New" w:hAnsi="Courier New" w:cs="Courier New" w:hint="default"/>
      </w:rPr>
    </w:lvl>
    <w:lvl w:ilvl="3" w:tplc="0809000F">
      <w:start w:val="1"/>
      <w:numFmt w:val="decimal"/>
      <w:lvlText w:val="%4."/>
      <w:lvlJc w:val="left"/>
      <w:pPr>
        <w:ind w:left="360" w:hanging="360"/>
      </w:pPr>
    </w:lvl>
    <w:lvl w:ilvl="4" w:tplc="F40E54E6">
      <w:start w:val="1"/>
      <w:numFmt w:val="lowerLetter"/>
      <w:lvlText w:val="%5)"/>
      <w:lvlJc w:val="left"/>
      <w:pPr>
        <w:ind w:left="360" w:hanging="360"/>
      </w:pPr>
      <w:rPr>
        <w:rFonts w:hint="default"/>
      </w:rPr>
    </w:lvl>
    <w:lvl w:ilvl="5" w:tplc="BF885130">
      <w:numFmt w:val="bullet"/>
      <w:lvlText w:val="-"/>
      <w:lvlJc w:val="left"/>
      <w:pPr>
        <w:ind w:left="502" w:hanging="360"/>
      </w:pPr>
      <w:rPr>
        <w:rFonts w:ascii="Arial" w:eastAsia="Times New Roman" w:hAnsi="Arial" w:cs="Arial" w:hint="default"/>
      </w:r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26F94832"/>
    <w:multiLevelType w:val="hybridMultilevel"/>
    <w:tmpl w:val="B1465B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9991B54"/>
    <w:multiLevelType w:val="hybridMultilevel"/>
    <w:tmpl w:val="2090A114"/>
    <w:lvl w:ilvl="0" w:tplc="56FA4758">
      <w:start w:val="1"/>
      <w:numFmt w:val="bullet"/>
      <w:lvlText w:val=""/>
      <w:lvlJc w:val="left"/>
      <w:pPr>
        <w:tabs>
          <w:tab w:val="num" w:pos="1800"/>
        </w:tabs>
        <w:ind w:left="1800" w:hanging="72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01008DA"/>
    <w:multiLevelType w:val="hybridMultilevel"/>
    <w:tmpl w:val="A0929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D76BC8"/>
    <w:multiLevelType w:val="hybridMultilevel"/>
    <w:tmpl w:val="B2C6F8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12D3707"/>
    <w:multiLevelType w:val="hybridMultilevel"/>
    <w:tmpl w:val="6CD009C8"/>
    <w:lvl w:ilvl="0" w:tplc="56FA4758">
      <w:start w:val="1"/>
      <w:numFmt w:val="bullet"/>
      <w:lvlText w:val=""/>
      <w:lvlJc w:val="left"/>
      <w:pPr>
        <w:tabs>
          <w:tab w:val="num" w:pos="1440"/>
        </w:tabs>
        <w:ind w:left="144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4B712A3"/>
    <w:multiLevelType w:val="hybridMultilevel"/>
    <w:tmpl w:val="3300F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1332AA"/>
    <w:multiLevelType w:val="multilevel"/>
    <w:tmpl w:val="E404016A"/>
    <w:lvl w:ilvl="0">
      <w:start w:val="1"/>
      <w:numFmt w:val="bullet"/>
      <w:pStyle w:val="Bullet1-BV"/>
      <w:lvlText w:val=""/>
      <w:lvlJc w:val="left"/>
      <w:pPr>
        <w:tabs>
          <w:tab w:val="num" w:pos="1386"/>
        </w:tabs>
        <w:ind w:left="1139" w:hanging="113"/>
      </w:pPr>
      <w:rPr>
        <w:rFonts w:ascii="Wingdings" w:hAnsi="Wingdings" w:hint="default"/>
        <w:b w:val="0"/>
        <w:i w:val="0"/>
        <w:caps w:val="0"/>
        <w:strike w:val="0"/>
        <w:dstrike w:val="0"/>
        <w:vanish w:val="0"/>
        <w:color w:val="00008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2007"/>
        </w:tabs>
        <w:ind w:left="2007" w:hanging="360"/>
      </w:pPr>
      <w:rPr>
        <w:rFonts w:ascii="Wingdings" w:hAnsi="Wingdings" w:hint="default"/>
        <w:b w:val="0"/>
        <w:i w:val="0"/>
        <w:caps w:val="0"/>
        <w:strike w:val="0"/>
        <w:dstrike w:val="0"/>
        <w:vanish w:val="0"/>
        <w:color w:val="00008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entative="1">
      <w:start w:val="1"/>
      <w:numFmt w:val="lowerRoman"/>
      <w:lvlText w:val="%3."/>
      <w:lvlJc w:val="right"/>
      <w:pPr>
        <w:tabs>
          <w:tab w:val="num" w:pos="2727"/>
        </w:tabs>
        <w:ind w:left="2727" w:hanging="180"/>
      </w:pPr>
    </w:lvl>
    <w:lvl w:ilvl="3" w:tentative="1">
      <w:start w:val="1"/>
      <w:numFmt w:val="decimal"/>
      <w:lvlText w:val="%4."/>
      <w:lvlJc w:val="left"/>
      <w:pPr>
        <w:tabs>
          <w:tab w:val="num" w:pos="3447"/>
        </w:tabs>
        <w:ind w:left="3447" w:hanging="360"/>
      </w:pPr>
    </w:lvl>
    <w:lvl w:ilvl="4" w:tentative="1">
      <w:start w:val="1"/>
      <w:numFmt w:val="lowerLetter"/>
      <w:lvlText w:val="%5."/>
      <w:lvlJc w:val="left"/>
      <w:pPr>
        <w:tabs>
          <w:tab w:val="num" w:pos="4167"/>
        </w:tabs>
        <w:ind w:left="4167" w:hanging="360"/>
      </w:pPr>
    </w:lvl>
    <w:lvl w:ilvl="5" w:tentative="1">
      <w:start w:val="1"/>
      <w:numFmt w:val="lowerRoman"/>
      <w:lvlText w:val="%6."/>
      <w:lvlJc w:val="right"/>
      <w:pPr>
        <w:tabs>
          <w:tab w:val="num" w:pos="4887"/>
        </w:tabs>
        <w:ind w:left="4887" w:hanging="180"/>
      </w:pPr>
    </w:lvl>
    <w:lvl w:ilvl="6" w:tentative="1">
      <w:start w:val="1"/>
      <w:numFmt w:val="decimal"/>
      <w:lvlText w:val="%7."/>
      <w:lvlJc w:val="left"/>
      <w:pPr>
        <w:tabs>
          <w:tab w:val="num" w:pos="5607"/>
        </w:tabs>
        <w:ind w:left="5607" w:hanging="360"/>
      </w:pPr>
    </w:lvl>
    <w:lvl w:ilvl="7" w:tentative="1">
      <w:start w:val="1"/>
      <w:numFmt w:val="lowerLetter"/>
      <w:lvlText w:val="%8."/>
      <w:lvlJc w:val="left"/>
      <w:pPr>
        <w:tabs>
          <w:tab w:val="num" w:pos="6327"/>
        </w:tabs>
        <w:ind w:left="6327" w:hanging="360"/>
      </w:pPr>
    </w:lvl>
    <w:lvl w:ilvl="8" w:tentative="1">
      <w:start w:val="1"/>
      <w:numFmt w:val="lowerRoman"/>
      <w:lvlText w:val="%9."/>
      <w:lvlJc w:val="right"/>
      <w:pPr>
        <w:tabs>
          <w:tab w:val="num" w:pos="7047"/>
        </w:tabs>
        <w:ind w:left="7047" w:hanging="180"/>
      </w:pPr>
    </w:lvl>
  </w:abstractNum>
  <w:abstractNum w:abstractNumId="21" w15:restartNumberingAfterBreak="0">
    <w:nsid w:val="36550EA7"/>
    <w:multiLevelType w:val="hybridMultilevel"/>
    <w:tmpl w:val="270C5EAC"/>
    <w:lvl w:ilvl="0" w:tplc="08090001">
      <w:start w:val="1"/>
      <w:numFmt w:val="bullet"/>
      <w:lvlText w:val=""/>
      <w:lvlJc w:val="left"/>
      <w:pPr>
        <w:tabs>
          <w:tab w:val="num" w:pos="1080"/>
        </w:tabs>
        <w:ind w:left="1080" w:hanging="360"/>
      </w:pPr>
      <w:rPr>
        <w:rFonts w:ascii="Symbol" w:hAnsi="Symbol" w:hint="default"/>
      </w:rPr>
    </w:lvl>
    <w:lvl w:ilvl="1" w:tplc="8EF4B89A">
      <w:start w:val="1"/>
      <w:numFmt w:val="bullet"/>
      <w:lvlText w:val=""/>
      <w:lvlJc w:val="left"/>
      <w:pPr>
        <w:ind w:left="2160" w:hanging="360"/>
      </w:pPr>
      <w:rPr>
        <w:rFonts w:ascii="Wingdings 3" w:hAnsi="Wingdings 3" w:hint="default"/>
      </w:rPr>
    </w:lvl>
    <w:lvl w:ilvl="2" w:tplc="08090003">
      <w:start w:val="1"/>
      <w:numFmt w:val="bullet"/>
      <w:lvlText w:val="o"/>
      <w:lvlJc w:val="left"/>
      <w:pPr>
        <w:ind w:left="2880" w:hanging="180"/>
      </w:pPr>
      <w:rPr>
        <w:rFonts w:ascii="Courier New" w:hAnsi="Courier New" w:cs="Courier New" w:hint="default"/>
      </w:rPr>
    </w:lvl>
    <w:lvl w:ilvl="3" w:tplc="0809000F">
      <w:start w:val="1"/>
      <w:numFmt w:val="decimal"/>
      <w:lvlText w:val="%4."/>
      <w:lvlJc w:val="left"/>
      <w:pPr>
        <w:ind w:left="36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367E2E58"/>
    <w:multiLevelType w:val="hybridMultilevel"/>
    <w:tmpl w:val="26341BC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3FA02EA5"/>
    <w:multiLevelType w:val="hybridMultilevel"/>
    <w:tmpl w:val="B18CDC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1970A01"/>
    <w:multiLevelType w:val="hybridMultilevel"/>
    <w:tmpl w:val="0AB63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3B7F4C"/>
    <w:multiLevelType w:val="hybridMultilevel"/>
    <w:tmpl w:val="B25E50A4"/>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6" w15:restartNumberingAfterBreak="0">
    <w:nsid w:val="44147B25"/>
    <w:multiLevelType w:val="hybridMultilevel"/>
    <w:tmpl w:val="29C019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44DD1960"/>
    <w:multiLevelType w:val="hybridMultilevel"/>
    <w:tmpl w:val="3B64D1EA"/>
    <w:lvl w:ilvl="0" w:tplc="13589C44">
      <w:start w:val="1"/>
      <w:numFmt w:val="bullet"/>
      <w:pStyle w:val="Bullet1"/>
      <w:lvlText w:val="■"/>
      <w:lvlJc w:val="left"/>
      <w:pPr>
        <w:tabs>
          <w:tab w:val="num" w:pos="397"/>
        </w:tabs>
        <w:ind w:left="397" w:hanging="397"/>
      </w:pPr>
      <w:rPr>
        <w:rFonts w:ascii="Arial" w:hAnsi="Aria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4FA7606"/>
    <w:multiLevelType w:val="hybridMultilevel"/>
    <w:tmpl w:val="385A66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7C22E8D"/>
    <w:multiLevelType w:val="hybridMultilevel"/>
    <w:tmpl w:val="CA3E5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555C4A"/>
    <w:multiLevelType w:val="hybridMultilevel"/>
    <w:tmpl w:val="A670B52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15:restartNumberingAfterBreak="0">
    <w:nsid w:val="4B181950"/>
    <w:multiLevelType w:val="hybridMultilevel"/>
    <w:tmpl w:val="6AA01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00155B"/>
    <w:multiLevelType w:val="hybridMultilevel"/>
    <w:tmpl w:val="04D24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4543E0"/>
    <w:multiLevelType w:val="hybridMultilevel"/>
    <w:tmpl w:val="3EFA7522"/>
    <w:lvl w:ilvl="0" w:tplc="56FA4758">
      <w:start w:val="1"/>
      <w:numFmt w:val="bullet"/>
      <w:lvlText w:val=""/>
      <w:lvlJc w:val="left"/>
      <w:pPr>
        <w:tabs>
          <w:tab w:val="num" w:pos="1440"/>
        </w:tabs>
        <w:ind w:left="1440" w:hanging="72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3C86B21"/>
    <w:multiLevelType w:val="hybridMultilevel"/>
    <w:tmpl w:val="6C8CA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0A5B73"/>
    <w:multiLevelType w:val="hybridMultilevel"/>
    <w:tmpl w:val="1FA8CD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54E4680"/>
    <w:multiLevelType w:val="hybridMultilevel"/>
    <w:tmpl w:val="A0EE70D0"/>
    <w:lvl w:ilvl="0" w:tplc="35B0E87A">
      <w:start w:val="1"/>
      <w:numFmt w:val="decimal"/>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B964C30"/>
    <w:multiLevelType w:val="hybridMultilevel"/>
    <w:tmpl w:val="00865D8C"/>
    <w:lvl w:ilvl="0" w:tplc="1CB0FADE">
      <w:start w:val="1"/>
      <w:numFmt w:val="bullet"/>
      <w:lvlText w:val=""/>
      <w:lvlJc w:val="left"/>
      <w:pPr>
        <w:tabs>
          <w:tab w:val="num" w:pos="720"/>
        </w:tabs>
        <w:ind w:left="720" w:hanging="360"/>
      </w:pPr>
      <w:rPr>
        <w:rFonts w:ascii="Wingdings 3" w:hAnsi="Wingdings 3" w:hint="default"/>
        <w:color w:val="0070C0"/>
      </w:rPr>
    </w:lvl>
    <w:lvl w:ilvl="1" w:tplc="8EF4B89A">
      <w:start w:val="1"/>
      <w:numFmt w:val="bullet"/>
      <w:lvlText w:val=""/>
      <w:lvlJc w:val="left"/>
      <w:pPr>
        <w:ind w:left="1800" w:hanging="360"/>
      </w:pPr>
      <w:rPr>
        <w:rFonts w:ascii="Wingdings 3" w:hAnsi="Wingdings 3" w:hint="default"/>
      </w:rPr>
    </w:lvl>
    <w:lvl w:ilvl="2" w:tplc="08090003">
      <w:start w:val="1"/>
      <w:numFmt w:val="bullet"/>
      <w:lvlText w:val="o"/>
      <w:lvlJc w:val="left"/>
      <w:pPr>
        <w:ind w:left="2520" w:hanging="180"/>
      </w:pPr>
      <w:rPr>
        <w:rFonts w:ascii="Courier New" w:hAnsi="Courier New" w:cs="Courier New" w:hint="default"/>
      </w:rPr>
    </w:lvl>
    <w:lvl w:ilvl="3" w:tplc="9A623C70">
      <w:start w:val="1"/>
      <w:numFmt w:val="decimal"/>
      <w:pStyle w:val="Heading2"/>
      <w:lvlText w:val="%4."/>
      <w:lvlJc w:val="left"/>
      <w:pPr>
        <w:ind w:left="36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5E7D2637"/>
    <w:multiLevelType w:val="multilevel"/>
    <w:tmpl w:val="83445D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EBE6362"/>
    <w:multiLevelType w:val="hybridMultilevel"/>
    <w:tmpl w:val="EE7A8834"/>
    <w:lvl w:ilvl="0" w:tplc="CF602C6E">
      <w:start w:val="1"/>
      <w:numFmt w:val="bullet"/>
      <w:lvlText w:val="•"/>
      <w:lvlJc w:val="left"/>
      <w:pPr>
        <w:ind w:left="1593" w:hanging="284"/>
      </w:pPr>
      <w:rPr>
        <w:rFonts w:ascii="Arial" w:eastAsia="Arial" w:hAnsi="Arial" w:cs="Arial" w:hint="default"/>
        <w:w w:val="121"/>
      </w:rPr>
    </w:lvl>
    <w:lvl w:ilvl="1" w:tplc="C31CBC04">
      <w:start w:val="1"/>
      <w:numFmt w:val="bullet"/>
      <w:lvlText w:val="•"/>
      <w:lvlJc w:val="left"/>
      <w:pPr>
        <w:ind w:left="2183" w:hanging="207"/>
      </w:pPr>
      <w:rPr>
        <w:rFonts w:ascii="Arial" w:eastAsia="Arial" w:hAnsi="Arial" w:cs="Arial" w:hint="default"/>
        <w:color w:val="893895"/>
        <w:w w:val="115"/>
        <w:sz w:val="28"/>
        <w:szCs w:val="28"/>
      </w:rPr>
    </w:lvl>
    <w:lvl w:ilvl="2" w:tplc="9FE80D6C">
      <w:start w:val="1"/>
      <w:numFmt w:val="bullet"/>
      <w:lvlText w:val="•"/>
      <w:lvlJc w:val="left"/>
      <w:pPr>
        <w:ind w:left="961" w:hanging="207"/>
      </w:pPr>
      <w:rPr>
        <w:rFonts w:hint="default"/>
      </w:rPr>
    </w:lvl>
    <w:lvl w:ilvl="3" w:tplc="2FA651C8">
      <w:start w:val="1"/>
      <w:numFmt w:val="bullet"/>
      <w:lvlText w:val="•"/>
      <w:lvlJc w:val="left"/>
      <w:pPr>
        <w:ind w:left="-258" w:hanging="207"/>
      </w:pPr>
      <w:rPr>
        <w:rFonts w:hint="default"/>
      </w:rPr>
    </w:lvl>
    <w:lvl w:ilvl="4" w:tplc="F3E41FB6">
      <w:start w:val="1"/>
      <w:numFmt w:val="bullet"/>
      <w:lvlText w:val="•"/>
      <w:lvlJc w:val="left"/>
      <w:pPr>
        <w:ind w:left="-1476" w:hanging="207"/>
      </w:pPr>
      <w:rPr>
        <w:rFonts w:hint="default"/>
      </w:rPr>
    </w:lvl>
    <w:lvl w:ilvl="5" w:tplc="09428E14">
      <w:start w:val="1"/>
      <w:numFmt w:val="bullet"/>
      <w:lvlText w:val="•"/>
      <w:lvlJc w:val="left"/>
      <w:pPr>
        <w:ind w:left="-2695" w:hanging="207"/>
      </w:pPr>
      <w:rPr>
        <w:rFonts w:hint="default"/>
      </w:rPr>
    </w:lvl>
    <w:lvl w:ilvl="6" w:tplc="0894872A">
      <w:start w:val="1"/>
      <w:numFmt w:val="bullet"/>
      <w:lvlText w:val="•"/>
      <w:lvlJc w:val="left"/>
      <w:pPr>
        <w:ind w:left="-3914" w:hanging="207"/>
      </w:pPr>
      <w:rPr>
        <w:rFonts w:hint="default"/>
      </w:rPr>
    </w:lvl>
    <w:lvl w:ilvl="7" w:tplc="F458978A">
      <w:start w:val="1"/>
      <w:numFmt w:val="bullet"/>
      <w:lvlText w:val="•"/>
      <w:lvlJc w:val="left"/>
      <w:pPr>
        <w:ind w:left="-5132" w:hanging="207"/>
      </w:pPr>
      <w:rPr>
        <w:rFonts w:hint="default"/>
      </w:rPr>
    </w:lvl>
    <w:lvl w:ilvl="8" w:tplc="2D2662DC">
      <w:start w:val="1"/>
      <w:numFmt w:val="bullet"/>
      <w:lvlText w:val="•"/>
      <w:lvlJc w:val="left"/>
      <w:pPr>
        <w:ind w:left="-6351" w:hanging="207"/>
      </w:pPr>
      <w:rPr>
        <w:rFonts w:hint="default"/>
      </w:rPr>
    </w:lvl>
  </w:abstractNum>
  <w:abstractNum w:abstractNumId="40" w15:restartNumberingAfterBreak="0">
    <w:nsid w:val="5EBF00E5"/>
    <w:multiLevelType w:val="hybridMultilevel"/>
    <w:tmpl w:val="4CA4AF9E"/>
    <w:lvl w:ilvl="0" w:tplc="A920D18C">
      <w:start w:val="1"/>
      <w:numFmt w:val="decimal"/>
      <w:lvlText w:val="%1."/>
      <w:lvlJc w:val="left"/>
      <w:pPr>
        <w:ind w:left="720" w:hanging="360"/>
      </w:pPr>
      <w:rPr>
        <w:rFonts w:ascii="Arial" w:hAnsi="Arial" w:hint="default"/>
        <w:b/>
        <w:i w:val="0"/>
        <w:color w:val="auto"/>
      </w:rPr>
    </w:lvl>
    <w:lvl w:ilvl="1" w:tplc="9FB69836">
      <w:start w:val="1"/>
      <w:numFmt w:val="lowerLetter"/>
      <w:lvlText w:val="%2."/>
      <w:lvlJc w:val="left"/>
      <w:pPr>
        <w:ind w:left="1440" w:hanging="360"/>
      </w:pPr>
    </w:lvl>
    <w:lvl w:ilvl="2" w:tplc="CB32BF00" w:tentative="1">
      <w:start w:val="1"/>
      <w:numFmt w:val="lowerRoman"/>
      <w:lvlText w:val="%3."/>
      <w:lvlJc w:val="right"/>
      <w:pPr>
        <w:ind w:left="2160" w:hanging="180"/>
      </w:pPr>
    </w:lvl>
    <w:lvl w:ilvl="3" w:tplc="E668D2B8" w:tentative="1">
      <w:start w:val="1"/>
      <w:numFmt w:val="decimal"/>
      <w:lvlText w:val="%4."/>
      <w:lvlJc w:val="left"/>
      <w:pPr>
        <w:ind w:left="2880" w:hanging="360"/>
      </w:pPr>
    </w:lvl>
    <w:lvl w:ilvl="4" w:tplc="765C0FF0" w:tentative="1">
      <w:start w:val="1"/>
      <w:numFmt w:val="lowerLetter"/>
      <w:lvlText w:val="%5."/>
      <w:lvlJc w:val="left"/>
      <w:pPr>
        <w:ind w:left="3600" w:hanging="360"/>
      </w:pPr>
    </w:lvl>
    <w:lvl w:ilvl="5" w:tplc="E844237A" w:tentative="1">
      <w:start w:val="1"/>
      <w:numFmt w:val="lowerRoman"/>
      <w:lvlText w:val="%6."/>
      <w:lvlJc w:val="right"/>
      <w:pPr>
        <w:ind w:left="4320" w:hanging="180"/>
      </w:pPr>
    </w:lvl>
    <w:lvl w:ilvl="6" w:tplc="79F4167A" w:tentative="1">
      <w:start w:val="1"/>
      <w:numFmt w:val="decimal"/>
      <w:lvlText w:val="%7."/>
      <w:lvlJc w:val="left"/>
      <w:pPr>
        <w:ind w:left="5040" w:hanging="360"/>
      </w:pPr>
    </w:lvl>
    <w:lvl w:ilvl="7" w:tplc="8738080C" w:tentative="1">
      <w:start w:val="1"/>
      <w:numFmt w:val="lowerLetter"/>
      <w:lvlText w:val="%8."/>
      <w:lvlJc w:val="left"/>
      <w:pPr>
        <w:ind w:left="5760" w:hanging="360"/>
      </w:pPr>
    </w:lvl>
    <w:lvl w:ilvl="8" w:tplc="294E07D4" w:tentative="1">
      <w:start w:val="1"/>
      <w:numFmt w:val="lowerRoman"/>
      <w:lvlText w:val="%9."/>
      <w:lvlJc w:val="right"/>
      <w:pPr>
        <w:ind w:left="6480" w:hanging="180"/>
      </w:pPr>
    </w:lvl>
  </w:abstractNum>
  <w:abstractNum w:abstractNumId="41" w15:restartNumberingAfterBreak="0">
    <w:nsid w:val="5FDD7E8C"/>
    <w:multiLevelType w:val="hybridMultilevel"/>
    <w:tmpl w:val="12B86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04E4B4A"/>
    <w:multiLevelType w:val="hybridMultilevel"/>
    <w:tmpl w:val="D0223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42B18D5"/>
    <w:multiLevelType w:val="hybridMultilevel"/>
    <w:tmpl w:val="9D0A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9668F8"/>
    <w:multiLevelType w:val="hybridMultilevel"/>
    <w:tmpl w:val="C066B67A"/>
    <w:lvl w:ilvl="0" w:tplc="20D29DEA">
      <w:start w:val="1"/>
      <w:numFmt w:val="bullet"/>
      <w:pStyle w:val="darkgreenbullet"/>
      <w:lvlText w:val="■"/>
      <w:lvlJc w:val="left"/>
      <w:pPr>
        <w:tabs>
          <w:tab w:val="num" w:pos="397"/>
        </w:tabs>
        <w:ind w:left="397" w:hanging="397"/>
      </w:pPr>
      <w:rPr>
        <w:rFonts w:ascii="Arial" w:hAnsi="Arial" w:hint="default"/>
        <w:color w:val="006633"/>
        <w:sz w:val="28"/>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6F7643BC"/>
    <w:multiLevelType w:val="hybridMultilevel"/>
    <w:tmpl w:val="A2CE2B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1A76C71"/>
    <w:multiLevelType w:val="hybridMultilevel"/>
    <w:tmpl w:val="D1427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2DA74C5"/>
    <w:multiLevelType w:val="hybridMultilevel"/>
    <w:tmpl w:val="0E029FD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8" w15:restartNumberingAfterBreak="0">
    <w:nsid w:val="74360DE7"/>
    <w:multiLevelType w:val="hybridMultilevel"/>
    <w:tmpl w:val="EE12D6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44F39C2"/>
    <w:multiLevelType w:val="hybridMultilevel"/>
    <w:tmpl w:val="0A92DB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8937B57"/>
    <w:multiLevelType w:val="hybridMultilevel"/>
    <w:tmpl w:val="3236A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A671ACA"/>
    <w:multiLevelType w:val="hybridMultilevel"/>
    <w:tmpl w:val="500C44F2"/>
    <w:lvl w:ilvl="0" w:tplc="2CA4FAA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C0F29EE"/>
    <w:multiLevelType w:val="hybridMultilevel"/>
    <w:tmpl w:val="8BBC116A"/>
    <w:lvl w:ilvl="0" w:tplc="89B0BA18">
      <w:start w:val="1"/>
      <w:numFmt w:val="bullet"/>
      <w:lvlText w:val="•"/>
      <w:lvlJc w:val="left"/>
      <w:pPr>
        <w:tabs>
          <w:tab w:val="num" w:pos="720"/>
        </w:tabs>
        <w:ind w:left="720" w:hanging="360"/>
      </w:pPr>
      <w:rPr>
        <w:rFonts w:ascii="Times New Roman" w:hAnsi="Times New Roman" w:hint="default"/>
      </w:rPr>
    </w:lvl>
    <w:lvl w:ilvl="1" w:tplc="CC52DFBE" w:tentative="1">
      <w:start w:val="1"/>
      <w:numFmt w:val="bullet"/>
      <w:lvlText w:val="•"/>
      <w:lvlJc w:val="left"/>
      <w:pPr>
        <w:tabs>
          <w:tab w:val="num" w:pos="1440"/>
        </w:tabs>
        <w:ind w:left="1440" w:hanging="360"/>
      </w:pPr>
      <w:rPr>
        <w:rFonts w:ascii="Times New Roman" w:hAnsi="Times New Roman" w:hint="default"/>
      </w:rPr>
    </w:lvl>
    <w:lvl w:ilvl="2" w:tplc="1CD452B4" w:tentative="1">
      <w:start w:val="1"/>
      <w:numFmt w:val="bullet"/>
      <w:lvlText w:val="•"/>
      <w:lvlJc w:val="left"/>
      <w:pPr>
        <w:tabs>
          <w:tab w:val="num" w:pos="2160"/>
        </w:tabs>
        <w:ind w:left="2160" w:hanging="360"/>
      </w:pPr>
      <w:rPr>
        <w:rFonts w:ascii="Times New Roman" w:hAnsi="Times New Roman" w:hint="default"/>
      </w:rPr>
    </w:lvl>
    <w:lvl w:ilvl="3" w:tplc="32287298" w:tentative="1">
      <w:start w:val="1"/>
      <w:numFmt w:val="bullet"/>
      <w:lvlText w:val="•"/>
      <w:lvlJc w:val="left"/>
      <w:pPr>
        <w:tabs>
          <w:tab w:val="num" w:pos="2880"/>
        </w:tabs>
        <w:ind w:left="2880" w:hanging="360"/>
      </w:pPr>
      <w:rPr>
        <w:rFonts w:ascii="Times New Roman" w:hAnsi="Times New Roman" w:hint="default"/>
      </w:rPr>
    </w:lvl>
    <w:lvl w:ilvl="4" w:tplc="D250DFF6" w:tentative="1">
      <w:start w:val="1"/>
      <w:numFmt w:val="bullet"/>
      <w:lvlText w:val="•"/>
      <w:lvlJc w:val="left"/>
      <w:pPr>
        <w:tabs>
          <w:tab w:val="num" w:pos="3600"/>
        </w:tabs>
        <w:ind w:left="3600" w:hanging="360"/>
      </w:pPr>
      <w:rPr>
        <w:rFonts w:ascii="Times New Roman" w:hAnsi="Times New Roman" w:hint="default"/>
      </w:rPr>
    </w:lvl>
    <w:lvl w:ilvl="5" w:tplc="8A44C7CC" w:tentative="1">
      <w:start w:val="1"/>
      <w:numFmt w:val="bullet"/>
      <w:lvlText w:val="•"/>
      <w:lvlJc w:val="left"/>
      <w:pPr>
        <w:tabs>
          <w:tab w:val="num" w:pos="4320"/>
        </w:tabs>
        <w:ind w:left="4320" w:hanging="360"/>
      </w:pPr>
      <w:rPr>
        <w:rFonts w:ascii="Times New Roman" w:hAnsi="Times New Roman" w:hint="default"/>
      </w:rPr>
    </w:lvl>
    <w:lvl w:ilvl="6" w:tplc="55D088CE" w:tentative="1">
      <w:start w:val="1"/>
      <w:numFmt w:val="bullet"/>
      <w:lvlText w:val="•"/>
      <w:lvlJc w:val="left"/>
      <w:pPr>
        <w:tabs>
          <w:tab w:val="num" w:pos="5040"/>
        </w:tabs>
        <w:ind w:left="5040" w:hanging="360"/>
      </w:pPr>
      <w:rPr>
        <w:rFonts w:ascii="Times New Roman" w:hAnsi="Times New Roman" w:hint="default"/>
      </w:rPr>
    </w:lvl>
    <w:lvl w:ilvl="7" w:tplc="CD7A4922" w:tentative="1">
      <w:start w:val="1"/>
      <w:numFmt w:val="bullet"/>
      <w:lvlText w:val="•"/>
      <w:lvlJc w:val="left"/>
      <w:pPr>
        <w:tabs>
          <w:tab w:val="num" w:pos="5760"/>
        </w:tabs>
        <w:ind w:left="5760" w:hanging="360"/>
      </w:pPr>
      <w:rPr>
        <w:rFonts w:ascii="Times New Roman" w:hAnsi="Times New Roman" w:hint="default"/>
      </w:rPr>
    </w:lvl>
    <w:lvl w:ilvl="8" w:tplc="EF5EA952" w:tentative="1">
      <w:start w:val="1"/>
      <w:numFmt w:val="bullet"/>
      <w:lvlText w:val="•"/>
      <w:lvlJc w:val="left"/>
      <w:pPr>
        <w:tabs>
          <w:tab w:val="num" w:pos="6480"/>
        </w:tabs>
        <w:ind w:left="6480" w:hanging="360"/>
      </w:pPr>
      <w:rPr>
        <w:rFonts w:ascii="Times New Roman" w:hAnsi="Times New Roman" w:hint="default"/>
      </w:rPr>
    </w:lvl>
  </w:abstractNum>
  <w:abstractNum w:abstractNumId="53" w15:restartNumberingAfterBreak="0">
    <w:nsid w:val="7CD00B46"/>
    <w:multiLevelType w:val="hybridMultilevel"/>
    <w:tmpl w:val="6A0EF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D6306BE"/>
    <w:multiLevelType w:val="multilevel"/>
    <w:tmpl w:val="AA5409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15"/>
  </w:num>
  <w:num w:numId="3">
    <w:abstractNumId w:val="6"/>
  </w:num>
  <w:num w:numId="4">
    <w:abstractNumId w:val="22"/>
  </w:num>
  <w:num w:numId="5">
    <w:abstractNumId w:val="44"/>
  </w:num>
  <w:num w:numId="6">
    <w:abstractNumId w:val="27"/>
  </w:num>
  <w:num w:numId="7">
    <w:abstractNumId w:val="48"/>
  </w:num>
  <w:num w:numId="8">
    <w:abstractNumId w:val="49"/>
  </w:num>
  <w:num w:numId="9">
    <w:abstractNumId w:val="1"/>
  </w:num>
  <w:num w:numId="10">
    <w:abstractNumId w:val="45"/>
  </w:num>
  <w:num w:numId="11">
    <w:abstractNumId w:val="17"/>
  </w:num>
  <w:num w:numId="12">
    <w:abstractNumId w:val="35"/>
  </w:num>
  <w:num w:numId="13">
    <w:abstractNumId w:val="25"/>
  </w:num>
  <w:num w:numId="14">
    <w:abstractNumId w:val="23"/>
  </w:num>
  <w:num w:numId="15">
    <w:abstractNumId w:val="18"/>
  </w:num>
  <w:num w:numId="16">
    <w:abstractNumId w:val="37"/>
  </w:num>
  <w:num w:numId="17">
    <w:abstractNumId w:val="21"/>
  </w:num>
  <w:num w:numId="18">
    <w:abstractNumId w:val="13"/>
  </w:num>
  <w:num w:numId="19">
    <w:abstractNumId w:val="2"/>
  </w:num>
  <w:num w:numId="20">
    <w:abstractNumId w:val="50"/>
  </w:num>
  <w:num w:numId="21">
    <w:abstractNumId w:val="19"/>
  </w:num>
  <w:num w:numId="22">
    <w:abstractNumId w:val="14"/>
  </w:num>
  <w:num w:numId="23">
    <w:abstractNumId w:val="0"/>
  </w:num>
  <w:num w:numId="24">
    <w:abstractNumId w:val="46"/>
  </w:num>
  <w:num w:numId="25">
    <w:abstractNumId w:val="42"/>
  </w:num>
  <w:num w:numId="26">
    <w:abstractNumId w:val="20"/>
  </w:num>
  <w:num w:numId="27">
    <w:abstractNumId w:val="41"/>
  </w:num>
  <w:num w:numId="28">
    <w:abstractNumId w:val="24"/>
  </w:num>
  <w:num w:numId="29">
    <w:abstractNumId w:val="32"/>
  </w:num>
  <w:num w:numId="30">
    <w:abstractNumId w:val="7"/>
  </w:num>
  <w:num w:numId="31">
    <w:abstractNumId w:val="12"/>
  </w:num>
  <w:num w:numId="32">
    <w:abstractNumId w:val="31"/>
  </w:num>
  <w:num w:numId="33">
    <w:abstractNumId w:val="8"/>
  </w:num>
  <w:num w:numId="34">
    <w:abstractNumId w:val="11"/>
  </w:num>
  <w:num w:numId="35">
    <w:abstractNumId w:val="37"/>
    <w:lvlOverride w:ilvl="0">
      <w:startOverride w:val="1"/>
    </w:lvlOverride>
    <w:lvlOverride w:ilvl="1">
      <w:startOverride w:val="1"/>
    </w:lvlOverride>
    <w:lvlOverride w:ilvl="2">
      <w:startOverride w:val="1"/>
    </w:lvlOverride>
    <w:lvlOverride w:ilvl="3">
      <w:startOverride w:val="1"/>
    </w:lvlOverride>
  </w:num>
  <w:num w:numId="36">
    <w:abstractNumId w:val="36"/>
  </w:num>
  <w:num w:numId="37">
    <w:abstractNumId w:val="51"/>
  </w:num>
  <w:num w:numId="38">
    <w:abstractNumId w:val="53"/>
  </w:num>
  <w:num w:numId="39">
    <w:abstractNumId w:val="47"/>
  </w:num>
  <w:num w:numId="40">
    <w:abstractNumId w:val="34"/>
  </w:num>
  <w:num w:numId="41">
    <w:abstractNumId w:val="43"/>
  </w:num>
  <w:num w:numId="42">
    <w:abstractNumId w:val="30"/>
  </w:num>
  <w:num w:numId="43">
    <w:abstractNumId w:val="10"/>
  </w:num>
  <w:num w:numId="44">
    <w:abstractNumId w:val="26"/>
  </w:num>
  <w:num w:numId="45">
    <w:abstractNumId w:val="28"/>
  </w:num>
  <w:num w:numId="46">
    <w:abstractNumId w:val="5"/>
  </w:num>
  <w:num w:numId="47">
    <w:abstractNumId w:val="16"/>
  </w:num>
  <w:num w:numId="48">
    <w:abstractNumId w:val="29"/>
  </w:num>
  <w:num w:numId="49">
    <w:abstractNumId w:val="9"/>
  </w:num>
  <w:num w:numId="50">
    <w:abstractNumId w:val="39"/>
  </w:num>
  <w:num w:numId="51">
    <w:abstractNumId w:val="40"/>
  </w:num>
  <w:num w:numId="52">
    <w:abstractNumId w:val="52"/>
  </w:num>
  <w:num w:numId="53">
    <w:abstractNumId w:val="4"/>
  </w:num>
  <w:num w:numId="54">
    <w:abstractNumId w:val="38"/>
  </w:num>
  <w:num w:numId="55">
    <w:abstractNumId w:val="54"/>
  </w:num>
  <w:num w:numId="56">
    <w:abstractNumId w:val="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31"/>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574"/>
    <w:rsid w:val="0000011A"/>
    <w:rsid w:val="000001BB"/>
    <w:rsid w:val="000001CD"/>
    <w:rsid w:val="0000022F"/>
    <w:rsid w:val="00000A53"/>
    <w:rsid w:val="00002639"/>
    <w:rsid w:val="000034D7"/>
    <w:rsid w:val="0000356E"/>
    <w:rsid w:val="000037D9"/>
    <w:rsid w:val="00003A48"/>
    <w:rsid w:val="00003F56"/>
    <w:rsid w:val="000050DF"/>
    <w:rsid w:val="00005962"/>
    <w:rsid w:val="00005A8E"/>
    <w:rsid w:val="0000616B"/>
    <w:rsid w:val="000067D5"/>
    <w:rsid w:val="000070F0"/>
    <w:rsid w:val="00007427"/>
    <w:rsid w:val="0001049F"/>
    <w:rsid w:val="00010B79"/>
    <w:rsid w:val="00010CA7"/>
    <w:rsid w:val="00010DDD"/>
    <w:rsid w:val="00010E43"/>
    <w:rsid w:val="00010F74"/>
    <w:rsid w:val="000115F9"/>
    <w:rsid w:val="00011616"/>
    <w:rsid w:val="00011FAC"/>
    <w:rsid w:val="00012462"/>
    <w:rsid w:val="000130B1"/>
    <w:rsid w:val="0001364D"/>
    <w:rsid w:val="00014795"/>
    <w:rsid w:val="00015B62"/>
    <w:rsid w:val="000163E6"/>
    <w:rsid w:val="00016694"/>
    <w:rsid w:val="00016AC2"/>
    <w:rsid w:val="00020A23"/>
    <w:rsid w:val="00021054"/>
    <w:rsid w:val="0002196F"/>
    <w:rsid w:val="000227A5"/>
    <w:rsid w:val="00022D44"/>
    <w:rsid w:val="00023539"/>
    <w:rsid w:val="00023F9C"/>
    <w:rsid w:val="00024BCB"/>
    <w:rsid w:val="00025111"/>
    <w:rsid w:val="0002576D"/>
    <w:rsid w:val="000260F1"/>
    <w:rsid w:val="00026BDE"/>
    <w:rsid w:val="00026C86"/>
    <w:rsid w:val="00026CA0"/>
    <w:rsid w:val="000314AD"/>
    <w:rsid w:val="000314B5"/>
    <w:rsid w:val="00031816"/>
    <w:rsid w:val="00031A11"/>
    <w:rsid w:val="00031EE0"/>
    <w:rsid w:val="000322F5"/>
    <w:rsid w:val="0003245B"/>
    <w:rsid w:val="0003274A"/>
    <w:rsid w:val="000329B0"/>
    <w:rsid w:val="0003345D"/>
    <w:rsid w:val="0003484D"/>
    <w:rsid w:val="00034B57"/>
    <w:rsid w:val="00034C66"/>
    <w:rsid w:val="000354E5"/>
    <w:rsid w:val="000357AB"/>
    <w:rsid w:val="00035C2D"/>
    <w:rsid w:val="000363A4"/>
    <w:rsid w:val="00036B24"/>
    <w:rsid w:val="00036B29"/>
    <w:rsid w:val="00036EF2"/>
    <w:rsid w:val="00036F15"/>
    <w:rsid w:val="00037115"/>
    <w:rsid w:val="000372BA"/>
    <w:rsid w:val="00037770"/>
    <w:rsid w:val="00040150"/>
    <w:rsid w:val="000406E9"/>
    <w:rsid w:val="00040917"/>
    <w:rsid w:val="00040E06"/>
    <w:rsid w:val="00040ED6"/>
    <w:rsid w:val="00042289"/>
    <w:rsid w:val="0004281B"/>
    <w:rsid w:val="00042EEF"/>
    <w:rsid w:val="000439D5"/>
    <w:rsid w:val="00044019"/>
    <w:rsid w:val="00044936"/>
    <w:rsid w:val="0004495D"/>
    <w:rsid w:val="0004647C"/>
    <w:rsid w:val="00046542"/>
    <w:rsid w:val="0004681C"/>
    <w:rsid w:val="00046C7D"/>
    <w:rsid w:val="00046D4E"/>
    <w:rsid w:val="00047334"/>
    <w:rsid w:val="00047F4F"/>
    <w:rsid w:val="00050307"/>
    <w:rsid w:val="0005050F"/>
    <w:rsid w:val="00050557"/>
    <w:rsid w:val="000508AA"/>
    <w:rsid w:val="00051706"/>
    <w:rsid w:val="00051CE9"/>
    <w:rsid w:val="00051DA4"/>
    <w:rsid w:val="00052838"/>
    <w:rsid w:val="00053872"/>
    <w:rsid w:val="00053D84"/>
    <w:rsid w:val="0005516C"/>
    <w:rsid w:val="000552BC"/>
    <w:rsid w:val="000555A3"/>
    <w:rsid w:val="000555D2"/>
    <w:rsid w:val="0005563F"/>
    <w:rsid w:val="000557D2"/>
    <w:rsid w:val="00055BCC"/>
    <w:rsid w:val="000567EB"/>
    <w:rsid w:val="00056ED6"/>
    <w:rsid w:val="00057A62"/>
    <w:rsid w:val="000608B2"/>
    <w:rsid w:val="00061B98"/>
    <w:rsid w:val="00065863"/>
    <w:rsid w:val="00065ECB"/>
    <w:rsid w:val="00065EFF"/>
    <w:rsid w:val="00066131"/>
    <w:rsid w:val="00066285"/>
    <w:rsid w:val="00066F9B"/>
    <w:rsid w:val="00067238"/>
    <w:rsid w:val="000673E5"/>
    <w:rsid w:val="00067FE7"/>
    <w:rsid w:val="00070258"/>
    <w:rsid w:val="00070AD0"/>
    <w:rsid w:val="00071ED4"/>
    <w:rsid w:val="00072015"/>
    <w:rsid w:val="00072524"/>
    <w:rsid w:val="0007295F"/>
    <w:rsid w:val="00072D8D"/>
    <w:rsid w:val="00073201"/>
    <w:rsid w:val="00073F03"/>
    <w:rsid w:val="00074CBF"/>
    <w:rsid w:val="00075702"/>
    <w:rsid w:val="000764C7"/>
    <w:rsid w:val="0007686A"/>
    <w:rsid w:val="00077027"/>
    <w:rsid w:val="0007743E"/>
    <w:rsid w:val="000778F7"/>
    <w:rsid w:val="00077AF7"/>
    <w:rsid w:val="00080094"/>
    <w:rsid w:val="000800BB"/>
    <w:rsid w:val="00080ABB"/>
    <w:rsid w:val="00081367"/>
    <w:rsid w:val="00081505"/>
    <w:rsid w:val="00081934"/>
    <w:rsid w:val="00081E96"/>
    <w:rsid w:val="00082C43"/>
    <w:rsid w:val="00082E59"/>
    <w:rsid w:val="00082F88"/>
    <w:rsid w:val="0008332C"/>
    <w:rsid w:val="00083C89"/>
    <w:rsid w:val="00083E97"/>
    <w:rsid w:val="0008426C"/>
    <w:rsid w:val="000842AF"/>
    <w:rsid w:val="0008437B"/>
    <w:rsid w:val="00084526"/>
    <w:rsid w:val="000847F4"/>
    <w:rsid w:val="00084A40"/>
    <w:rsid w:val="00084ACC"/>
    <w:rsid w:val="00085F80"/>
    <w:rsid w:val="000873C5"/>
    <w:rsid w:val="00087AA0"/>
    <w:rsid w:val="000902C1"/>
    <w:rsid w:val="00090422"/>
    <w:rsid w:val="00090F36"/>
    <w:rsid w:val="00091308"/>
    <w:rsid w:val="00091F87"/>
    <w:rsid w:val="00092B10"/>
    <w:rsid w:val="00093147"/>
    <w:rsid w:val="00093D53"/>
    <w:rsid w:val="00093F10"/>
    <w:rsid w:val="0009471D"/>
    <w:rsid w:val="0009479D"/>
    <w:rsid w:val="0009556B"/>
    <w:rsid w:val="00095906"/>
    <w:rsid w:val="00095C7B"/>
    <w:rsid w:val="000960B9"/>
    <w:rsid w:val="00097346"/>
    <w:rsid w:val="00097566"/>
    <w:rsid w:val="000979DB"/>
    <w:rsid w:val="00097DCA"/>
    <w:rsid w:val="000A02FB"/>
    <w:rsid w:val="000A1EC3"/>
    <w:rsid w:val="000A1F2A"/>
    <w:rsid w:val="000A24E4"/>
    <w:rsid w:val="000A2510"/>
    <w:rsid w:val="000A25E2"/>
    <w:rsid w:val="000A28A2"/>
    <w:rsid w:val="000A3204"/>
    <w:rsid w:val="000A32D9"/>
    <w:rsid w:val="000A35BA"/>
    <w:rsid w:val="000A3B34"/>
    <w:rsid w:val="000A414F"/>
    <w:rsid w:val="000A49D7"/>
    <w:rsid w:val="000A653C"/>
    <w:rsid w:val="000A6544"/>
    <w:rsid w:val="000A6559"/>
    <w:rsid w:val="000A6757"/>
    <w:rsid w:val="000A6874"/>
    <w:rsid w:val="000A6B46"/>
    <w:rsid w:val="000B005E"/>
    <w:rsid w:val="000B01D8"/>
    <w:rsid w:val="000B04A8"/>
    <w:rsid w:val="000B1062"/>
    <w:rsid w:val="000B281D"/>
    <w:rsid w:val="000B2CA4"/>
    <w:rsid w:val="000B2F38"/>
    <w:rsid w:val="000B3C18"/>
    <w:rsid w:val="000B3FF7"/>
    <w:rsid w:val="000B4FFD"/>
    <w:rsid w:val="000B5C7F"/>
    <w:rsid w:val="000B6379"/>
    <w:rsid w:val="000B6506"/>
    <w:rsid w:val="000B651B"/>
    <w:rsid w:val="000B667C"/>
    <w:rsid w:val="000B6681"/>
    <w:rsid w:val="000B66FD"/>
    <w:rsid w:val="000B6BFB"/>
    <w:rsid w:val="000B7B75"/>
    <w:rsid w:val="000B7F9B"/>
    <w:rsid w:val="000C0284"/>
    <w:rsid w:val="000C0932"/>
    <w:rsid w:val="000C0BA4"/>
    <w:rsid w:val="000C162B"/>
    <w:rsid w:val="000C16E4"/>
    <w:rsid w:val="000C1D03"/>
    <w:rsid w:val="000C1DAE"/>
    <w:rsid w:val="000C27D0"/>
    <w:rsid w:val="000C3D6C"/>
    <w:rsid w:val="000C3F57"/>
    <w:rsid w:val="000C441E"/>
    <w:rsid w:val="000C4579"/>
    <w:rsid w:val="000C47FD"/>
    <w:rsid w:val="000C4D1C"/>
    <w:rsid w:val="000C4DE5"/>
    <w:rsid w:val="000C4E11"/>
    <w:rsid w:val="000C6177"/>
    <w:rsid w:val="000C64A3"/>
    <w:rsid w:val="000C6937"/>
    <w:rsid w:val="000C73F7"/>
    <w:rsid w:val="000C7934"/>
    <w:rsid w:val="000C7D36"/>
    <w:rsid w:val="000D0003"/>
    <w:rsid w:val="000D07D7"/>
    <w:rsid w:val="000D089F"/>
    <w:rsid w:val="000D08DB"/>
    <w:rsid w:val="000D1100"/>
    <w:rsid w:val="000D2214"/>
    <w:rsid w:val="000D30B5"/>
    <w:rsid w:val="000D3786"/>
    <w:rsid w:val="000D3E20"/>
    <w:rsid w:val="000D468C"/>
    <w:rsid w:val="000D4C57"/>
    <w:rsid w:val="000D5CCD"/>
    <w:rsid w:val="000D5FB3"/>
    <w:rsid w:val="000D6075"/>
    <w:rsid w:val="000D626D"/>
    <w:rsid w:val="000D669D"/>
    <w:rsid w:val="000D6DEC"/>
    <w:rsid w:val="000D7004"/>
    <w:rsid w:val="000D70CC"/>
    <w:rsid w:val="000D7194"/>
    <w:rsid w:val="000D7490"/>
    <w:rsid w:val="000E052E"/>
    <w:rsid w:val="000E0CB3"/>
    <w:rsid w:val="000E0F45"/>
    <w:rsid w:val="000E10BE"/>
    <w:rsid w:val="000E28B9"/>
    <w:rsid w:val="000E2E12"/>
    <w:rsid w:val="000E316C"/>
    <w:rsid w:val="000E396D"/>
    <w:rsid w:val="000E3D1A"/>
    <w:rsid w:val="000E416A"/>
    <w:rsid w:val="000E4F13"/>
    <w:rsid w:val="000E54A5"/>
    <w:rsid w:val="000E5E05"/>
    <w:rsid w:val="000E6561"/>
    <w:rsid w:val="000E656E"/>
    <w:rsid w:val="000E6E70"/>
    <w:rsid w:val="000E7764"/>
    <w:rsid w:val="000E78D9"/>
    <w:rsid w:val="000E7B4B"/>
    <w:rsid w:val="000E7C0C"/>
    <w:rsid w:val="000E7DA1"/>
    <w:rsid w:val="000E7FCF"/>
    <w:rsid w:val="000F0722"/>
    <w:rsid w:val="000F0D46"/>
    <w:rsid w:val="000F1DC0"/>
    <w:rsid w:val="000F1E30"/>
    <w:rsid w:val="000F2311"/>
    <w:rsid w:val="000F2441"/>
    <w:rsid w:val="000F2963"/>
    <w:rsid w:val="000F3038"/>
    <w:rsid w:val="000F3BC7"/>
    <w:rsid w:val="000F40EC"/>
    <w:rsid w:val="000F438B"/>
    <w:rsid w:val="000F43B6"/>
    <w:rsid w:val="000F4437"/>
    <w:rsid w:val="000F446E"/>
    <w:rsid w:val="000F495C"/>
    <w:rsid w:val="000F49D2"/>
    <w:rsid w:val="000F4CDA"/>
    <w:rsid w:val="000F4D21"/>
    <w:rsid w:val="000F569C"/>
    <w:rsid w:val="000F659D"/>
    <w:rsid w:val="000F6745"/>
    <w:rsid w:val="000F6D89"/>
    <w:rsid w:val="000F7091"/>
    <w:rsid w:val="000F71C5"/>
    <w:rsid w:val="000F73C8"/>
    <w:rsid w:val="000F73FE"/>
    <w:rsid w:val="000F7491"/>
    <w:rsid w:val="000F75D8"/>
    <w:rsid w:val="000F7E90"/>
    <w:rsid w:val="0010031D"/>
    <w:rsid w:val="00100C73"/>
    <w:rsid w:val="00102216"/>
    <w:rsid w:val="001026A5"/>
    <w:rsid w:val="00102A53"/>
    <w:rsid w:val="00102C74"/>
    <w:rsid w:val="00102D12"/>
    <w:rsid w:val="00103145"/>
    <w:rsid w:val="001031A4"/>
    <w:rsid w:val="00103248"/>
    <w:rsid w:val="00103868"/>
    <w:rsid w:val="001040B1"/>
    <w:rsid w:val="00104953"/>
    <w:rsid w:val="0010498F"/>
    <w:rsid w:val="00104C53"/>
    <w:rsid w:val="00104ED1"/>
    <w:rsid w:val="001065B4"/>
    <w:rsid w:val="001068B1"/>
    <w:rsid w:val="001069AA"/>
    <w:rsid w:val="00107AE9"/>
    <w:rsid w:val="00110245"/>
    <w:rsid w:val="001102A5"/>
    <w:rsid w:val="00110350"/>
    <w:rsid w:val="0011071D"/>
    <w:rsid w:val="00112205"/>
    <w:rsid w:val="001126A0"/>
    <w:rsid w:val="00112722"/>
    <w:rsid w:val="0011273F"/>
    <w:rsid w:val="00112A4D"/>
    <w:rsid w:val="00113127"/>
    <w:rsid w:val="00114165"/>
    <w:rsid w:val="001148A4"/>
    <w:rsid w:val="0011586E"/>
    <w:rsid w:val="001159D0"/>
    <w:rsid w:val="00115C78"/>
    <w:rsid w:val="0011752D"/>
    <w:rsid w:val="001208CB"/>
    <w:rsid w:val="001220CF"/>
    <w:rsid w:val="0012217A"/>
    <w:rsid w:val="00122210"/>
    <w:rsid w:val="001226B5"/>
    <w:rsid w:val="0012317A"/>
    <w:rsid w:val="0012321D"/>
    <w:rsid w:val="001232D6"/>
    <w:rsid w:val="001238CC"/>
    <w:rsid w:val="00124243"/>
    <w:rsid w:val="00124769"/>
    <w:rsid w:val="00124AF5"/>
    <w:rsid w:val="00125244"/>
    <w:rsid w:val="0012525D"/>
    <w:rsid w:val="00125445"/>
    <w:rsid w:val="00125724"/>
    <w:rsid w:val="00126247"/>
    <w:rsid w:val="0012662D"/>
    <w:rsid w:val="001269FB"/>
    <w:rsid w:val="00126C2D"/>
    <w:rsid w:val="00126C97"/>
    <w:rsid w:val="00126CFE"/>
    <w:rsid w:val="00126F65"/>
    <w:rsid w:val="00127578"/>
    <w:rsid w:val="00127743"/>
    <w:rsid w:val="00127756"/>
    <w:rsid w:val="001279C4"/>
    <w:rsid w:val="00130EEB"/>
    <w:rsid w:val="001323F5"/>
    <w:rsid w:val="00134A7F"/>
    <w:rsid w:val="00136012"/>
    <w:rsid w:val="001379C1"/>
    <w:rsid w:val="00137EF4"/>
    <w:rsid w:val="00140283"/>
    <w:rsid w:val="00141DA7"/>
    <w:rsid w:val="001421C3"/>
    <w:rsid w:val="001422EA"/>
    <w:rsid w:val="00142447"/>
    <w:rsid w:val="001424CD"/>
    <w:rsid w:val="00142CA7"/>
    <w:rsid w:val="0014342F"/>
    <w:rsid w:val="00143808"/>
    <w:rsid w:val="00143DE7"/>
    <w:rsid w:val="00144000"/>
    <w:rsid w:val="00144BD8"/>
    <w:rsid w:val="00144FBE"/>
    <w:rsid w:val="00145E69"/>
    <w:rsid w:val="00146878"/>
    <w:rsid w:val="00147132"/>
    <w:rsid w:val="00150740"/>
    <w:rsid w:val="001508CB"/>
    <w:rsid w:val="00150F1B"/>
    <w:rsid w:val="001514FD"/>
    <w:rsid w:val="00151C92"/>
    <w:rsid w:val="00152568"/>
    <w:rsid w:val="00152C79"/>
    <w:rsid w:val="00153B42"/>
    <w:rsid w:val="00153F20"/>
    <w:rsid w:val="001540CA"/>
    <w:rsid w:val="00154363"/>
    <w:rsid w:val="00154A00"/>
    <w:rsid w:val="00154D1E"/>
    <w:rsid w:val="00154F9E"/>
    <w:rsid w:val="00155078"/>
    <w:rsid w:val="001554CA"/>
    <w:rsid w:val="00155983"/>
    <w:rsid w:val="00156975"/>
    <w:rsid w:val="00157E09"/>
    <w:rsid w:val="001608F7"/>
    <w:rsid w:val="00160EFF"/>
    <w:rsid w:val="0016185B"/>
    <w:rsid w:val="001618C4"/>
    <w:rsid w:val="00161BC3"/>
    <w:rsid w:val="00161E7E"/>
    <w:rsid w:val="001624D8"/>
    <w:rsid w:val="0016332F"/>
    <w:rsid w:val="001643A4"/>
    <w:rsid w:val="00165E10"/>
    <w:rsid w:val="00166BD8"/>
    <w:rsid w:val="00166F16"/>
    <w:rsid w:val="0016719B"/>
    <w:rsid w:val="00167E75"/>
    <w:rsid w:val="00167E8C"/>
    <w:rsid w:val="001701A0"/>
    <w:rsid w:val="001705E5"/>
    <w:rsid w:val="00170725"/>
    <w:rsid w:val="00170D7E"/>
    <w:rsid w:val="001713AC"/>
    <w:rsid w:val="00172F1B"/>
    <w:rsid w:val="001731EE"/>
    <w:rsid w:val="00173EFD"/>
    <w:rsid w:val="00173F56"/>
    <w:rsid w:val="00173F78"/>
    <w:rsid w:val="001743B1"/>
    <w:rsid w:val="001747B3"/>
    <w:rsid w:val="00174B83"/>
    <w:rsid w:val="00174E0D"/>
    <w:rsid w:val="00174F01"/>
    <w:rsid w:val="00175709"/>
    <w:rsid w:val="001759D8"/>
    <w:rsid w:val="00175C9B"/>
    <w:rsid w:val="00175E67"/>
    <w:rsid w:val="00176017"/>
    <w:rsid w:val="001763B7"/>
    <w:rsid w:val="001765FD"/>
    <w:rsid w:val="00176C50"/>
    <w:rsid w:val="00177087"/>
    <w:rsid w:val="001770F6"/>
    <w:rsid w:val="001778C9"/>
    <w:rsid w:val="00181C9A"/>
    <w:rsid w:val="0018239C"/>
    <w:rsid w:val="00182A19"/>
    <w:rsid w:val="00183121"/>
    <w:rsid w:val="0018381F"/>
    <w:rsid w:val="00183E66"/>
    <w:rsid w:val="00184F6D"/>
    <w:rsid w:val="0018546C"/>
    <w:rsid w:val="001856F2"/>
    <w:rsid w:val="00185794"/>
    <w:rsid w:val="001866BB"/>
    <w:rsid w:val="00186F5B"/>
    <w:rsid w:val="00187891"/>
    <w:rsid w:val="001901FD"/>
    <w:rsid w:val="0019030C"/>
    <w:rsid w:val="001908EE"/>
    <w:rsid w:val="00190996"/>
    <w:rsid w:val="00191CFE"/>
    <w:rsid w:val="001920F3"/>
    <w:rsid w:val="00192758"/>
    <w:rsid w:val="0019350B"/>
    <w:rsid w:val="001935CC"/>
    <w:rsid w:val="001938C5"/>
    <w:rsid w:val="00194A02"/>
    <w:rsid w:val="001952B9"/>
    <w:rsid w:val="00195B57"/>
    <w:rsid w:val="00195DAB"/>
    <w:rsid w:val="00196844"/>
    <w:rsid w:val="00196BDC"/>
    <w:rsid w:val="00196E4B"/>
    <w:rsid w:val="00196F8D"/>
    <w:rsid w:val="0019707D"/>
    <w:rsid w:val="0019752B"/>
    <w:rsid w:val="001A0810"/>
    <w:rsid w:val="001A1113"/>
    <w:rsid w:val="001A1FB0"/>
    <w:rsid w:val="001A2103"/>
    <w:rsid w:val="001A2B44"/>
    <w:rsid w:val="001A2CCE"/>
    <w:rsid w:val="001A2CF6"/>
    <w:rsid w:val="001A2EBC"/>
    <w:rsid w:val="001A44DA"/>
    <w:rsid w:val="001A485D"/>
    <w:rsid w:val="001A4B43"/>
    <w:rsid w:val="001A4CFD"/>
    <w:rsid w:val="001A5803"/>
    <w:rsid w:val="001A5EE0"/>
    <w:rsid w:val="001A6396"/>
    <w:rsid w:val="001A7179"/>
    <w:rsid w:val="001A7F6F"/>
    <w:rsid w:val="001B05B6"/>
    <w:rsid w:val="001B06ED"/>
    <w:rsid w:val="001B0A39"/>
    <w:rsid w:val="001B0C84"/>
    <w:rsid w:val="001B0FB6"/>
    <w:rsid w:val="001B1D59"/>
    <w:rsid w:val="001B1ECA"/>
    <w:rsid w:val="001B2B07"/>
    <w:rsid w:val="001B2DD8"/>
    <w:rsid w:val="001B349F"/>
    <w:rsid w:val="001B3981"/>
    <w:rsid w:val="001B424B"/>
    <w:rsid w:val="001B4296"/>
    <w:rsid w:val="001B447B"/>
    <w:rsid w:val="001B46EC"/>
    <w:rsid w:val="001B4ADA"/>
    <w:rsid w:val="001B4D3E"/>
    <w:rsid w:val="001B567A"/>
    <w:rsid w:val="001B5E23"/>
    <w:rsid w:val="001B5EF5"/>
    <w:rsid w:val="001B73FE"/>
    <w:rsid w:val="001B767B"/>
    <w:rsid w:val="001B7C7A"/>
    <w:rsid w:val="001B7D6F"/>
    <w:rsid w:val="001B7EA9"/>
    <w:rsid w:val="001C0216"/>
    <w:rsid w:val="001C0747"/>
    <w:rsid w:val="001C0F14"/>
    <w:rsid w:val="001C12DB"/>
    <w:rsid w:val="001C1FA2"/>
    <w:rsid w:val="001C242D"/>
    <w:rsid w:val="001C2529"/>
    <w:rsid w:val="001C33B9"/>
    <w:rsid w:val="001C38B7"/>
    <w:rsid w:val="001C463B"/>
    <w:rsid w:val="001C470D"/>
    <w:rsid w:val="001C5BB6"/>
    <w:rsid w:val="001C686D"/>
    <w:rsid w:val="001C6DF9"/>
    <w:rsid w:val="001C6E5D"/>
    <w:rsid w:val="001C71EF"/>
    <w:rsid w:val="001C744F"/>
    <w:rsid w:val="001C7938"/>
    <w:rsid w:val="001D0C86"/>
    <w:rsid w:val="001D0D2B"/>
    <w:rsid w:val="001D14DE"/>
    <w:rsid w:val="001D1A64"/>
    <w:rsid w:val="001D1CC0"/>
    <w:rsid w:val="001D2304"/>
    <w:rsid w:val="001D288C"/>
    <w:rsid w:val="001D364C"/>
    <w:rsid w:val="001D3821"/>
    <w:rsid w:val="001D3E01"/>
    <w:rsid w:val="001D53ED"/>
    <w:rsid w:val="001D6A02"/>
    <w:rsid w:val="001D7761"/>
    <w:rsid w:val="001D7A54"/>
    <w:rsid w:val="001E03E0"/>
    <w:rsid w:val="001E0A5B"/>
    <w:rsid w:val="001E0FCF"/>
    <w:rsid w:val="001E1D33"/>
    <w:rsid w:val="001E2978"/>
    <w:rsid w:val="001E2C02"/>
    <w:rsid w:val="001E3BE2"/>
    <w:rsid w:val="001E4503"/>
    <w:rsid w:val="001E453A"/>
    <w:rsid w:val="001E4C46"/>
    <w:rsid w:val="001E5ABB"/>
    <w:rsid w:val="001E6628"/>
    <w:rsid w:val="001E6B77"/>
    <w:rsid w:val="001E711C"/>
    <w:rsid w:val="001E7930"/>
    <w:rsid w:val="001E7C22"/>
    <w:rsid w:val="001F1E39"/>
    <w:rsid w:val="001F2569"/>
    <w:rsid w:val="001F27A6"/>
    <w:rsid w:val="001F3834"/>
    <w:rsid w:val="001F3A2D"/>
    <w:rsid w:val="001F3D4F"/>
    <w:rsid w:val="001F48AD"/>
    <w:rsid w:val="001F4B2D"/>
    <w:rsid w:val="001F521F"/>
    <w:rsid w:val="001F5F32"/>
    <w:rsid w:val="001F61F7"/>
    <w:rsid w:val="001F65B1"/>
    <w:rsid w:val="001F6893"/>
    <w:rsid w:val="001F6E7A"/>
    <w:rsid w:val="001F762E"/>
    <w:rsid w:val="001F7991"/>
    <w:rsid w:val="0020002C"/>
    <w:rsid w:val="00200372"/>
    <w:rsid w:val="00200FE0"/>
    <w:rsid w:val="00201941"/>
    <w:rsid w:val="00201E10"/>
    <w:rsid w:val="002028B1"/>
    <w:rsid w:val="00203EC1"/>
    <w:rsid w:val="002046F5"/>
    <w:rsid w:val="0020474A"/>
    <w:rsid w:val="0020479A"/>
    <w:rsid w:val="00205371"/>
    <w:rsid w:val="00205674"/>
    <w:rsid w:val="0020632C"/>
    <w:rsid w:val="0020683D"/>
    <w:rsid w:val="00206B88"/>
    <w:rsid w:val="00207448"/>
    <w:rsid w:val="00207928"/>
    <w:rsid w:val="00210377"/>
    <w:rsid w:val="002105CA"/>
    <w:rsid w:val="00210F9D"/>
    <w:rsid w:val="0021107D"/>
    <w:rsid w:val="0021122B"/>
    <w:rsid w:val="002113BF"/>
    <w:rsid w:val="002121EC"/>
    <w:rsid w:val="002122AA"/>
    <w:rsid w:val="002124FF"/>
    <w:rsid w:val="002128F4"/>
    <w:rsid w:val="00212A43"/>
    <w:rsid w:val="00212B6E"/>
    <w:rsid w:val="00213287"/>
    <w:rsid w:val="002133F3"/>
    <w:rsid w:val="00213A6F"/>
    <w:rsid w:val="00213D09"/>
    <w:rsid w:val="00213DC8"/>
    <w:rsid w:val="00213F2D"/>
    <w:rsid w:val="002142B8"/>
    <w:rsid w:val="0021551D"/>
    <w:rsid w:val="00216478"/>
    <w:rsid w:val="00216952"/>
    <w:rsid w:val="00216C3C"/>
    <w:rsid w:val="002171DE"/>
    <w:rsid w:val="002177FD"/>
    <w:rsid w:val="00217AC5"/>
    <w:rsid w:val="00217CCE"/>
    <w:rsid w:val="00217DF6"/>
    <w:rsid w:val="00217FD0"/>
    <w:rsid w:val="00220982"/>
    <w:rsid w:val="00220FFB"/>
    <w:rsid w:val="00221613"/>
    <w:rsid w:val="00222130"/>
    <w:rsid w:val="00222601"/>
    <w:rsid w:val="0022261E"/>
    <w:rsid w:val="002230E5"/>
    <w:rsid w:val="002233F1"/>
    <w:rsid w:val="00223ED1"/>
    <w:rsid w:val="002240D2"/>
    <w:rsid w:val="002245F9"/>
    <w:rsid w:val="00224C6C"/>
    <w:rsid w:val="00224CFE"/>
    <w:rsid w:val="00224F5D"/>
    <w:rsid w:val="00225813"/>
    <w:rsid w:val="00225A83"/>
    <w:rsid w:val="00226059"/>
    <w:rsid w:val="00226288"/>
    <w:rsid w:val="002264C3"/>
    <w:rsid w:val="002271AA"/>
    <w:rsid w:val="0022735E"/>
    <w:rsid w:val="002273C1"/>
    <w:rsid w:val="00227A4E"/>
    <w:rsid w:val="00227E04"/>
    <w:rsid w:val="00230176"/>
    <w:rsid w:val="002302B9"/>
    <w:rsid w:val="0023100A"/>
    <w:rsid w:val="0023120E"/>
    <w:rsid w:val="00231838"/>
    <w:rsid w:val="00233629"/>
    <w:rsid w:val="00234223"/>
    <w:rsid w:val="00234AF2"/>
    <w:rsid w:val="00234D92"/>
    <w:rsid w:val="00235DAA"/>
    <w:rsid w:val="00236B5D"/>
    <w:rsid w:val="00236D82"/>
    <w:rsid w:val="00240730"/>
    <w:rsid w:val="00241527"/>
    <w:rsid w:val="00242197"/>
    <w:rsid w:val="002422C5"/>
    <w:rsid w:val="00243086"/>
    <w:rsid w:val="0024375E"/>
    <w:rsid w:val="00243C1C"/>
    <w:rsid w:val="00244205"/>
    <w:rsid w:val="00244C7F"/>
    <w:rsid w:val="002453EA"/>
    <w:rsid w:val="00245C24"/>
    <w:rsid w:val="00245E51"/>
    <w:rsid w:val="00246255"/>
    <w:rsid w:val="002467C8"/>
    <w:rsid w:val="00247966"/>
    <w:rsid w:val="00250328"/>
    <w:rsid w:val="00250BCC"/>
    <w:rsid w:val="00250EF3"/>
    <w:rsid w:val="00251F2B"/>
    <w:rsid w:val="0025223F"/>
    <w:rsid w:val="00252755"/>
    <w:rsid w:val="0025282A"/>
    <w:rsid w:val="002533E4"/>
    <w:rsid w:val="00253ADC"/>
    <w:rsid w:val="00253D1D"/>
    <w:rsid w:val="0025447B"/>
    <w:rsid w:val="0025460A"/>
    <w:rsid w:val="00254922"/>
    <w:rsid w:val="0025502D"/>
    <w:rsid w:val="00255B34"/>
    <w:rsid w:val="00255E57"/>
    <w:rsid w:val="00255FA7"/>
    <w:rsid w:val="00256379"/>
    <w:rsid w:val="002564B1"/>
    <w:rsid w:val="0025689A"/>
    <w:rsid w:val="002606FD"/>
    <w:rsid w:val="00260862"/>
    <w:rsid w:val="002612E4"/>
    <w:rsid w:val="00261730"/>
    <w:rsid w:val="002617B6"/>
    <w:rsid w:val="00261843"/>
    <w:rsid w:val="00261B81"/>
    <w:rsid w:val="00261F9C"/>
    <w:rsid w:val="00262608"/>
    <w:rsid w:val="00262BD6"/>
    <w:rsid w:val="002632D3"/>
    <w:rsid w:val="0026494E"/>
    <w:rsid w:val="00264D6D"/>
    <w:rsid w:val="00265711"/>
    <w:rsid w:val="00265D0A"/>
    <w:rsid w:val="00265D52"/>
    <w:rsid w:val="002661F8"/>
    <w:rsid w:val="002664E0"/>
    <w:rsid w:val="00266A1D"/>
    <w:rsid w:val="00266A91"/>
    <w:rsid w:val="00266E04"/>
    <w:rsid w:val="00267561"/>
    <w:rsid w:val="00267B57"/>
    <w:rsid w:val="00270704"/>
    <w:rsid w:val="002707F8"/>
    <w:rsid w:val="00270CDF"/>
    <w:rsid w:val="002715B6"/>
    <w:rsid w:val="00271C68"/>
    <w:rsid w:val="00272E10"/>
    <w:rsid w:val="00272E5D"/>
    <w:rsid w:val="00273C34"/>
    <w:rsid w:val="00274A4B"/>
    <w:rsid w:val="002751F1"/>
    <w:rsid w:val="0027541B"/>
    <w:rsid w:val="002756B8"/>
    <w:rsid w:val="0027666D"/>
    <w:rsid w:val="002769E8"/>
    <w:rsid w:val="00276AC8"/>
    <w:rsid w:val="00277105"/>
    <w:rsid w:val="0027752E"/>
    <w:rsid w:val="0027775A"/>
    <w:rsid w:val="00280517"/>
    <w:rsid w:val="00280BA1"/>
    <w:rsid w:val="002814B7"/>
    <w:rsid w:val="00281AE8"/>
    <w:rsid w:val="00281F60"/>
    <w:rsid w:val="00283CCC"/>
    <w:rsid w:val="002847E7"/>
    <w:rsid w:val="00285000"/>
    <w:rsid w:val="002850AE"/>
    <w:rsid w:val="002857A9"/>
    <w:rsid w:val="00285C06"/>
    <w:rsid w:val="00286044"/>
    <w:rsid w:val="00286279"/>
    <w:rsid w:val="002869FE"/>
    <w:rsid w:val="0028778E"/>
    <w:rsid w:val="002878CB"/>
    <w:rsid w:val="00287C75"/>
    <w:rsid w:val="0029014A"/>
    <w:rsid w:val="00290BF0"/>
    <w:rsid w:val="00290ED2"/>
    <w:rsid w:val="002910B7"/>
    <w:rsid w:val="002910DC"/>
    <w:rsid w:val="0029132F"/>
    <w:rsid w:val="00291D15"/>
    <w:rsid w:val="00291E75"/>
    <w:rsid w:val="00292176"/>
    <w:rsid w:val="00292781"/>
    <w:rsid w:val="002931A8"/>
    <w:rsid w:val="002936E1"/>
    <w:rsid w:val="002938E7"/>
    <w:rsid w:val="00294032"/>
    <w:rsid w:val="002951D4"/>
    <w:rsid w:val="00295FBA"/>
    <w:rsid w:val="00296E99"/>
    <w:rsid w:val="0029714E"/>
    <w:rsid w:val="00297C95"/>
    <w:rsid w:val="002A00F1"/>
    <w:rsid w:val="002A020B"/>
    <w:rsid w:val="002A0480"/>
    <w:rsid w:val="002A04DD"/>
    <w:rsid w:val="002A0643"/>
    <w:rsid w:val="002A0665"/>
    <w:rsid w:val="002A0A9F"/>
    <w:rsid w:val="002A0D6E"/>
    <w:rsid w:val="002A0EC6"/>
    <w:rsid w:val="002A0FBE"/>
    <w:rsid w:val="002A1056"/>
    <w:rsid w:val="002A1189"/>
    <w:rsid w:val="002A1705"/>
    <w:rsid w:val="002A17EC"/>
    <w:rsid w:val="002A24F2"/>
    <w:rsid w:val="002A2682"/>
    <w:rsid w:val="002A2AE3"/>
    <w:rsid w:val="002A2D60"/>
    <w:rsid w:val="002A2E4B"/>
    <w:rsid w:val="002A3323"/>
    <w:rsid w:val="002A3C65"/>
    <w:rsid w:val="002A47B2"/>
    <w:rsid w:val="002A4D0F"/>
    <w:rsid w:val="002A4E28"/>
    <w:rsid w:val="002A59ED"/>
    <w:rsid w:val="002A5D31"/>
    <w:rsid w:val="002A6B30"/>
    <w:rsid w:val="002A6D04"/>
    <w:rsid w:val="002A7576"/>
    <w:rsid w:val="002B05A1"/>
    <w:rsid w:val="002B071F"/>
    <w:rsid w:val="002B084A"/>
    <w:rsid w:val="002B1C00"/>
    <w:rsid w:val="002B2790"/>
    <w:rsid w:val="002B3076"/>
    <w:rsid w:val="002B31BA"/>
    <w:rsid w:val="002B37CF"/>
    <w:rsid w:val="002B39EE"/>
    <w:rsid w:val="002B39F8"/>
    <w:rsid w:val="002B3DAB"/>
    <w:rsid w:val="002B43B2"/>
    <w:rsid w:val="002B4732"/>
    <w:rsid w:val="002B4DF5"/>
    <w:rsid w:val="002B4F54"/>
    <w:rsid w:val="002B663C"/>
    <w:rsid w:val="002B738F"/>
    <w:rsid w:val="002B7E19"/>
    <w:rsid w:val="002B7ECC"/>
    <w:rsid w:val="002C078F"/>
    <w:rsid w:val="002C1293"/>
    <w:rsid w:val="002C187A"/>
    <w:rsid w:val="002C1B44"/>
    <w:rsid w:val="002C2F7C"/>
    <w:rsid w:val="002C308A"/>
    <w:rsid w:val="002C30B1"/>
    <w:rsid w:val="002C323B"/>
    <w:rsid w:val="002C3A2E"/>
    <w:rsid w:val="002C4341"/>
    <w:rsid w:val="002C5207"/>
    <w:rsid w:val="002C6AB1"/>
    <w:rsid w:val="002C6C82"/>
    <w:rsid w:val="002C7045"/>
    <w:rsid w:val="002C7133"/>
    <w:rsid w:val="002C77CE"/>
    <w:rsid w:val="002D0695"/>
    <w:rsid w:val="002D08DF"/>
    <w:rsid w:val="002D0A55"/>
    <w:rsid w:val="002D0DF8"/>
    <w:rsid w:val="002D0F4F"/>
    <w:rsid w:val="002D1835"/>
    <w:rsid w:val="002D1F41"/>
    <w:rsid w:val="002D27FE"/>
    <w:rsid w:val="002D29E7"/>
    <w:rsid w:val="002D46C9"/>
    <w:rsid w:val="002D4799"/>
    <w:rsid w:val="002D50FE"/>
    <w:rsid w:val="002D511D"/>
    <w:rsid w:val="002D563B"/>
    <w:rsid w:val="002D5654"/>
    <w:rsid w:val="002D5C2D"/>
    <w:rsid w:val="002D5D31"/>
    <w:rsid w:val="002D5DEB"/>
    <w:rsid w:val="002D66A3"/>
    <w:rsid w:val="002D6761"/>
    <w:rsid w:val="002D6897"/>
    <w:rsid w:val="002D6984"/>
    <w:rsid w:val="002D6B2C"/>
    <w:rsid w:val="002D6C06"/>
    <w:rsid w:val="002D6F61"/>
    <w:rsid w:val="002D7491"/>
    <w:rsid w:val="002D7E30"/>
    <w:rsid w:val="002E0767"/>
    <w:rsid w:val="002E138B"/>
    <w:rsid w:val="002E221B"/>
    <w:rsid w:val="002E2503"/>
    <w:rsid w:val="002E2C93"/>
    <w:rsid w:val="002E3494"/>
    <w:rsid w:val="002E3673"/>
    <w:rsid w:val="002E419D"/>
    <w:rsid w:val="002E473C"/>
    <w:rsid w:val="002E4DC3"/>
    <w:rsid w:val="002E4EC5"/>
    <w:rsid w:val="002E54FF"/>
    <w:rsid w:val="002E5642"/>
    <w:rsid w:val="002E5C84"/>
    <w:rsid w:val="002E64E9"/>
    <w:rsid w:val="002E6E1B"/>
    <w:rsid w:val="002E7990"/>
    <w:rsid w:val="002E7B90"/>
    <w:rsid w:val="002E7D56"/>
    <w:rsid w:val="002E7D7A"/>
    <w:rsid w:val="002E7E15"/>
    <w:rsid w:val="002F0471"/>
    <w:rsid w:val="002F04F2"/>
    <w:rsid w:val="002F0588"/>
    <w:rsid w:val="002F1B6F"/>
    <w:rsid w:val="002F23D2"/>
    <w:rsid w:val="002F2440"/>
    <w:rsid w:val="002F38AC"/>
    <w:rsid w:val="002F421C"/>
    <w:rsid w:val="002F4ECE"/>
    <w:rsid w:val="002F618E"/>
    <w:rsid w:val="002F65EC"/>
    <w:rsid w:val="002F6D88"/>
    <w:rsid w:val="002F7367"/>
    <w:rsid w:val="002F7FAD"/>
    <w:rsid w:val="0030005C"/>
    <w:rsid w:val="0030045A"/>
    <w:rsid w:val="00300489"/>
    <w:rsid w:val="00300A42"/>
    <w:rsid w:val="00300EC1"/>
    <w:rsid w:val="0030136A"/>
    <w:rsid w:val="00301ED0"/>
    <w:rsid w:val="00302FAA"/>
    <w:rsid w:val="0030382A"/>
    <w:rsid w:val="00304051"/>
    <w:rsid w:val="003045DE"/>
    <w:rsid w:val="003045F5"/>
    <w:rsid w:val="003048C9"/>
    <w:rsid w:val="00304E18"/>
    <w:rsid w:val="00304FF4"/>
    <w:rsid w:val="00305B93"/>
    <w:rsid w:val="00305C3A"/>
    <w:rsid w:val="00305F6C"/>
    <w:rsid w:val="00306498"/>
    <w:rsid w:val="003069AC"/>
    <w:rsid w:val="00306CAA"/>
    <w:rsid w:val="003073CA"/>
    <w:rsid w:val="00310BFE"/>
    <w:rsid w:val="00310F8C"/>
    <w:rsid w:val="0031164B"/>
    <w:rsid w:val="00311D0B"/>
    <w:rsid w:val="00312576"/>
    <w:rsid w:val="00312C3B"/>
    <w:rsid w:val="0031302D"/>
    <w:rsid w:val="00314529"/>
    <w:rsid w:val="00314987"/>
    <w:rsid w:val="003161EA"/>
    <w:rsid w:val="0031693D"/>
    <w:rsid w:val="00320ED9"/>
    <w:rsid w:val="00320FA3"/>
    <w:rsid w:val="00321217"/>
    <w:rsid w:val="0032208B"/>
    <w:rsid w:val="003232F3"/>
    <w:rsid w:val="003239DC"/>
    <w:rsid w:val="00324363"/>
    <w:rsid w:val="003243BC"/>
    <w:rsid w:val="003243D4"/>
    <w:rsid w:val="00324A47"/>
    <w:rsid w:val="00324BF1"/>
    <w:rsid w:val="00325103"/>
    <w:rsid w:val="0032545F"/>
    <w:rsid w:val="00325952"/>
    <w:rsid w:val="00326F1E"/>
    <w:rsid w:val="00327D50"/>
    <w:rsid w:val="00327FB1"/>
    <w:rsid w:val="003303CF"/>
    <w:rsid w:val="00330426"/>
    <w:rsid w:val="0033066D"/>
    <w:rsid w:val="003307B0"/>
    <w:rsid w:val="00330A2A"/>
    <w:rsid w:val="00332123"/>
    <w:rsid w:val="0033230E"/>
    <w:rsid w:val="00332D5B"/>
    <w:rsid w:val="00332EDF"/>
    <w:rsid w:val="00333688"/>
    <w:rsid w:val="00333F1D"/>
    <w:rsid w:val="00334197"/>
    <w:rsid w:val="003344CC"/>
    <w:rsid w:val="00335A3D"/>
    <w:rsid w:val="0033675C"/>
    <w:rsid w:val="00340BFA"/>
    <w:rsid w:val="0034301B"/>
    <w:rsid w:val="003435A0"/>
    <w:rsid w:val="00343A82"/>
    <w:rsid w:val="00343D53"/>
    <w:rsid w:val="003441CF"/>
    <w:rsid w:val="003447A8"/>
    <w:rsid w:val="00344A2F"/>
    <w:rsid w:val="00344D9B"/>
    <w:rsid w:val="0034573F"/>
    <w:rsid w:val="003468A3"/>
    <w:rsid w:val="00346AEB"/>
    <w:rsid w:val="00346FA4"/>
    <w:rsid w:val="003471E7"/>
    <w:rsid w:val="003475A3"/>
    <w:rsid w:val="00347701"/>
    <w:rsid w:val="0034777D"/>
    <w:rsid w:val="00350310"/>
    <w:rsid w:val="00350335"/>
    <w:rsid w:val="00351D04"/>
    <w:rsid w:val="0035200E"/>
    <w:rsid w:val="0035244F"/>
    <w:rsid w:val="003533E7"/>
    <w:rsid w:val="003536EC"/>
    <w:rsid w:val="003538FB"/>
    <w:rsid w:val="00353963"/>
    <w:rsid w:val="003548BC"/>
    <w:rsid w:val="00354B52"/>
    <w:rsid w:val="003556D2"/>
    <w:rsid w:val="003564DB"/>
    <w:rsid w:val="00356820"/>
    <w:rsid w:val="00356886"/>
    <w:rsid w:val="00356A5C"/>
    <w:rsid w:val="0035747E"/>
    <w:rsid w:val="00357DC2"/>
    <w:rsid w:val="00360011"/>
    <w:rsid w:val="00360AA7"/>
    <w:rsid w:val="00360B3F"/>
    <w:rsid w:val="00360DAF"/>
    <w:rsid w:val="00361018"/>
    <w:rsid w:val="003616D2"/>
    <w:rsid w:val="00362171"/>
    <w:rsid w:val="003624A6"/>
    <w:rsid w:val="003626E9"/>
    <w:rsid w:val="00362A30"/>
    <w:rsid w:val="00362A36"/>
    <w:rsid w:val="00363EB4"/>
    <w:rsid w:val="0036416C"/>
    <w:rsid w:val="003642B3"/>
    <w:rsid w:val="00364379"/>
    <w:rsid w:val="00364B25"/>
    <w:rsid w:val="00365A3F"/>
    <w:rsid w:val="00366261"/>
    <w:rsid w:val="0036729B"/>
    <w:rsid w:val="00367481"/>
    <w:rsid w:val="003675E5"/>
    <w:rsid w:val="00367E61"/>
    <w:rsid w:val="00370B20"/>
    <w:rsid w:val="00370DE7"/>
    <w:rsid w:val="00370E5B"/>
    <w:rsid w:val="00370FA4"/>
    <w:rsid w:val="0037134E"/>
    <w:rsid w:val="003718A9"/>
    <w:rsid w:val="00371C53"/>
    <w:rsid w:val="003722BF"/>
    <w:rsid w:val="00373D8F"/>
    <w:rsid w:val="00374D26"/>
    <w:rsid w:val="0037506E"/>
    <w:rsid w:val="00375786"/>
    <w:rsid w:val="00375C08"/>
    <w:rsid w:val="00375D14"/>
    <w:rsid w:val="00376472"/>
    <w:rsid w:val="0037647C"/>
    <w:rsid w:val="00376D34"/>
    <w:rsid w:val="00376E87"/>
    <w:rsid w:val="0037707A"/>
    <w:rsid w:val="00377A34"/>
    <w:rsid w:val="003802AB"/>
    <w:rsid w:val="003803B0"/>
    <w:rsid w:val="003809F7"/>
    <w:rsid w:val="003824EA"/>
    <w:rsid w:val="003825E5"/>
    <w:rsid w:val="00382DDE"/>
    <w:rsid w:val="0038309D"/>
    <w:rsid w:val="003848A4"/>
    <w:rsid w:val="003858AE"/>
    <w:rsid w:val="00386162"/>
    <w:rsid w:val="0038640D"/>
    <w:rsid w:val="0038699A"/>
    <w:rsid w:val="00386F73"/>
    <w:rsid w:val="003870AC"/>
    <w:rsid w:val="003873B6"/>
    <w:rsid w:val="00387D48"/>
    <w:rsid w:val="0039017E"/>
    <w:rsid w:val="0039037E"/>
    <w:rsid w:val="00391F52"/>
    <w:rsid w:val="00391FA9"/>
    <w:rsid w:val="00392027"/>
    <w:rsid w:val="00393312"/>
    <w:rsid w:val="0039352A"/>
    <w:rsid w:val="00393D43"/>
    <w:rsid w:val="00393E52"/>
    <w:rsid w:val="00393EBC"/>
    <w:rsid w:val="0039483B"/>
    <w:rsid w:val="00394B47"/>
    <w:rsid w:val="00394E68"/>
    <w:rsid w:val="003953CD"/>
    <w:rsid w:val="0039567C"/>
    <w:rsid w:val="00395F81"/>
    <w:rsid w:val="0039616F"/>
    <w:rsid w:val="00396894"/>
    <w:rsid w:val="003969D7"/>
    <w:rsid w:val="00396D9B"/>
    <w:rsid w:val="00397A64"/>
    <w:rsid w:val="00397BED"/>
    <w:rsid w:val="00397CBE"/>
    <w:rsid w:val="003A003E"/>
    <w:rsid w:val="003A072F"/>
    <w:rsid w:val="003A07DA"/>
    <w:rsid w:val="003A0D19"/>
    <w:rsid w:val="003A129F"/>
    <w:rsid w:val="003A18D2"/>
    <w:rsid w:val="003A24C8"/>
    <w:rsid w:val="003A2844"/>
    <w:rsid w:val="003A3BE1"/>
    <w:rsid w:val="003A471E"/>
    <w:rsid w:val="003A517A"/>
    <w:rsid w:val="003A5193"/>
    <w:rsid w:val="003A542A"/>
    <w:rsid w:val="003A5C46"/>
    <w:rsid w:val="003A5C76"/>
    <w:rsid w:val="003A60CB"/>
    <w:rsid w:val="003A664E"/>
    <w:rsid w:val="003A6C13"/>
    <w:rsid w:val="003A6F28"/>
    <w:rsid w:val="003A70B5"/>
    <w:rsid w:val="003A71DE"/>
    <w:rsid w:val="003B0068"/>
    <w:rsid w:val="003B0389"/>
    <w:rsid w:val="003B0CEF"/>
    <w:rsid w:val="003B0FFF"/>
    <w:rsid w:val="003B15B5"/>
    <w:rsid w:val="003B15EA"/>
    <w:rsid w:val="003B1683"/>
    <w:rsid w:val="003B1785"/>
    <w:rsid w:val="003B18FC"/>
    <w:rsid w:val="003B2196"/>
    <w:rsid w:val="003B2690"/>
    <w:rsid w:val="003B2EC7"/>
    <w:rsid w:val="003B321F"/>
    <w:rsid w:val="003B3422"/>
    <w:rsid w:val="003B344F"/>
    <w:rsid w:val="003B3704"/>
    <w:rsid w:val="003B3E36"/>
    <w:rsid w:val="003B4CB8"/>
    <w:rsid w:val="003B50D2"/>
    <w:rsid w:val="003B6ACD"/>
    <w:rsid w:val="003B6E9E"/>
    <w:rsid w:val="003B7379"/>
    <w:rsid w:val="003B768E"/>
    <w:rsid w:val="003C03E4"/>
    <w:rsid w:val="003C07F0"/>
    <w:rsid w:val="003C08EE"/>
    <w:rsid w:val="003C1454"/>
    <w:rsid w:val="003C1827"/>
    <w:rsid w:val="003C2005"/>
    <w:rsid w:val="003C2283"/>
    <w:rsid w:val="003C22F0"/>
    <w:rsid w:val="003C24A3"/>
    <w:rsid w:val="003C252F"/>
    <w:rsid w:val="003C2871"/>
    <w:rsid w:val="003C3798"/>
    <w:rsid w:val="003C421F"/>
    <w:rsid w:val="003C459B"/>
    <w:rsid w:val="003C4B0B"/>
    <w:rsid w:val="003C55E0"/>
    <w:rsid w:val="003C587A"/>
    <w:rsid w:val="003C5ACA"/>
    <w:rsid w:val="003C604E"/>
    <w:rsid w:val="003C6618"/>
    <w:rsid w:val="003C6AE2"/>
    <w:rsid w:val="003D038B"/>
    <w:rsid w:val="003D2133"/>
    <w:rsid w:val="003D255A"/>
    <w:rsid w:val="003D334D"/>
    <w:rsid w:val="003D35DA"/>
    <w:rsid w:val="003D3AA3"/>
    <w:rsid w:val="003D506A"/>
    <w:rsid w:val="003D55DA"/>
    <w:rsid w:val="003D5D0B"/>
    <w:rsid w:val="003D60FA"/>
    <w:rsid w:val="003D629E"/>
    <w:rsid w:val="003D63B1"/>
    <w:rsid w:val="003D6D17"/>
    <w:rsid w:val="003D73E1"/>
    <w:rsid w:val="003D7488"/>
    <w:rsid w:val="003E08E0"/>
    <w:rsid w:val="003E0B5C"/>
    <w:rsid w:val="003E0CC8"/>
    <w:rsid w:val="003E11B6"/>
    <w:rsid w:val="003E1C8E"/>
    <w:rsid w:val="003E1D07"/>
    <w:rsid w:val="003E1FFA"/>
    <w:rsid w:val="003E2038"/>
    <w:rsid w:val="003E2B76"/>
    <w:rsid w:val="003E2CCA"/>
    <w:rsid w:val="003E3322"/>
    <w:rsid w:val="003E379C"/>
    <w:rsid w:val="003E3BDF"/>
    <w:rsid w:val="003E4414"/>
    <w:rsid w:val="003E45C1"/>
    <w:rsid w:val="003E4947"/>
    <w:rsid w:val="003E5507"/>
    <w:rsid w:val="003E571F"/>
    <w:rsid w:val="003E6036"/>
    <w:rsid w:val="003E6A46"/>
    <w:rsid w:val="003F132F"/>
    <w:rsid w:val="003F20B9"/>
    <w:rsid w:val="003F4101"/>
    <w:rsid w:val="003F5232"/>
    <w:rsid w:val="003F54E5"/>
    <w:rsid w:val="003F601E"/>
    <w:rsid w:val="003F65FE"/>
    <w:rsid w:val="003F6C10"/>
    <w:rsid w:val="003F7168"/>
    <w:rsid w:val="003F7B9B"/>
    <w:rsid w:val="00400975"/>
    <w:rsid w:val="00401569"/>
    <w:rsid w:val="004024D5"/>
    <w:rsid w:val="00402717"/>
    <w:rsid w:val="00403AAB"/>
    <w:rsid w:val="00404041"/>
    <w:rsid w:val="0040440E"/>
    <w:rsid w:val="00404561"/>
    <w:rsid w:val="004049DD"/>
    <w:rsid w:val="00404CA0"/>
    <w:rsid w:val="004052AD"/>
    <w:rsid w:val="004053D1"/>
    <w:rsid w:val="004057BF"/>
    <w:rsid w:val="004060B8"/>
    <w:rsid w:val="004060D1"/>
    <w:rsid w:val="00406798"/>
    <w:rsid w:val="0040766A"/>
    <w:rsid w:val="00407E51"/>
    <w:rsid w:val="004111A4"/>
    <w:rsid w:val="00411E48"/>
    <w:rsid w:val="00413890"/>
    <w:rsid w:val="00413DBC"/>
    <w:rsid w:val="00414725"/>
    <w:rsid w:val="00414993"/>
    <w:rsid w:val="00415F6E"/>
    <w:rsid w:val="00417699"/>
    <w:rsid w:val="00417813"/>
    <w:rsid w:val="00417CDD"/>
    <w:rsid w:val="00417DEE"/>
    <w:rsid w:val="00417F71"/>
    <w:rsid w:val="004204CA"/>
    <w:rsid w:val="004208EE"/>
    <w:rsid w:val="00420923"/>
    <w:rsid w:val="00421029"/>
    <w:rsid w:val="0042196A"/>
    <w:rsid w:val="00424459"/>
    <w:rsid w:val="00424734"/>
    <w:rsid w:val="0042488E"/>
    <w:rsid w:val="00424AA1"/>
    <w:rsid w:val="00424DCE"/>
    <w:rsid w:val="004255FA"/>
    <w:rsid w:val="00425E82"/>
    <w:rsid w:val="004274F0"/>
    <w:rsid w:val="00427DDA"/>
    <w:rsid w:val="004300C0"/>
    <w:rsid w:val="0043023D"/>
    <w:rsid w:val="00433DF1"/>
    <w:rsid w:val="00434524"/>
    <w:rsid w:val="004347D0"/>
    <w:rsid w:val="0043494C"/>
    <w:rsid w:val="00434D66"/>
    <w:rsid w:val="00435179"/>
    <w:rsid w:val="0043535A"/>
    <w:rsid w:val="004359AF"/>
    <w:rsid w:val="00436E91"/>
    <w:rsid w:val="0043762F"/>
    <w:rsid w:val="00440AEE"/>
    <w:rsid w:val="0044101A"/>
    <w:rsid w:val="00441041"/>
    <w:rsid w:val="00442254"/>
    <w:rsid w:val="00442902"/>
    <w:rsid w:val="00443489"/>
    <w:rsid w:val="00443578"/>
    <w:rsid w:val="00443F50"/>
    <w:rsid w:val="00443FF0"/>
    <w:rsid w:val="00444241"/>
    <w:rsid w:val="00444770"/>
    <w:rsid w:val="00444772"/>
    <w:rsid w:val="00444D22"/>
    <w:rsid w:val="00444DB3"/>
    <w:rsid w:val="00444E96"/>
    <w:rsid w:val="00444FF0"/>
    <w:rsid w:val="0044529D"/>
    <w:rsid w:val="00445A3A"/>
    <w:rsid w:val="00445B45"/>
    <w:rsid w:val="00445B90"/>
    <w:rsid w:val="00445FB1"/>
    <w:rsid w:val="004460B7"/>
    <w:rsid w:val="00446308"/>
    <w:rsid w:val="004466C4"/>
    <w:rsid w:val="004467C9"/>
    <w:rsid w:val="00446814"/>
    <w:rsid w:val="00447E23"/>
    <w:rsid w:val="00451F35"/>
    <w:rsid w:val="004520BF"/>
    <w:rsid w:val="0045214E"/>
    <w:rsid w:val="00452EDB"/>
    <w:rsid w:val="00452F5E"/>
    <w:rsid w:val="00453336"/>
    <w:rsid w:val="0045436C"/>
    <w:rsid w:val="0045438B"/>
    <w:rsid w:val="00454B0F"/>
    <w:rsid w:val="00454BA9"/>
    <w:rsid w:val="00455AB0"/>
    <w:rsid w:val="004560D5"/>
    <w:rsid w:val="0045725D"/>
    <w:rsid w:val="0046009A"/>
    <w:rsid w:val="00460470"/>
    <w:rsid w:val="00460618"/>
    <w:rsid w:val="00460914"/>
    <w:rsid w:val="004609FD"/>
    <w:rsid w:val="00460EF8"/>
    <w:rsid w:val="004615CF"/>
    <w:rsid w:val="0046169E"/>
    <w:rsid w:val="00461723"/>
    <w:rsid w:val="004617A9"/>
    <w:rsid w:val="00461D20"/>
    <w:rsid w:val="0046213B"/>
    <w:rsid w:val="004621B7"/>
    <w:rsid w:val="004626AD"/>
    <w:rsid w:val="0046434B"/>
    <w:rsid w:val="004643C1"/>
    <w:rsid w:val="00465A54"/>
    <w:rsid w:val="0046752C"/>
    <w:rsid w:val="00471246"/>
    <w:rsid w:val="00471920"/>
    <w:rsid w:val="00472013"/>
    <w:rsid w:val="0047203F"/>
    <w:rsid w:val="0047215E"/>
    <w:rsid w:val="00472CBD"/>
    <w:rsid w:val="00473731"/>
    <w:rsid w:val="00473857"/>
    <w:rsid w:val="00474481"/>
    <w:rsid w:val="0047460C"/>
    <w:rsid w:val="00474A84"/>
    <w:rsid w:val="00474C36"/>
    <w:rsid w:val="00475738"/>
    <w:rsid w:val="00475DDF"/>
    <w:rsid w:val="00476542"/>
    <w:rsid w:val="0047672B"/>
    <w:rsid w:val="00477619"/>
    <w:rsid w:val="00477728"/>
    <w:rsid w:val="00477B80"/>
    <w:rsid w:val="00477CA7"/>
    <w:rsid w:val="00480033"/>
    <w:rsid w:val="0048062A"/>
    <w:rsid w:val="00480942"/>
    <w:rsid w:val="00480AF5"/>
    <w:rsid w:val="00480F28"/>
    <w:rsid w:val="004813F3"/>
    <w:rsid w:val="0048149F"/>
    <w:rsid w:val="0048175D"/>
    <w:rsid w:val="00481BA6"/>
    <w:rsid w:val="00482181"/>
    <w:rsid w:val="0048345B"/>
    <w:rsid w:val="0048378F"/>
    <w:rsid w:val="004839BF"/>
    <w:rsid w:val="00485118"/>
    <w:rsid w:val="004855A6"/>
    <w:rsid w:val="0048564D"/>
    <w:rsid w:val="00485FA0"/>
    <w:rsid w:val="00486643"/>
    <w:rsid w:val="00487C0C"/>
    <w:rsid w:val="00487E96"/>
    <w:rsid w:val="00490880"/>
    <w:rsid w:val="00490978"/>
    <w:rsid w:val="00490C12"/>
    <w:rsid w:val="00490E5F"/>
    <w:rsid w:val="00491CBD"/>
    <w:rsid w:val="004933E7"/>
    <w:rsid w:val="00493B01"/>
    <w:rsid w:val="00493E20"/>
    <w:rsid w:val="00494033"/>
    <w:rsid w:val="0049443B"/>
    <w:rsid w:val="0049444E"/>
    <w:rsid w:val="00494F42"/>
    <w:rsid w:val="00495377"/>
    <w:rsid w:val="0049545C"/>
    <w:rsid w:val="00495A24"/>
    <w:rsid w:val="00496186"/>
    <w:rsid w:val="00496456"/>
    <w:rsid w:val="00496F4E"/>
    <w:rsid w:val="004A013C"/>
    <w:rsid w:val="004A03F2"/>
    <w:rsid w:val="004A13DA"/>
    <w:rsid w:val="004A169F"/>
    <w:rsid w:val="004A1E3B"/>
    <w:rsid w:val="004A389F"/>
    <w:rsid w:val="004A3E41"/>
    <w:rsid w:val="004A3E4C"/>
    <w:rsid w:val="004A4512"/>
    <w:rsid w:val="004A4FE0"/>
    <w:rsid w:val="004A597E"/>
    <w:rsid w:val="004A6E35"/>
    <w:rsid w:val="004A7193"/>
    <w:rsid w:val="004A779B"/>
    <w:rsid w:val="004A792D"/>
    <w:rsid w:val="004A7CCD"/>
    <w:rsid w:val="004B0A0B"/>
    <w:rsid w:val="004B0FF1"/>
    <w:rsid w:val="004B1617"/>
    <w:rsid w:val="004B1AD8"/>
    <w:rsid w:val="004B1CDE"/>
    <w:rsid w:val="004B1DDD"/>
    <w:rsid w:val="004B240C"/>
    <w:rsid w:val="004B2A04"/>
    <w:rsid w:val="004B2B78"/>
    <w:rsid w:val="004B2E21"/>
    <w:rsid w:val="004B3B42"/>
    <w:rsid w:val="004B3D00"/>
    <w:rsid w:val="004B5D24"/>
    <w:rsid w:val="004B5FA3"/>
    <w:rsid w:val="004B641C"/>
    <w:rsid w:val="004B710A"/>
    <w:rsid w:val="004B74D6"/>
    <w:rsid w:val="004B7C3F"/>
    <w:rsid w:val="004C1731"/>
    <w:rsid w:val="004C1B51"/>
    <w:rsid w:val="004C1D11"/>
    <w:rsid w:val="004C1D42"/>
    <w:rsid w:val="004C2344"/>
    <w:rsid w:val="004C2A51"/>
    <w:rsid w:val="004C2CF2"/>
    <w:rsid w:val="004C331F"/>
    <w:rsid w:val="004C33CF"/>
    <w:rsid w:val="004C3CFE"/>
    <w:rsid w:val="004C4193"/>
    <w:rsid w:val="004C45B6"/>
    <w:rsid w:val="004C4AE6"/>
    <w:rsid w:val="004C5787"/>
    <w:rsid w:val="004C5957"/>
    <w:rsid w:val="004C7271"/>
    <w:rsid w:val="004C72C6"/>
    <w:rsid w:val="004D0651"/>
    <w:rsid w:val="004D1098"/>
    <w:rsid w:val="004D197A"/>
    <w:rsid w:val="004D2C6C"/>
    <w:rsid w:val="004D2DC4"/>
    <w:rsid w:val="004D3172"/>
    <w:rsid w:val="004D382D"/>
    <w:rsid w:val="004D3E74"/>
    <w:rsid w:val="004D4709"/>
    <w:rsid w:val="004D5066"/>
    <w:rsid w:val="004D5669"/>
    <w:rsid w:val="004D6A93"/>
    <w:rsid w:val="004D7521"/>
    <w:rsid w:val="004E1180"/>
    <w:rsid w:val="004E125D"/>
    <w:rsid w:val="004E129D"/>
    <w:rsid w:val="004E1C67"/>
    <w:rsid w:val="004E207F"/>
    <w:rsid w:val="004E2326"/>
    <w:rsid w:val="004E39CD"/>
    <w:rsid w:val="004E3AE0"/>
    <w:rsid w:val="004E3FBD"/>
    <w:rsid w:val="004E4801"/>
    <w:rsid w:val="004E4EA9"/>
    <w:rsid w:val="004E4F77"/>
    <w:rsid w:val="004E5144"/>
    <w:rsid w:val="004E5A07"/>
    <w:rsid w:val="004E6079"/>
    <w:rsid w:val="004E6745"/>
    <w:rsid w:val="004E7912"/>
    <w:rsid w:val="004E7988"/>
    <w:rsid w:val="004F03C2"/>
    <w:rsid w:val="004F1B05"/>
    <w:rsid w:val="004F1BC0"/>
    <w:rsid w:val="004F2204"/>
    <w:rsid w:val="004F2DC8"/>
    <w:rsid w:val="004F371F"/>
    <w:rsid w:val="004F38E9"/>
    <w:rsid w:val="004F3C6D"/>
    <w:rsid w:val="004F466E"/>
    <w:rsid w:val="004F5253"/>
    <w:rsid w:val="004F536F"/>
    <w:rsid w:val="004F53C2"/>
    <w:rsid w:val="004F67F2"/>
    <w:rsid w:val="004F76AC"/>
    <w:rsid w:val="00500112"/>
    <w:rsid w:val="00500533"/>
    <w:rsid w:val="00500C92"/>
    <w:rsid w:val="005010C5"/>
    <w:rsid w:val="005015C0"/>
    <w:rsid w:val="00501CE5"/>
    <w:rsid w:val="00501FF0"/>
    <w:rsid w:val="0050265C"/>
    <w:rsid w:val="00502C66"/>
    <w:rsid w:val="00503537"/>
    <w:rsid w:val="005038A7"/>
    <w:rsid w:val="00503CF2"/>
    <w:rsid w:val="00504395"/>
    <w:rsid w:val="005045E1"/>
    <w:rsid w:val="0050491A"/>
    <w:rsid w:val="00504DF4"/>
    <w:rsid w:val="005050D7"/>
    <w:rsid w:val="005053A5"/>
    <w:rsid w:val="00505E53"/>
    <w:rsid w:val="005068EA"/>
    <w:rsid w:val="00506E99"/>
    <w:rsid w:val="00507766"/>
    <w:rsid w:val="00507922"/>
    <w:rsid w:val="00507DC4"/>
    <w:rsid w:val="005101AD"/>
    <w:rsid w:val="00510BE4"/>
    <w:rsid w:val="00511188"/>
    <w:rsid w:val="00511C80"/>
    <w:rsid w:val="005124B6"/>
    <w:rsid w:val="00512520"/>
    <w:rsid w:val="00512629"/>
    <w:rsid w:val="0051267F"/>
    <w:rsid w:val="00512DD7"/>
    <w:rsid w:val="005146B9"/>
    <w:rsid w:val="005148BC"/>
    <w:rsid w:val="00514C17"/>
    <w:rsid w:val="00514E36"/>
    <w:rsid w:val="005158CE"/>
    <w:rsid w:val="00515AF6"/>
    <w:rsid w:val="00516074"/>
    <w:rsid w:val="00516C9A"/>
    <w:rsid w:val="00517A40"/>
    <w:rsid w:val="00517CE9"/>
    <w:rsid w:val="00520116"/>
    <w:rsid w:val="00520708"/>
    <w:rsid w:val="005209D5"/>
    <w:rsid w:val="00520CCC"/>
    <w:rsid w:val="00520D03"/>
    <w:rsid w:val="00520FE3"/>
    <w:rsid w:val="0052140A"/>
    <w:rsid w:val="00521426"/>
    <w:rsid w:val="0052162F"/>
    <w:rsid w:val="005228D7"/>
    <w:rsid w:val="00522A2A"/>
    <w:rsid w:val="00522AE9"/>
    <w:rsid w:val="00522D2E"/>
    <w:rsid w:val="0052367B"/>
    <w:rsid w:val="00524FD5"/>
    <w:rsid w:val="00525162"/>
    <w:rsid w:val="00526C18"/>
    <w:rsid w:val="0052791E"/>
    <w:rsid w:val="00530158"/>
    <w:rsid w:val="00530197"/>
    <w:rsid w:val="00530C8A"/>
    <w:rsid w:val="00530FC2"/>
    <w:rsid w:val="00531025"/>
    <w:rsid w:val="005313CB"/>
    <w:rsid w:val="005315C8"/>
    <w:rsid w:val="00531674"/>
    <w:rsid w:val="005316CF"/>
    <w:rsid w:val="00531CA8"/>
    <w:rsid w:val="00531E29"/>
    <w:rsid w:val="00532DF1"/>
    <w:rsid w:val="005332E0"/>
    <w:rsid w:val="005335C1"/>
    <w:rsid w:val="00533A18"/>
    <w:rsid w:val="00533D89"/>
    <w:rsid w:val="0053409B"/>
    <w:rsid w:val="005341B9"/>
    <w:rsid w:val="00534734"/>
    <w:rsid w:val="00534905"/>
    <w:rsid w:val="00534CFA"/>
    <w:rsid w:val="00534DAB"/>
    <w:rsid w:val="00534EF0"/>
    <w:rsid w:val="00535C6E"/>
    <w:rsid w:val="00535DD7"/>
    <w:rsid w:val="00536401"/>
    <w:rsid w:val="005369E7"/>
    <w:rsid w:val="00537585"/>
    <w:rsid w:val="00537D63"/>
    <w:rsid w:val="00540EBF"/>
    <w:rsid w:val="0054126A"/>
    <w:rsid w:val="00541297"/>
    <w:rsid w:val="0054154E"/>
    <w:rsid w:val="00541EAF"/>
    <w:rsid w:val="00542045"/>
    <w:rsid w:val="0054228A"/>
    <w:rsid w:val="005429CA"/>
    <w:rsid w:val="00543218"/>
    <w:rsid w:val="00543C8F"/>
    <w:rsid w:val="0054544E"/>
    <w:rsid w:val="00545C30"/>
    <w:rsid w:val="00545C47"/>
    <w:rsid w:val="005461CC"/>
    <w:rsid w:val="00546414"/>
    <w:rsid w:val="00546C5D"/>
    <w:rsid w:val="00547E52"/>
    <w:rsid w:val="005508BB"/>
    <w:rsid w:val="00550AB2"/>
    <w:rsid w:val="00550ED2"/>
    <w:rsid w:val="00551665"/>
    <w:rsid w:val="00551ADC"/>
    <w:rsid w:val="005525BD"/>
    <w:rsid w:val="00552694"/>
    <w:rsid w:val="00552BFF"/>
    <w:rsid w:val="005530B4"/>
    <w:rsid w:val="00553204"/>
    <w:rsid w:val="005535FB"/>
    <w:rsid w:val="00553C46"/>
    <w:rsid w:val="00553C6E"/>
    <w:rsid w:val="0055400F"/>
    <w:rsid w:val="00554254"/>
    <w:rsid w:val="00554492"/>
    <w:rsid w:val="0055551D"/>
    <w:rsid w:val="005559CA"/>
    <w:rsid w:val="00555D46"/>
    <w:rsid w:val="0055628F"/>
    <w:rsid w:val="00556B5C"/>
    <w:rsid w:val="00556BB8"/>
    <w:rsid w:val="00556F86"/>
    <w:rsid w:val="00557F88"/>
    <w:rsid w:val="00560C82"/>
    <w:rsid w:val="0056134C"/>
    <w:rsid w:val="00561685"/>
    <w:rsid w:val="00562EC3"/>
    <w:rsid w:val="005631F6"/>
    <w:rsid w:val="00563587"/>
    <w:rsid w:val="005639BD"/>
    <w:rsid w:val="00563BFE"/>
    <w:rsid w:val="00563C63"/>
    <w:rsid w:val="00563EA1"/>
    <w:rsid w:val="00564421"/>
    <w:rsid w:val="00565823"/>
    <w:rsid w:val="00565BB4"/>
    <w:rsid w:val="00565D97"/>
    <w:rsid w:val="00565E28"/>
    <w:rsid w:val="00566312"/>
    <w:rsid w:val="00566975"/>
    <w:rsid w:val="00567986"/>
    <w:rsid w:val="00567F87"/>
    <w:rsid w:val="0057044E"/>
    <w:rsid w:val="00570DAB"/>
    <w:rsid w:val="005712EA"/>
    <w:rsid w:val="00571490"/>
    <w:rsid w:val="0057156D"/>
    <w:rsid w:val="00571CCB"/>
    <w:rsid w:val="00571D10"/>
    <w:rsid w:val="005723E4"/>
    <w:rsid w:val="005727D4"/>
    <w:rsid w:val="00573807"/>
    <w:rsid w:val="00575329"/>
    <w:rsid w:val="005758A5"/>
    <w:rsid w:val="00575A12"/>
    <w:rsid w:val="00575D54"/>
    <w:rsid w:val="00576A86"/>
    <w:rsid w:val="00577626"/>
    <w:rsid w:val="00577834"/>
    <w:rsid w:val="005805DC"/>
    <w:rsid w:val="0058080D"/>
    <w:rsid w:val="00580F56"/>
    <w:rsid w:val="0058142C"/>
    <w:rsid w:val="00582510"/>
    <w:rsid w:val="005825F5"/>
    <w:rsid w:val="00582794"/>
    <w:rsid w:val="00583B7F"/>
    <w:rsid w:val="00583C94"/>
    <w:rsid w:val="00584E05"/>
    <w:rsid w:val="0058526F"/>
    <w:rsid w:val="00585285"/>
    <w:rsid w:val="00585E6C"/>
    <w:rsid w:val="00585F81"/>
    <w:rsid w:val="00586A1D"/>
    <w:rsid w:val="00590313"/>
    <w:rsid w:val="005906A6"/>
    <w:rsid w:val="00591142"/>
    <w:rsid w:val="0059153E"/>
    <w:rsid w:val="00591F0C"/>
    <w:rsid w:val="00591FCB"/>
    <w:rsid w:val="005921E6"/>
    <w:rsid w:val="005922D8"/>
    <w:rsid w:val="00592625"/>
    <w:rsid w:val="00592C91"/>
    <w:rsid w:val="00592D4C"/>
    <w:rsid w:val="00593034"/>
    <w:rsid w:val="005941FF"/>
    <w:rsid w:val="00594A62"/>
    <w:rsid w:val="00594B13"/>
    <w:rsid w:val="00595229"/>
    <w:rsid w:val="005954AE"/>
    <w:rsid w:val="005955BB"/>
    <w:rsid w:val="00596043"/>
    <w:rsid w:val="0059644B"/>
    <w:rsid w:val="00596932"/>
    <w:rsid w:val="00596AB7"/>
    <w:rsid w:val="005970D7"/>
    <w:rsid w:val="005A07D7"/>
    <w:rsid w:val="005A0C7A"/>
    <w:rsid w:val="005A1059"/>
    <w:rsid w:val="005A1BC8"/>
    <w:rsid w:val="005A2D66"/>
    <w:rsid w:val="005A39CE"/>
    <w:rsid w:val="005A3A32"/>
    <w:rsid w:val="005A4309"/>
    <w:rsid w:val="005A675E"/>
    <w:rsid w:val="005A6F96"/>
    <w:rsid w:val="005A74CC"/>
    <w:rsid w:val="005A7BCB"/>
    <w:rsid w:val="005A7CBF"/>
    <w:rsid w:val="005B019E"/>
    <w:rsid w:val="005B0875"/>
    <w:rsid w:val="005B11A5"/>
    <w:rsid w:val="005B1DDE"/>
    <w:rsid w:val="005B1E37"/>
    <w:rsid w:val="005B28AC"/>
    <w:rsid w:val="005B33E8"/>
    <w:rsid w:val="005B3F32"/>
    <w:rsid w:val="005B41D6"/>
    <w:rsid w:val="005B4405"/>
    <w:rsid w:val="005B49B8"/>
    <w:rsid w:val="005B5A25"/>
    <w:rsid w:val="005B5AD6"/>
    <w:rsid w:val="005B5D5D"/>
    <w:rsid w:val="005B688E"/>
    <w:rsid w:val="005B6C0A"/>
    <w:rsid w:val="005C016D"/>
    <w:rsid w:val="005C059A"/>
    <w:rsid w:val="005C0754"/>
    <w:rsid w:val="005C0D37"/>
    <w:rsid w:val="005C0EAB"/>
    <w:rsid w:val="005C19B3"/>
    <w:rsid w:val="005C2561"/>
    <w:rsid w:val="005C3548"/>
    <w:rsid w:val="005C3576"/>
    <w:rsid w:val="005C3A2C"/>
    <w:rsid w:val="005C3B5F"/>
    <w:rsid w:val="005C40FD"/>
    <w:rsid w:val="005C450B"/>
    <w:rsid w:val="005C4665"/>
    <w:rsid w:val="005C4A36"/>
    <w:rsid w:val="005C51AF"/>
    <w:rsid w:val="005C57EC"/>
    <w:rsid w:val="005C5FED"/>
    <w:rsid w:val="005C62B0"/>
    <w:rsid w:val="005C6B5E"/>
    <w:rsid w:val="005C6F8E"/>
    <w:rsid w:val="005C7231"/>
    <w:rsid w:val="005D1647"/>
    <w:rsid w:val="005D1959"/>
    <w:rsid w:val="005D19BA"/>
    <w:rsid w:val="005D2BAE"/>
    <w:rsid w:val="005D3176"/>
    <w:rsid w:val="005D3711"/>
    <w:rsid w:val="005D3FC9"/>
    <w:rsid w:val="005D489A"/>
    <w:rsid w:val="005D489F"/>
    <w:rsid w:val="005D4ABB"/>
    <w:rsid w:val="005D4E58"/>
    <w:rsid w:val="005D5170"/>
    <w:rsid w:val="005D5855"/>
    <w:rsid w:val="005D59C0"/>
    <w:rsid w:val="005D5BD7"/>
    <w:rsid w:val="005D650A"/>
    <w:rsid w:val="005D703C"/>
    <w:rsid w:val="005D7773"/>
    <w:rsid w:val="005D7A62"/>
    <w:rsid w:val="005D7B7A"/>
    <w:rsid w:val="005D7C92"/>
    <w:rsid w:val="005E0ACB"/>
    <w:rsid w:val="005E0CF6"/>
    <w:rsid w:val="005E0F38"/>
    <w:rsid w:val="005E1CA6"/>
    <w:rsid w:val="005E1DBB"/>
    <w:rsid w:val="005E1EC3"/>
    <w:rsid w:val="005E221A"/>
    <w:rsid w:val="005E2C0A"/>
    <w:rsid w:val="005E33E2"/>
    <w:rsid w:val="005E3A72"/>
    <w:rsid w:val="005E4679"/>
    <w:rsid w:val="005E4D75"/>
    <w:rsid w:val="005E5042"/>
    <w:rsid w:val="005E5591"/>
    <w:rsid w:val="005E5CB0"/>
    <w:rsid w:val="005E5D62"/>
    <w:rsid w:val="005E6198"/>
    <w:rsid w:val="005E7944"/>
    <w:rsid w:val="005E7A42"/>
    <w:rsid w:val="005E7BB7"/>
    <w:rsid w:val="005F04FB"/>
    <w:rsid w:val="005F0F92"/>
    <w:rsid w:val="005F162B"/>
    <w:rsid w:val="005F337D"/>
    <w:rsid w:val="005F3DC2"/>
    <w:rsid w:val="005F413F"/>
    <w:rsid w:val="005F43ED"/>
    <w:rsid w:val="005F43F9"/>
    <w:rsid w:val="005F4B55"/>
    <w:rsid w:val="005F4FE5"/>
    <w:rsid w:val="005F5306"/>
    <w:rsid w:val="005F5DF9"/>
    <w:rsid w:val="005F72D9"/>
    <w:rsid w:val="006000EF"/>
    <w:rsid w:val="00600635"/>
    <w:rsid w:val="00601A4A"/>
    <w:rsid w:val="00601F5C"/>
    <w:rsid w:val="0060201C"/>
    <w:rsid w:val="00602F07"/>
    <w:rsid w:val="0060348B"/>
    <w:rsid w:val="006035D2"/>
    <w:rsid w:val="00603EB0"/>
    <w:rsid w:val="006043E7"/>
    <w:rsid w:val="0060443D"/>
    <w:rsid w:val="0060443F"/>
    <w:rsid w:val="00604C1E"/>
    <w:rsid w:val="0060531C"/>
    <w:rsid w:val="00605502"/>
    <w:rsid w:val="006057D3"/>
    <w:rsid w:val="00605D0D"/>
    <w:rsid w:val="00606B8D"/>
    <w:rsid w:val="006076A4"/>
    <w:rsid w:val="0060792D"/>
    <w:rsid w:val="00610318"/>
    <w:rsid w:val="00610948"/>
    <w:rsid w:val="00611191"/>
    <w:rsid w:val="0061206A"/>
    <w:rsid w:val="0061237B"/>
    <w:rsid w:val="00612F5F"/>
    <w:rsid w:val="0061311B"/>
    <w:rsid w:val="00613450"/>
    <w:rsid w:val="00613790"/>
    <w:rsid w:val="0061428E"/>
    <w:rsid w:val="00614378"/>
    <w:rsid w:val="006143C4"/>
    <w:rsid w:val="006143EF"/>
    <w:rsid w:val="00614411"/>
    <w:rsid w:val="0061447C"/>
    <w:rsid w:val="00614808"/>
    <w:rsid w:val="006152B2"/>
    <w:rsid w:val="00615694"/>
    <w:rsid w:val="00615C2F"/>
    <w:rsid w:val="0061643F"/>
    <w:rsid w:val="006165C6"/>
    <w:rsid w:val="00616742"/>
    <w:rsid w:val="0061793D"/>
    <w:rsid w:val="00617B84"/>
    <w:rsid w:val="00620298"/>
    <w:rsid w:val="00620465"/>
    <w:rsid w:val="00620494"/>
    <w:rsid w:val="00621226"/>
    <w:rsid w:val="00621304"/>
    <w:rsid w:val="006218F9"/>
    <w:rsid w:val="00621C97"/>
    <w:rsid w:val="00621C9E"/>
    <w:rsid w:val="00622E58"/>
    <w:rsid w:val="00623092"/>
    <w:rsid w:val="006242A7"/>
    <w:rsid w:val="006252A3"/>
    <w:rsid w:val="00625332"/>
    <w:rsid w:val="00625B49"/>
    <w:rsid w:val="006265F5"/>
    <w:rsid w:val="00626719"/>
    <w:rsid w:val="00626850"/>
    <w:rsid w:val="006273AE"/>
    <w:rsid w:val="00627E31"/>
    <w:rsid w:val="00630A49"/>
    <w:rsid w:val="00630BC6"/>
    <w:rsid w:val="00630BF5"/>
    <w:rsid w:val="00631423"/>
    <w:rsid w:val="0063162C"/>
    <w:rsid w:val="006318AE"/>
    <w:rsid w:val="00631D46"/>
    <w:rsid w:val="00632273"/>
    <w:rsid w:val="006322EB"/>
    <w:rsid w:val="00633B00"/>
    <w:rsid w:val="0063416D"/>
    <w:rsid w:val="00634C34"/>
    <w:rsid w:val="00634FC4"/>
    <w:rsid w:val="006353F8"/>
    <w:rsid w:val="0063651A"/>
    <w:rsid w:val="00640CB6"/>
    <w:rsid w:val="00640CDF"/>
    <w:rsid w:val="00640D0F"/>
    <w:rsid w:val="0064124D"/>
    <w:rsid w:val="006414B9"/>
    <w:rsid w:val="00642628"/>
    <w:rsid w:val="00642811"/>
    <w:rsid w:val="00642865"/>
    <w:rsid w:val="00642969"/>
    <w:rsid w:val="00642D1E"/>
    <w:rsid w:val="00642FD9"/>
    <w:rsid w:val="0064307E"/>
    <w:rsid w:val="0064310E"/>
    <w:rsid w:val="0064349A"/>
    <w:rsid w:val="00643E19"/>
    <w:rsid w:val="0064439C"/>
    <w:rsid w:val="00644E7A"/>
    <w:rsid w:val="00645907"/>
    <w:rsid w:val="006462C3"/>
    <w:rsid w:val="006463FF"/>
    <w:rsid w:val="006465A0"/>
    <w:rsid w:val="00647177"/>
    <w:rsid w:val="006475AF"/>
    <w:rsid w:val="00647B76"/>
    <w:rsid w:val="00647DAD"/>
    <w:rsid w:val="006504F2"/>
    <w:rsid w:val="00650BB6"/>
    <w:rsid w:val="00651655"/>
    <w:rsid w:val="00651959"/>
    <w:rsid w:val="00651B02"/>
    <w:rsid w:val="0065234E"/>
    <w:rsid w:val="00652500"/>
    <w:rsid w:val="00653131"/>
    <w:rsid w:val="006532CB"/>
    <w:rsid w:val="00653A3E"/>
    <w:rsid w:val="00654557"/>
    <w:rsid w:val="00654575"/>
    <w:rsid w:val="00654713"/>
    <w:rsid w:val="0065473A"/>
    <w:rsid w:val="00654C21"/>
    <w:rsid w:val="0065574D"/>
    <w:rsid w:val="0065665C"/>
    <w:rsid w:val="00657950"/>
    <w:rsid w:val="006619DA"/>
    <w:rsid w:val="00661AA7"/>
    <w:rsid w:val="00661D2F"/>
    <w:rsid w:val="006627F1"/>
    <w:rsid w:val="00662A4A"/>
    <w:rsid w:val="0066352D"/>
    <w:rsid w:val="006636FD"/>
    <w:rsid w:val="00663C0E"/>
    <w:rsid w:val="00663F6C"/>
    <w:rsid w:val="00664144"/>
    <w:rsid w:val="00664696"/>
    <w:rsid w:val="00664877"/>
    <w:rsid w:val="00664D02"/>
    <w:rsid w:val="00664EDC"/>
    <w:rsid w:val="0066544B"/>
    <w:rsid w:val="00665C78"/>
    <w:rsid w:val="00666133"/>
    <w:rsid w:val="00666519"/>
    <w:rsid w:val="006669E3"/>
    <w:rsid w:val="00666FB5"/>
    <w:rsid w:val="00667277"/>
    <w:rsid w:val="00667DD4"/>
    <w:rsid w:val="00667EF6"/>
    <w:rsid w:val="00667F7C"/>
    <w:rsid w:val="006701CF"/>
    <w:rsid w:val="00670381"/>
    <w:rsid w:val="006711BB"/>
    <w:rsid w:val="006713F8"/>
    <w:rsid w:val="0067254E"/>
    <w:rsid w:val="00672C4C"/>
    <w:rsid w:val="00673241"/>
    <w:rsid w:val="006733D4"/>
    <w:rsid w:val="00673902"/>
    <w:rsid w:val="00674010"/>
    <w:rsid w:val="006742AC"/>
    <w:rsid w:val="006745CE"/>
    <w:rsid w:val="006754C9"/>
    <w:rsid w:val="00675514"/>
    <w:rsid w:val="00675794"/>
    <w:rsid w:val="00675B86"/>
    <w:rsid w:val="00676269"/>
    <w:rsid w:val="00676592"/>
    <w:rsid w:val="00677522"/>
    <w:rsid w:val="00681567"/>
    <w:rsid w:val="006822C1"/>
    <w:rsid w:val="00682419"/>
    <w:rsid w:val="00682580"/>
    <w:rsid w:val="00682E0F"/>
    <w:rsid w:val="00683495"/>
    <w:rsid w:val="00683725"/>
    <w:rsid w:val="00683BC6"/>
    <w:rsid w:val="00683E90"/>
    <w:rsid w:val="00684108"/>
    <w:rsid w:val="006843FE"/>
    <w:rsid w:val="006844F5"/>
    <w:rsid w:val="006846D0"/>
    <w:rsid w:val="00684EB7"/>
    <w:rsid w:val="00686016"/>
    <w:rsid w:val="006866B5"/>
    <w:rsid w:val="00686D2D"/>
    <w:rsid w:val="0068798F"/>
    <w:rsid w:val="00687DFF"/>
    <w:rsid w:val="006900C8"/>
    <w:rsid w:val="00690D65"/>
    <w:rsid w:val="00691BD7"/>
    <w:rsid w:val="00692466"/>
    <w:rsid w:val="006958A5"/>
    <w:rsid w:val="006964FD"/>
    <w:rsid w:val="0069698A"/>
    <w:rsid w:val="0069797A"/>
    <w:rsid w:val="006A0AE5"/>
    <w:rsid w:val="006A1DE2"/>
    <w:rsid w:val="006A2499"/>
    <w:rsid w:val="006A381C"/>
    <w:rsid w:val="006A4066"/>
    <w:rsid w:val="006A4880"/>
    <w:rsid w:val="006A5239"/>
    <w:rsid w:val="006A5555"/>
    <w:rsid w:val="006A5B8D"/>
    <w:rsid w:val="006A675C"/>
    <w:rsid w:val="006A6CCA"/>
    <w:rsid w:val="006A7123"/>
    <w:rsid w:val="006A7A1F"/>
    <w:rsid w:val="006A7D84"/>
    <w:rsid w:val="006B0920"/>
    <w:rsid w:val="006B0D43"/>
    <w:rsid w:val="006B1172"/>
    <w:rsid w:val="006B1429"/>
    <w:rsid w:val="006B1792"/>
    <w:rsid w:val="006B182B"/>
    <w:rsid w:val="006B188E"/>
    <w:rsid w:val="006B20AD"/>
    <w:rsid w:val="006B2774"/>
    <w:rsid w:val="006B405D"/>
    <w:rsid w:val="006B4B9E"/>
    <w:rsid w:val="006B4F31"/>
    <w:rsid w:val="006B5A61"/>
    <w:rsid w:val="006B6135"/>
    <w:rsid w:val="006B6EE3"/>
    <w:rsid w:val="006B6FE6"/>
    <w:rsid w:val="006B71BB"/>
    <w:rsid w:val="006C029A"/>
    <w:rsid w:val="006C0944"/>
    <w:rsid w:val="006C0AAF"/>
    <w:rsid w:val="006C15C9"/>
    <w:rsid w:val="006C15F9"/>
    <w:rsid w:val="006C1909"/>
    <w:rsid w:val="006C2EB5"/>
    <w:rsid w:val="006C2FD5"/>
    <w:rsid w:val="006C35BA"/>
    <w:rsid w:val="006C3FB9"/>
    <w:rsid w:val="006C505C"/>
    <w:rsid w:val="006C52CE"/>
    <w:rsid w:val="006C54D3"/>
    <w:rsid w:val="006C558A"/>
    <w:rsid w:val="006C5A94"/>
    <w:rsid w:val="006C5C99"/>
    <w:rsid w:val="006C6A0D"/>
    <w:rsid w:val="006C6D2E"/>
    <w:rsid w:val="006C743C"/>
    <w:rsid w:val="006C7AD4"/>
    <w:rsid w:val="006C7D13"/>
    <w:rsid w:val="006D12DB"/>
    <w:rsid w:val="006D18C8"/>
    <w:rsid w:val="006D1EBF"/>
    <w:rsid w:val="006D1EEC"/>
    <w:rsid w:val="006D3A23"/>
    <w:rsid w:val="006D3D68"/>
    <w:rsid w:val="006D44CA"/>
    <w:rsid w:val="006D494F"/>
    <w:rsid w:val="006D49A3"/>
    <w:rsid w:val="006D4F10"/>
    <w:rsid w:val="006D4F89"/>
    <w:rsid w:val="006D53FA"/>
    <w:rsid w:val="006D5A50"/>
    <w:rsid w:val="006D6B26"/>
    <w:rsid w:val="006D6C20"/>
    <w:rsid w:val="006D7D74"/>
    <w:rsid w:val="006E00AD"/>
    <w:rsid w:val="006E01CE"/>
    <w:rsid w:val="006E096F"/>
    <w:rsid w:val="006E0E54"/>
    <w:rsid w:val="006E134F"/>
    <w:rsid w:val="006E1448"/>
    <w:rsid w:val="006E1572"/>
    <w:rsid w:val="006E16A6"/>
    <w:rsid w:val="006E21B2"/>
    <w:rsid w:val="006E2FAD"/>
    <w:rsid w:val="006E3BA2"/>
    <w:rsid w:val="006E4189"/>
    <w:rsid w:val="006E4FFE"/>
    <w:rsid w:val="006E54DE"/>
    <w:rsid w:val="006E5642"/>
    <w:rsid w:val="006E56FC"/>
    <w:rsid w:val="006E59A3"/>
    <w:rsid w:val="006E5B8F"/>
    <w:rsid w:val="006E693E"/>
    <w:rsid w:val="006E70CB"/>
    <w:rsid w:val="006E756F"/>
    <w:rsid w:val="006E782D"/>
    <w:rsid w:val="006F0F3E"/>
    <w:rsid w:val="006F1B69"/>
    <w:rsid w:val="006F2252"/>
    <w:rsid w:val="006F2674"/>
    <w:rsid w:val="006F2748"/>
    <w:rsid w:val="006F373E"/>
    <w:rsid w:val="006F40FA"/>
    <w:rsid w:val="006F4803"/>
    <w:rsid w:val="006F517F"/>
    <w:rsid w:val="006F51DE"/>
    <w:rsid w:val="006F5541"/>
    <w:rsid w:val="006F57E3"/>
    <w:rsid w:val="006F5A6B"/>
    <w:rsid w:val="006F6E9E"/>
    <w:rsid w:val="006F7BB8"/>
    <w:rsid w:val="006F7D26"/>
    <w:rsid w:val="007004CB"/>
    <w:rsid w:val="00700B95"/>
    <w:rsid w:val="0070131A"/>
    <w:rsid w:val="0070265D"/>
    <w:rsid w:val="00702B94"/>
    <w:rsid w:val="007036B5"/>
    <w:rsid w:val="007038F2"/>
    <w:rsid w:val="00703925"/>
    <w:rsid w:val="00703F5E"/>
    <w:rsid w:val="007046B5"/>
    <w:rsid w:val="0070487B"/>
    <w:rsid w:val="00704F65"/>
    <w:rsid w:val="0070503E"/>
    <w:rsid w:val="00705EEC"/>
    <w:rsid w:val="0070625B"/>
    <w:rsid w:val="007065AD"/>
    <w:rsid w:val="0070660A"/>
    <w:rsid w:val="00706959"/>
    <w:rsid w:val="00706D69"/>
    <w:rsid w:val="00706F9A"/>
    <w:rsid w:val="0071103D"/>
    <w:rsid w:val="00711229"/>
    <w:rsid w:val="00711231"/>
    <w:rsid w:val="00711799"/>
    <w:rsid w:val="00711858"/>
    <w:rsid w:val="007118A5"/>
    <w:rsid w:val="00711AA7"/>
    <w:rsid w:val="00711D64"/>
    <w:rsid w:val="00711FC0"/>
    <w:rsid w:val="00712345"/>
    <w:rsid w:val="00712976"/>
    <w:rsid w:val="00712E0D"/>
    <w:rsid w:val="00713387"/>
    <w:rsid w:val="007133CC"/>
    <w:rsid w:val="007138C5"/>
    <w:rsid w:val="00713E54"/>
    <w:rsid w:val="00714135"/>
    <w:rsid w:val="00714997"/>
    <w:rsid w:val="007166AC"/>
    <w:rsid w:val="0071689A"/>
    <w:rsid w:val="00716947"/>
    <w:rsid w:val="00716D62"/>
    <w:rsid w:val="00716DF8"/>
    <w:rsid w:val="00716FCF"/>
    <w:rsid w:val="00717264"/>
    <w:rsid w:val="00720748"/>
    <w:rsid w:val="007217CA"/>
    <w:rsid w:val="00721844"/>
    <w:rsid w:val="00722642"/>
    <w:rsid w:val="00722DC8"/>
    <w:rsid w:val="00723058"/>
    <w:rsid w:val="0072433A"/>
    <w:rsid w:val="007246E6"/>
    <w:rsid w:val="007248EC"/>
    <w:rsid w:val="007249A4"/>
    <w:rsid w:val="00725077"/>
    <w:rsid w:val="00725475"/>
    <w:rsid w:val="007256BA"/>
    <w:rsid w:val="007258F0"/>
    <w:rsid w:val="00725E01"/>
    <w:rsid w:val="00726584"/>
    <w:rsid w:val="00726897"/>
    <w:rsid w:val="00726C33"/>
    <w:rsid w:val="00726DD7"/>
    <w:rsid w:val="00727212"/>
    <w:rsid w:val="00730951"/>
    <w:rsid w:val="00730B36"/>
    <w:rsid w:val="00730F02"/>
    <w:rsid w:val="00731762"/>
    <w:rsid w:val="00731A35"/>
    <w:rsid w:val="007321BB"/>
    <w:rsid w:val="00733F3A"/>
    <w:rsid w:val="0073426E"/>
    <w:rsid w:val="007344C0"/>
    <w:rsid w:val="00734816"/>
    <w:rsid w:val="00734B47"/>
    <w:rsid w:val="00735329"/>
    <w:rsid w:val="00735A6E"/>
    <w:rsid w:val="00735A93"/>
    <w:rsid w:val="00735BFE"/>
    <w:rsid w:val="007369E8"/>
    <w:rsid w:val="00736D51"/>
    <w:rsid w:val="007379FB"/>
    <w:rsid w:val="00737AA2"/>
    <w:rsid w:val="00737ABE"/>
    <w:rsid w:val="00740B4B"/>
    <w:rsid w:val="007411DD"/>
    <w:rsid w:val="007415BB"/>
    <w:rsid w:val="00742A40"/>
    <w:rsid w:val="0074358D"/>
    <w:rsid w:val="00744F76"/>
    <w:rsid w:val="00744FB3"/>
    <w:rsid w:val="0074533F"/>
    <w:rsid w:val="007453D2"/>
    <w:rsid w:val="00745A11"/>
    <w:rsid w:val="00745C5F"/>
    <w:rsid w:val="00747091"/>
    <w:rsid w:val="007474F9"/>
    <w:rsid w:val="00747902"/>
    <w:rsid w:val="00751CEC"/>
    <w:rsid w:val="00751EAE"/>
    <w:rsid w:val="0075300A"/>
    <w:rsid w:val="0075339C"/>
    <w:rsid w:val="00753503"/>
    <w:rsid w:val="00753579"/>
    <w:rsid w:val="00753673"/>
    <w:rsid w:val="00753DFE"/>
    <w:rsid w:val="00753ECF"/>
    <w:rsid w:val="00754327"/>
    <w:rsid w:val="00754A14"/>
    <w:rsid w:val="00756676"/>
    <w:rsid w:val="00756B2B"/>
    <w:rsid w:val="00756EE6"/>
    <w:rsid w:val="007578C5"/>
    <w:rsid w:val="00760892"/>
    <w:rsid w:val="00760F06"/>
    <w:rsid w:val="00761215"/>
    <w:rsid w:val="00761960"/>
    <w:rsid w:val="00761B70"/>
    <w:rsid w:val="00762A3C"/>
    <w:rsid w:val="00762B88"/>
    <w:rsid w:val="00762CE2"/>
    <w:rsid w:val="00762F59"/>
    <w:rsid w:val="00763450"/>
    <w:rsid w:val="00764774"/>
    <w:rsid w:val="00764ED8"/>
    <w:rsid w:val="0076585B"/>
    <w:rsid w:val="00765A4F"/>
    <w:rsid w:val="00766750"/>
    <w:rsid w:val="00766EAC"/>
    <w:rsid w:val="00767415"/>
    <w:rsid w:val="00767DD6"/>
    <w:rsid w:val="0077015D"/>
    <w:rsid w:val="00770A77"/>
    <w:rsid w:val="00770FA7"/>
    <w:rsid w:val="007714EC"/>
    <w:rsid w:val="007718A0"/>
    <w:rsid w:val="00771A5F"/>
    <w:rsid w:val="00772AC3"/>
    <w:rsid w:val="007735EC"/>
    <w:rsid w:val="007747F6"/>
    <w:rsid w:val="007748CC"/>
    <w:rsid w:val="007755D2"/>
    <w:rsid w:val="007758FC"/>
    <w:rsid w:val="00776091"/>
    <w:rsid w:val="00776132"/>
    <w:rsid w:val="007766D9"/>
    <w:rsid w:val="00777100"/>
    <w:rsid w:val="00777248"/>
    <w:rsid w:val="007777B6"/>
    <w:rsid w:val="007777EF"/>
    <w:rsid w:val="00777A69"/>
    <w:rsid w:val="00780404"/>
    <w:rsid w:val="00781F45"/>
    <w:rsid w:val="00782263"/>
    <w:rsid w:val="007826A2"/>
    <w:rsid w:val="0078289B"/>
    <w:rsid w:val="007831F3"/>
    <w:rsid w:val="0078326F"/>
    <w:rsid w:val="00783355"/>
    <w:rsid w:val="007839D3"/>
    <w:rsid w:val="00783D35"/>
    <w:rsid w:val="00783FA8"/>
    <w:rsid w:val="0078412B"/>
    <w:rsid w:val="00784451"/>
    <w:rsid w:val="00785B52"/>
    <w:rsid w:val="00787415"/>
    <w:rsid w:val="00787436"/>
    <w:rsid w:val="007877CC"/>
    <w:rsid w:val="00790288"/>
    <w:rsid w:val="00791E17"/>
    <w:rsid w:val="00792177"/>
    <w:rsid w:val="00793536"/>
    <w:rsid w:val="00793F60"/>
    <w:rsid w:val="0079452B"/>
    <w:rsid w:val="007954D1"/>
    <w:rsid w:val="007954FC"/>
    <w:rsid w:val="00796260"/>
    <w:rsid w:val="007973D6"/>
    <w:rsid w:val="0079775D"/>
    <w:rsid w:val="00797A22"/>
    <w:rsid w:val="007A0A7D"/>
    <w:rsid w:val="007A0D6D"/>
    <w:rsid w:val="007A1A31"/>
    <w:rsid w:val="007A1D38"/>
    <w:rsid w:val="007A299D"/>
    <w:rsid w:val="007A3A67"/>
    <w:rsid w:val="007A4340"/>
    <w:rsid w:val="007A4CF5"/>
    <w:rsid w:val="007A553C"/>
    <w:rsid w:val="007A5E68"/>
    <w:rsid w:val="007A6171"/>
    <w:rsid w:val="007A68FA"/>
    <w:rsid w:val="007A75C3"/>
    <w:rsid w:val="007B0767"/>
    <w:rsid w:val="007B11D4"/>
    <w:rsid w:val="007B1ADE"/>
    <w:rsid w:val="007B2500"/>
    <w:rsid w:val="007B26D7"/>
    <w:rsid w:val="007B2825"/>
    <w:rsid w:val="007B28E5"/>
    <w:rsid w:val="007B3DD4"/>
    <w:rsid w:val="007B3E07"/>
    <w:rsid w:val="007B412D"/>
    <w:rsid w:val="007B4411"/>
    <w:rsid w:val="007B4A1F"/>
    <w:rsid w:val="007B53D1"/>
    <w:rsid w:val="007B5731"/>
    <w:rsid w:val="007B6972"/>
    <w:rsid w:val="007B6DC2"/>
    <w:rsid w:val="007B716C"/>
    <w:rsid w:val="007C0298"/>
    <w:rsid w:val="007C0390"/>
    <w:rsid w:val="007C0450"/>
    <w:rsid w:val="007C0B6F"/>
    <w:rsid w:val="007C0C4B"/>
    <w:rsid w:val="007C0D4A"/>
    <w:rsid w:val="007C1B45"/>
    <w:rsid w:val="007C20BA"/>
    <w:rsid w:val="007C2FC4"/>
    <w:rsid w:val="007C336A"/>
    <w:rsid w:val="007C3AAF"/>
    <w:rsid w:val="007C3EE2"/>
    <w:rsid w:val="007C4FA4"/>
    <w:rsid w:val="007C5208"/>
    <w:rsid w:val="007C5295"/>
    <w:rsid w:val="007C5A72"/>
    <w:rsid w:val="007C67AA"/>
    <w:rsid w:val="007C6D9F"/>
    <w:rsid w:val="007C6E4F"/>
    <w:rsid w:val="007C7742"/>
    <w:rsid w:val="007C7F77"/>
    <w:rsid w:val="007D015B"/>
    <w:rsid w:val="007D155B"/>
    <w:rsid w:val="007D15F6"/>
    <w:rsid w:val="007D24CB"/>
    <w:rsid w:val="007D2977"/>
    <w:rsid w:val="007D2C70"/>
    <w:rsid w:val="007D31A8"/>
    <w:rsid w:val="007D4143"/>
    <w:rsid w:val="007D452E"/>
    <w:rsid w:val="007D457C"/>
    <w:rsid w:val="007D4CBB"/>
    <w:rsid w:val="007D5643"/>
    <w:rsid w:val="007D5836"/>
    <w:rsid w:val="007D58DC"/>
    <w:rsid w:val="007D60BD"/>
    <w:rsid w:val="007D673B"/>
    <w:rsid w:val="007D75B4"/>
    <w:rsid w:val="007D7828"/>
    <w:rsid w:val="007E14F7"/>
    <w:rsid w:val="007E1742"/>
    <w:rsid w:val="007E1D8A"/>
    <w:rsid w:val="007E2832"/>
    <w:rsid w:val="007E2B39"/>
    <w:rsid w:val="007E2D1B"/>
    <w:rsid w:val="007E30F2"/>
    <w:rsid w:val="007E3670"/>
    <w:rsid w:val="007E3A5E"/>
    <w:rsid w:val="007E4D43"/>
    <w:rsid w:val="007E579A"/>
    <w:rsid w:val="007E5D02"/>
    <w:rsid w:val="007E6043"/>
    <w:rsid w:val="007E6614"/>
    <w:rsid w:val="007E6846"/>
    <w:rsid w:val="007E6AF2"/>
    <w:rsid w:val="007E7ACF"/>
    <w:rsid w:val="007F0167"/>
    <w:rsid w:val="007F09C4"/>
    <w:rsid w:val="007F0EEE"/>
    <w:rsid w:val="007F1FE7"/>
    <w:rsid w:val="007F21B7"/>
    <w:rsid w:val="007F23B5"/>
    <w:rsid w:val="007F2F2C"/>
    <w:rsid w:val="007F3012"/>
    <w:rsid w:val="007F3048"/>
    <w:rsid w:val="007F4B56"/>
    <w:rsid w:val="007F532A"/>
    <w:rsid w:val="007F5753"/>
    <w:rsid w:val="007F5DB3"/>
    <w:rsid w:val="007F60D0"/>
    <w:rsid w:val="007F6CD0"/>
    <w:rsid w:val="007F7857"/>
    <w:rsid w:val="007F7F07"/>
    <w:rsid w:val="00800239"/>
    <w:rsid w:val="008004FA"/>
    <w:rsid w:val="00801844"/>
    <w:rsid w:val="00801FF3"/>
    <w:rsid w:val="00802580"/>
    <w:rsid w:val="008029C0"/>
    <w:rsid w:val="00802B70"/>
    <w:rsid w:val="00802E00"/>
    <w:rsid w:val="00803F58"/>
    <w:rsid w:val="00804C80"/>
    <w:rsid w:val="00805374"/>
    <w:rsid w:val="008054F3"/>
    <w:rsid w:val="00805D8F"/>
    <w:rsid w:val="00805E13"/>
    <w:rsid w:val="00806732"/>
    <w:rsid w:val="00806D50"/>
    <w:rsid w:val="00807184"/>
    <w:rsid w:val="008071CE"/>
    <w:rsid w:val="00810A03"/>
    <w:rsid w:val="008120EF"/>
    <w:rsid w:val="00812588"/>
    <w:rsid w:val="00812B0C"/>
    <w:rsid w:val="00813908"/>
    <w:rsid w:val="0081418E"/>
    <w:rsid w:val="00814A76"/>
    <w:rsid w:val="00814AE1"/>
    <w:rsid w:val="0081504A"/>
    <w:rsid w:val="00815D3E"/>
    <w:rsid w:val="00815F1D"/>
    <w:rsid w:val="0081638C"/>
    <w:rsid w:val="00816E0F"/>
    <w:rsid w:val="008171F3"/>
    <w:rsid w:val="00817607"/>
    <w:rsid w:val="008201AA"/>
    <w:rsid w:val="00820267"/>
    <w:rsid w:val="00821746"/>
    <w:rsid w:val="00821BED"/>
    <w:rsid w:val="008228B6"/>
    <w:rsid w:val="00823341"/>
    <w:rsid w:val="00823C1F"/>
    <w:rsid w:val="00823CB6"/>
    <w:rsid w:val="00824966"/>
    <w:rsid w:val="00824DD9"/>
    <w:rsid w:val="0082538A"/>
    <w:rsid w:val="00825A1A"/>
    <w:rsid w:val="008264EF"/>
    <w:rsid w:val="0082679D"/>
    <w:rsid w:val="0082696A"/>
    <w:rsid w:val="00826FCE"/>
    <w:rsid w:val="008277A1"/>
    <w:rsid w:val="00830A41"/>
    <w:rsid w:val="00830B03"/>
    <w:rsid w:val="00831018"/>
    <w:rsid w:val="00832265"/>
    <w:rsid w:val="00833F03"/>
    <w:rsid w:val="008347D4"/>
    <w:rsid w:val="008347FD"/>
    <w:rsid w:val="00835911"/>
    <w:rsid w:val="00835939"/>
    <w:rsid w:val="008359B4"/>
    <w:rsid w:val="0083640D"/>
    <w:rsid w:val="00836910"/>
    <w:rsid w:val="008369D1"/>
    <w:rsid w:val="00836A10"/>
    <w:rsid w:val="008374E1"/>
    <w:rsid w:val="008376D8"/>
    <w:rsid w:val="0084043D"/>
    <w:rsid w:val="008409AA"/>
    <w:rsid w:val="00840E6D"/>
    <w:rsid w:val="00841C2F"/>
    <w:rsid w:val="008428C7"/>
    <w:rsid w:val="0084354A"/>
    <w:rsid w:val="00843615"/>
    <w:rsid w:val="00843CD2"/>
    <w:rsid w:val="00843DE9"/>
    <w:rsid w:val="00844EE2"/>
    <w:rsid w:val="00845291"/>
    <w:rsid w:val="008456BF"/>
    <w:rsid w:val="00846B39"/>
    <w:rsid w:val="00850D51"/>
    <w:rsid w:val="008510EC"/>
    <w:rsid w:val="00851550"/>
    <w:rsid w:val="008524D2"/>
    <w:rsid w:val="0085299B"/>
    <w:rsid w:val="00852BC6"/>
    <w:rsid w:val="00854248"/>
    <w:rsid w:val="0085437C"/>
    <w:rsid w:val="0085453D"/>
    <w:rsid w:val="00854F7A"/>
    <w:rsid w:val="00855DD1"/>
    <w:rsid w:val="00855DD4"/>
    <w:rsid w:val="0085678B"/>
    <w:rsid w:val="00857732"/>
    <w:rsid w:val="00857DCE"/>
    <w:rsid w:val="00860698"/>
    <w:rsid w:val="0086148F"/>
    <w:rsid w:val="00861C7A"/>
    <w:rsid w:val="0086235B"/>
    <w:rsid w:val="0086238B"/>
    <w:rsid w:val="00862397"/>
    <w:rsid w:val="008624F9"/>
    <w:rsid w:val="008626B7"/>
    <w:rsid w:val="00863237"/>
    <w:rsid w:val="00863AE7"/>
    <w:rsid w:val="00864EF0"/>
    <w:rsid w:val="00864FFD"/>
    <w:rsid w:val="008655F9"/>
    <w:rsid w:val="008658ED"/>
    <w:rsid w:val="008659EA"/>
    <w:rsid w:val="00865BF6"/>
    <w:rsid w:val="00865D3E"/>
    <w:rsid w:val="008664B3"/>
    <w:rsid w:val="0086664C"/>
    <w:rsid w:val="00866E94"/>
    <w:rsid w:val="0086767F"/>
    <w:rsid w:val="00867D47"/>
    <w:rsid w:val="008702C0"/>
    <w:rsid w:val="008705F1"/>
    <w:rsid w:val="00870EFC"/>
    <w:rsid w:val="00872117"/>
    <w:rsid w:val="008726F3"/>
    <w:rsid w:val="008741D5"/>
    <w:rsid w:val="00874270"/>
    <w:rsid w:val="00874C94"/>
    <w:rsid w:val="008759CC"/>
    <w:rsid w:val="00876A6E"/>
    <w:rsid w:val="00877736"/>
    <w:rsid w:val="00880BE5"/>
    <w:rsid w:val="0088127F"/>
    <w:rsid w:val="008812E6"/>
    <w:rsid w:val="00881A1C"/>
    <w:rsid w:val="0088220F"/>
    <w:rsid w:val="008828C4"/>
    <w:rsid w:val="0088306C"/>
    <w:rsid w:val="00883114"/>
    <w:rsid w:val="008834ED"/>
    <w:rsid w:val="00883A0A"/>
    <w:rsid w:val="00883A50"/>
    <w:rsid w:val="0088427F"/>
    <w:rsid w:val="00884C45"/>
    <w:rsid w:val="00884E31"/>
    <w:rsid w:val="00884F9F"/>
    <w:rsid w:val="00885146"/>
    <w:rsid w:val="008853DC"/>
    <w:rsid w:val="00885B44"/>
    <w:rsid w:val="00885DCB"/>
    <w:rsid w:val="00885F35"/>
    <w:rsid w:val="0088644D"/>
    <w:rsid w:val="00886665"/>
    <w:rsid w:val="00887446"/>
    <w:rsid w:val="00887536"/>
    <w:rsid w:val="00887A4E"/>
    <w:rsid w:val="00887C5C"/>
    <w:rsid w:val="008905CF"/>
    <w:rsid w:val="00890EC1"/>
    <w:rsid w:val="00891EC7"/>
    <w:rsid w:val="00891EF4"/>
    <w:rsid w:val="008920DE"/>
    <w:rsid w:val="00892360"/>
    <w:rsid w:val="0089238B"/>
    <w:rsid w:val="0089239A"/>
    <w:rsid w:val="00892528"/>
    <w:rsid w:val="008931FF"/>
    <w:rsid w:val="00893797"/>
    <w:rsid w:val="00894062"/>
    <w:rsid w:val="00894611"/>
    <w:rsid w:val="0089501E"/>
    <w:rsid w:val="00895767"/>
    <w:rsid w:val="00895A1B"/>
    <w:rsid w:val="00895BD5"/>
    <w:rsid w:val="00895D32"/>
    <w:rsid w:val="0089733D"/>
    <w:rsid w:val="008A02C6"/>
    <w:rsid w:val="008A0CF9"/>
    <w:rsid w:val="008A0E11"/>
    <w:rsid w:val="008A0E6D"/>
    <w:rsid w:val="008A17E7"/>
    <w:rsid w:val="008A205A"/>
    <w:rsid w:val="008A2D05"/>
    <w:rsid w:val="008A2D35"/>
    <w:rsid w:val="008A3802"/>
    <w:rsid w:val="008A4123"/>
    <w:rsid w:val="008A4431"/>
    <w:rsid w:val="008A5082"/>
    <w:rsid w:val="008A5596"/>
    <w:rsid w:val="008A5CFD"/>
    <w:rsid w:val="008A6101"/>
    <w:rsid w:val="008A6216"/>
    <w:rsid w:val="008A6378"/>
    <w:rsid w:val="008A63BA"/>
    <w:rsid w:val="008A7953"/>
    <w:rsid w:val="008A79E1"/>
    <w:rsid w:val="008B0D9B"/>
    <w:rsid w:val="008B1599"/>
    <w:rsid w:val="008B23D7"/>
    <w:rsid w:val="008B2958"/>
    <w:rsid w:val="008B2A1D"/>
    <w:rsid w:val="008B3703"/>
    <w:rsid w:val="008B3825"/>
    <w:rsid w:val="008B386B"/>
    <w:rsid w:val="008B39E8"/>
    <w:rsid w:val="008B3A8C"/>
    <w:rsid w:val="008B3B6F"/>
    <w:rsid w:val="008B401A"/>
    <w:rsid w:val="008B4181"/>
    <w:rsid w:val="008B4B19"/>
    <w:rsid w:val="008B591E"/>
    <w:rsid w:val="008B5F2B"/>
    <w:rsid w:val="008B68DF"/>
    <w:rsid w:val="008B6B16"/>
    <w:rsid w:val="008B6F54"/>
    <w:rsid w:val="008B74EE"/>
    <w:rsid w:val="008B7B1A"/>
    <w:rsid w:val="008C112D"/>
    <w:rsid w:val="008C1EB2"/>
    <w:rsid w:val="008C2B24"/>
    <w:rsid w:val="008C2C0C"/>
    <w:rsid w:val="008C2C9A"/>
    <w:rsid w:val="008C2EC0"/>
    <w:rsid w:val="008C3166"/>
    <w:rsid w:val="008C3874"/>
    <w:rsid w:val="008C3AEB"/>
    <w:rsid w:val="008C42B6"/>
    <w:rsid w:val="008C4314"/>
    <w:rsid w:val="008C472A"/>
    <w:rsid w:val="008C4753"/>
    <w:rsid w:val="008C478C"/>
    <w:rsid w:val="008C47A1"/>
    <w:rsid w:val="008C53F4"/>
    <w:rsid w:val="008C6199"/>
    <w:rsid w:val="008C6920"/>
    <w:rsid w:val="008C699F"/>
    <w:rsid w:val="008C69F5"/>
    <w:rsid w:val="008C6B4D"/>
    <w:rsid w:val="008C6BD3"/>
    <w:rsid w:val="008C6C24"/>
    <w:rsid w:val="008D04D6"/>
    <w:rsid w:val="008D0971"/>
    <w:rsid w:val="008D1589"/>
    <w:rsid w:val="008D21C2"/>
    <w:rsid w:val="008D250C"/>
    <w:rsid w:val="008D26CB"/>
    <w:rsid w:val="008D392A"/>
    <w:rsid w:val="008D4214"/>
    <w:rsid w:val="008D42FA"/>
    <w:rsid w:val="008D443C"/>
    <w:rsid w:val="008D6B2F"/>
    <w:rsid w:val="008D6BA9"/>
    <w:rsid w:val="008D6DF0"/>
    <w:rsid w:val="008D6E48"/>
    <w:rsid w:val="008D742E"/>
    <w:rsid w:val="008D76EC"/>
    <w:rsid w:val="008D7D6F"/>
    <w:rsid w:val="008E007D"/>
    <w:rsid w:val="008E10B6"/>
    <w:rsid w:val="008E1F00"/>
    <w:rsid w:val="008E20B6"/>
    <w:rsid w:val="008E2760"/>
    <w:rsid w:val="008E3AA3"/>
    <w:rsid w:val="008E48AC"/>
    <w:rsid w:val="008E707F"/>
    <w:rsid w:val="008E7798"/>
    <w:rsid w:val="008E7B70"/>
    <w:rsid w:val="008E7E64"/>
    <w:rsid w:val="008F0211"/>
    <w:rsid w:val="008F0A66"/>
    <w:rsid w:val="008F1297"/>
    <w:rsid w:val="008F1935"/>
    <w:rsid w:val="008F20D8"/>
    <w:rsid w:val="008F20F4"/>
    <w:rsid w:val="008F236E"/>
    <w:rsid w:val="008F3788"/>
    <w:rsid w:val="008F4886"/>
    <w:rsid w:val="008F4D26"/>
    <w:rsid w:val="008F51A6"/>
    <w:rsid w:val="008F5893"/>
    <w:rsid w:val="008F5CF8"/>
    <w:rsid w:val="008F6271"/>
    <w:rsid w:val="0090007E"/>
    <w:rsid w:val="0090031B"/>
    <w:rsid w:val="00900BAF"/>
    <w:rsid w:val="0090178F"/>
    <w:rsid w:val="0090267E"/>
    <w:rsid w:val="00902E21"/>
    <w:rsid w:val="0090340C"/>
    <w:rsid w:val="009035FD"/>
    <w:rsid w:val="00903750"/>
    <w:rsid w:val="00904784"/>
    <w:rsid w:val="00904E83"/>
    <w:rsid w:val="00905472"/>
    <w:rsid w:val="00905A2B"/>
    <w:rsid w:val="00905B89"/>
    <w:rsid w:val="00905BA6"/>
    <w:rsid w:val="00905C5E"/>
    <w:rsid w:val="00905F0A"/>
    <w:rsid w:val="0090633A"/>
    <w:rsid w:val="00906891"/>
    <w:rsid w:val="00906EB1"/>
    <w:rsid w:val="00907174"/>
    <w:rsid w:val="009073D0"/>
    <w:rsid w:val="009079D2"/>
    <w:rsid w:val="00907BDB"/>
    <w:rsid w:val="00907EC3"/>
    <w:rsid w:val="00912471"/>
    <w:rsid w:val="00912B4A"/>
    <w:rsid w:val="00912E14"/>
    <w:rsid w:val="00913741"/>
    <w:rsid w:val="00913DA1"/>
    <w:rsid w:val="00913E7D"/>
    <w:rsid w:val="00914019"/>
    <w:rsid w:val="009144D4"/>
    <w:rsid w:val="00916064"/>
    <w:rsid w:val="00916552"/>
    <w:rsid w:val="00916E5E"/>
    <w:rsid w:val="00917A46"/>
    <w:rsid w:val="00917B56"/>
    <w:rsid w:val="00917D8D"/>
    <w:rsid w:val="00917F05"/>
    <w:rsid w:val="00921654"/>
    <w:rsid w:val="00921802"/>
    <w:rsid w:val="0092195C"/>
    <w:rsid w:val="00921D6B"/>
    <w:rsid w:val="00922B8A"/>
    <w:rsid w:val="0092304D"/>
    <w:rsid w:val="00923931"/>
    <w:rsid w:val="00923DEE"/>
    <w:rsid w:val="00924465"/>
    <w:rsid w:val="009244E7"/>
    <w:rsid w:val="00924BE4"/>
    <w:rsid w:val="00924DD9"/>
    <w:rsid w:val="009250D7"/>
    <w:rsid w:val="00925836"/>
    <w:rsid w:val="00925B5F"/>
    <w:rsid w:val="00926600"/>
    <w:rsid w:val="009275E6"/>
    <w:rsid w:val="00927F12"/>
    <w:rsid w:val="009300D7"/>
    <w:rsid w:val="009308BD"/>
    <w:rsid w:val="00931610"/>
    <w:rsid w:val="0093191F"/>
    <w:rsid w:val="009339CA"/>
    <w:rsid w:val="00933A76"/>
    <w:rsid w:val="00933B38"/>
    <w:rsid w:val="009346FB"/>
    <w:rsid w:val="00934BFC"/>
    <w:rsid w:val="00934DFE"/>
    <w:rsid w:val="00935597"/>
    <w:rsid w:val="009357AF"/>
    <w:rsid w:val="00936391"/>
    <w:rsid w:val="00936411"/>
    <w:rsid w:val="0094024C"/>
    <w:rsid w:val="00940888"/>
    <w:rsid w:val="00940A45"/>
    <w:rsid w:val="00940D4B"/>
    <w:rsid w:val="00941114"/>
    <w:rsid w:val="0094158C"/>
    <w:rsid w:val="0094273A"/>
    <w:rsid w:val="00943515"/>
    <w:rsid w:val="00943CE0"/>
    <w:rsid w:val="00944104"/>
    <w:rsid w:val="0094439F"/>
    <w:rsid w:val="009447E4"/>
    <w:rsid w:val="00944D78"/>
    <w:rsid w:val="009457F1"/>
    <w:rsid w:val="00945A65"/>
    <w:rsid w:val="009464C6"/>
    <w:rsid w:val="009473A3"/>
    <w:rsid w:val="00947658"/>
    <w:rsid w:val="00947B8A"/>
    <w:rsid w:val="00947E3D"/>
    <w:rsid w:val="00950170"/>
    <w:rsid w:val="00950553"/>
    <w:rsid w:val="00950E2E"/>
    <w:rsid w:val="00950E3F"/>
    <w:rsid w:val="00951CB0"/>
    <w:rsid w:val="00952469"/>
    <w:rsid w:val="009538BF"/>
    <w:rsid w:val="00953BDD"/>
    <w:rsid w:val="00953CA3"/>
    <w:rsid w:val="00953EC2"/>
    <w:rsid w:val="00953FD0"/>
    <w:rsid w:val="009543F5"/>
    <w:rsid w:val="00954566"/>
    <w:rsid w:val="00954A4A"/>
    <w:rsid w:val="00954B03"/>
    <w:rsid w:val="00954B8F"/>
    <w:rsid w:val="009557CB"/>
    <w:rsid w:val="009574CA"/>
    <w:rsid w:val="009608D9"/>
    <w:rsid w:val="009616A8"/>
    <w:rsid w:val="00961A60"/>
    <w:rsid w:val="00961C5B"/>
    <w:rsid w:val="00961E70"/>
    <w:rsid w:val="009628AA"/>
    <w:rsid w:val="00963660"/>
    <w:rsid w:val="009636E9"/>
    <w:rsid w:val="00963A1A"/>
    <w:rsid w:val="00963F07"/>
    <w:rsid w:val="009643C2"/>
    <w:rsid w:val="0096460A"/>
    <w:rsid w:val="009655D3"/>
    <w:rsid w:val="00965EC7"/>
    <w:rsid w:val="009663AB"/>
    <w:rsid w:val="00966B82"/>
    <w:rsid w:val="00966BCA"/>
    <w:rsid w:val="00966F31"/>
    <w:rsid w:val="009674E2"/>
    <w:rsid w:val="00967A3B"/>
    <w:rsid w:val="00967BA6"/>
    <w:rsid w:val="00967F0E"/>
    <w:rsid w:val="009710AA"/>
    <w:rsid w:val="009713E2"/>
    <w:rsid w:val="009722D4"/>
    <w:rsid w:val="00973F8D"/>
    <w:rsid w:val="00974772"/>
    <w:rsid w:val="00974F31"/>
    <w:rsid w:val="0097528D"/>
    <w:rsid w:val="0097557F"/>
    <w:rsid w:val="00975634"/>
    <w:rsid w:val="00975ACE"/>
    <w:rsid w:val="00976588"/>
    <w:rsid w:val="00976C10"/>
    <w:rsid w:val="00977247"/>
    <w:rsid w:val="00977570"/>
    <w:rsid w:val="00977CC3"/>
    <w:rsid w:val="00977D23"/>
    <w:rsid w:val="00980266"/>
    <w:rsid w:val="0098061A"/>
    <w:rsid w:val="00981141"/>
    <w:rsid w:val="00981DC2"/>
    <w:rsid w:val="009820C1"/>
    <w:rsid w:val="00982A06"/>
    <w:rsid w:val="00982B3D"/>
    <w:rsid w:val="00982EBD"/>
    <w:rsid w:val="009830FD"/>
    <w:rsid w:val="00983132"/>
    <w:rsid w:val="0098326D"/>
    <w:rsid w:val="0098337A"/>
    <w:rsid w:val="009834A7"/>
    <w:rsid w:val="009838BC"/>
    <w:rsid w:val="00983E05"/>
    <w:rsid w:val="00984077"/>
    <w:rsid w:val="00984DE2"/>
    <w:rsid w:val="00985097"/>
    <w:rsid w:val="009850AF"/>
    <w:rsid w:val="009850BF"/>
    <w:rsid w:val="009901BE"/>
    <w:rsid w:val="00990433"/>
    <w:rsid w:val="00990E12"/>
    <w:rsid w:val="00991CF6"/>
    <w:rsid w:val="009925A9"/>
    <w:rsid w:val="00993167"/>
    <w:rsid w:val="00993316"/>
    <w:rsid w:val="00993809"/>
    <w:rsid w:val="0099389F"/>
    <w:rsid w:val="00993B39"/>
    <w:rsid w:val="009941E9"/>
    <w:rsid w:val="009942B5"/>
    <w:rsid w:val="00994633"/>
    <w:rsid w:val="00995F87"/>
    <w:rsid w:val="009974A7"/>
    <w:rsid w:val="00997939"/>
    <w:rsid w:val="00997CD8"/>
    <w:rsid w:val="00997EF0"/>
    <w:rsid w:val="009A0600"/>
    <w:rsid w:val="009A07B9"/>
    <w:rsid w:val="009A0D05"/>
    <w:rsid w:val="009A1769"/>
    <w:rsid w:val="009A19BE"/>
    <w:rsid w:val="009A22BE"/>
    <w:rsid w:val="009A22D1"/>
    <w:rsid w:val="009A3B11"/>
    <w:rsid w:val="009A3DCB"/>
    <w:rsid w:val="009A4D91"/>
    <w:rsid w:val="009A520C"/>
    <w:rsid w:val="009A6719"/>
    <w:rsid w:val="009A7548"/>
    <w:rsid w:val="009A7E24"/>
    <w:rsid w:val="009B0011"/>
    <w:rsid w:val="009B0978"/>
    <w:rsid w:val="009B0A82"/>
    <w:rsid w:val="009B10CC"/>
    <w:rsid w:val="009B10E0"/>
    <w:rsid w:val="009B1315"/>
    <w:rsid w:val="009B1351"/>
    <w:rsid w:val="009B146F"/>
    <w:rsid w:val="009B23A1"/>
    <w:rsid w:val="009B3E34"/>
    <w:rsid w:val="009B44EA"/>
    <w:rsid w:val="009B4E2C"/>
    <w:rsid w:val="009B59D6"/>
    <w:rsid w:val="009B5E6E"/>
    <w:rsid w:val="009B5FF6"/>
    <w:rsid w:val="009B669A"/>
    <w:rsid w:val="009B6C94"/>
    <w:rsid w:val="009B6D98"/>
    <w:rsid w:val="009C17D5"/>
    <w:rsid w:val="009C32A1"/>
    <w:rsid w:val="009C3574"/>
    <w:rsid w:val="009C36FA"/>
    <w:rsid w:val="009C3B49"/>
    <w:rsid w:val="009C4C6F"/>
    <w:rsid w:val="009C509B"/>
    <w:rsid w:val="009C5FA5"/>
    <w:rsid w:val="009C642F"/>
    <w:rsid w:val="009C6540"/>
    <w:rsid w:val="009C6A45"/>
    <w:rsid w:val="009C7A75"/>
    <w:rsid w:val="009C7ECA"/>
    <w:rsid w:val="009D0725"/>
    <w:rsid w:val="009D09DA"/>
    <w:rsid w:val="009D0FB4"/>
    <w:rsid w:val="009D120B"/>
    <w:rsid w:val="009D12E2"/>
    <w:rsid w:val="009D1642"/>
    <w:rsid w:val="009D21B0"/>
    <w:rsid w:val="009D220A"/>
    <w:rsid w:val="009D3322"/>
    <w:rsid w:val="009D34F9"/>
    <w:rsid w:val="009D3F60"/>
    <w:rsid w:val="009D4087"/>
    <w:rsid w:val="009D5030"/>
    <w:rsid w:val="009D57DE"/>
    <w:rsid w:val="009D5D6D"/>
    <w:rsid w:val="009D7484"/>
    <w:rsid w:val="009D7498"/>
    <w:rsid w:val="009D7AB6"/>
    <w:rsid w:val="009D7D16"/>
    <w:rsid w:val="009D7E14"/>
    <w:rsid w:val="009E046E"/>
    <w:rsid w:val="009E0A79"/>
    <w:rsid w:val="009E0BB6"/>
    <w:rsid w:val="009E0D59"/>
    <w:rsid w:val="009E10C3"/>
    <w:rsid w:val="009E231F"/>
    <w:rsid w:val="009E2EF2"/>
    <w:rsid w:val="009E317C"/>
    <w:rsid w:val="009E344A"/>
    <w:rsid w:val="009E39F3"/>
    <w:rsid w:val="009E3F07"/>
    <w:rsid w:val="009E4112"/>
    <w:rsid w:val="009E449A"/>
    <w:rsid w:val="009E5008"/>
    <w:rsid w:val="009E5BBF"/>
    <w:rsid w:val="009E62FD"/>
    <w:rsid w:val="009E65F6"/>
    <w:rsid w:val="009E6F35"/>
    <w:rsid w:val="009E73E6"/>
    <w:rsid w:val="009E7B3F"/>
    <w:rsid w:val="009F02D3"/>
    <w:rsid w:val="009F251B"/>
    <w:rsid w:val="009F2B16"/>
    <w:rsid w:val="009F2BBB"/>
    <w:rsid w:val="009F35BD"/>
    <w:rsid w:val="009F373B"/>
    <w:rsid w:val="009F3FD2"/>
    <w:rsid w:val="009F40D0"/>
    <w:rsid w:val="009F43DF"/>
    <w:rsid w:val="009F4769"/>
    <w:rsid w:val="009F55B7"/>
    <w:rsid w:val="009F5A81"/>
    <w:rsid w:val="009F5CEF"/>
    <w:rsid w:val="009F5D2B"/>
    <w:rsid w:val="009F5E39"/>
    <w:rsid w:val="009F5F66"/>
    <w:rsid w:val="009F609F"/>
    <w:rsid w:val="009F61FD"/>
    <w:rsid w:val="009F66FB"/>
    <w:rsid w:val="009F7174"/>
    <w:rsid w:val="009F7AAD"/>
    <w:rsid w:val="009F7B61"/>
    <w:rsid w:val="00A00E51"/>
    <w:rsid w:val="00A00FEF"/>
    <w:rsid w:val="00A01145"/>
    <w:rsid w:val="00A0177C"/>
    <w:rsid w:val="00A0180C"/>
    <w:rsid w:val="00A02601"/>
    <w:rsid w:val="00A02BE2"/>
    <w:rsid w:val="00A030C5"/>
    <w:rsid w:val="00A03A0E"/>
    <w:rsid w:val="00A03F06"/>
    <w:rsid w:val="00A04389"/>
    <w:rsid w:val="00A04732"/>
    <w:rsid w:val="00A051B5"/>
    <w:rsid w:val="00A0745C"/>
    <w:rsid w:val="00A07DF9"/>
    <w:rsid w:val="00A11AD6"/>
    <w:rsid w:val="00A11D39"/>
    <w:rsid w:val="00A11E2C"/>
    <w:rsid w:val="00A12244"/>
    <w:rsid w:val="00A132D9"/>
    <w:rsid w:val="00A137F3"/>
    <w:rsid w:val="00A138A7"/>
    <w:rsid w:val="00A13996"/>
    <w:rsid w:val="00A13B55"/>
    <w:rsid w:val="00A141C4"/>
    <w:rsid w:val="00A14C52"/>
    <w:rsid w:val="00A15536"/>
    <w:rsid w:val="00A1592D"/>
    <w:rsid w:val="00A15D72"/>
    <w:rsid w:val="00A171A8"/>
    <w:rsid w:val="00A171E7"/>
    <w:rsid w:val="00A1794A"/>
    <w:rsid w:val="00A200C4"/>
    <w:rsid w:val="00A20BFE"/>
    <w:rsid w:val="00A20D04"/>
    <w:rsid w:val="00A20EFC"/>
    <w:rsid w:val="00A2126C"/>
    <w:rsid w:val="00A212AF"/>
    <w:rsid w:val="00A21D1C"/>
    <w:rsid w:val="00A21D40"/>
    <w:rsid w:val="00A22330"/>
    <w:rsid w:val="00A2243E"/>
    <w:rsid w:val="00A22499"/>
    <w:rsid w:val="00A2249D"/>
    <w:rsid w:val="00A228C2"/>
    <w:rsid w:val="00A230C0"/>
    <w:rsid w:val="00A23252"/>
    <w:rsid w:val="00A24C18"/>
    <w:rsid w:val="00A251DF"/>
    <w:rsid w:val="00A261B4"/>
    <w:rsid w:val="00A261D0"/>
    <w:rsid w:val="00A270DC"/>
    <w:rsid w:val="00A270F7"/>
    <w:rsid w:val="00A2733F"/>
    <w:rsid w:val="00A274ED"/>
    <w:rsid w:val="00A27911"/>
    <w:rsid w:val="00A27EDB"/>
    <w:rsid w:val="00A317D1"/>
    <w:rsid w:val="00A31955"/>
    <w:rsid w:val="00A31DAF"/>
    <w:rsid w:val="00A3273A"/>
    <w:rsid w:val="00A32EEB"/>
    <w:rsid w:val="00A33992"/>
    <w:rsid w:val="00A33FC0"/>
    <w:rsid w:val="00A34D51"/>
    <w:rsid w:val="00A3508A"/>
    <w:rsid w:val="00A3639B"/>
    <w:rsid w:val="00A36F40"/>
    <w:rsid w:val="00A376E8"/>
    <w:rsid w:val="00A37A86"/>
    <w:rsid w:val="00A37B38"/>
    <w:rsid w:val="00A37B7A"/>
    <w:rsid w:val="00A37D68"/>
    <w:rsid w:val="00A40287"/>
    <w:rsid w:val="00A4068A"/>
    <w:rsid w:val="00A40CD5"/>
    <w:rsid w:val="00A41469"/>
    <w:rsid w:val="00A417CD"/>
    <w:rsid w:val="00A41B35"/>
    <w:rsid w:val="00A42A92"/>
    <w:rsid w:val="00A42D25"/>
    <w:rsid w:val="00A435DF"/>
    <w:rsid w:val="00A43BA6"/>
    <w:rsid w:val="00A44419"/>
    <w:rsid w:val="00A44C26"/>
    <w:rsid w:val="00A455A1"/>
    <w:rsid w:val="00A4589D"/>
    <w:rsid w:val="00A45B76"/>
    <w:rsid w:val="00A45C02"/>
    <w:rsid w:val="00A45C10"/>
    <w:rsid w:val="00A466CB"/>
    <w:rsid w:val="00A46F60"/>
    <w:rsid w:val="00A472EA"/>
    <w:rsid w:val="00A47942"/>
    <w:rsid w:val="00A47A06"/>
    <w:rsid w:val="00A47D0F"/>
    <w:rsid w:val="00A47DB8"/>
    <w:rsid w:val="00A50806"/>
    <w:rsid w:val="00A50EC9"/>
    <w:rsid w:val="00A51187"/>
    <w:rsid w:val="00A51E69"/>
    <w:rsid w:val="00A525C5"/>
    <w:rsid w:val="00A52AC5"/>
    <w:rsid w:val="00A5315B"/>
    <w:rsid w:val="00A535A0"/>
    <w:rsid w:val="00A5366C"/>
    <w:rsid w:val="00A5395E"/>
    <w:rsid w:val="00A53DCB"/>
    <w:rsid w:val="00A542B5"/>
    <w:rsid w:val="00A54D71"/>
    <w:rsid w:val="00A55115"/>
    <w:rsid w:val="00A5593E"/>
    <w:rsid w:val="00A55DFD"/>
    <w:rsid w:val="00A564B9"/>
    <w:rsid w:val="00A567E8"/>
    <w:rsid w:val="00A569AF"/>
    <w:rsid w:val="00A57425"/>
    <w:rsid w:val="00A574A1"/>
    <w:rsid w:val="00A57EE7"/>
    <w:rsid w:val="00A6024F"/>
    <w:rsid w:val="00A60703"/>
    <w:rsid w:val="00A60717"/>
    <w:rsid w:val="00A6135E"/>
    <w:rsid w:val="00A61531"/>
    <w:rsid w:val="00A61988"/>
    <w:rsid w:val="00A61A4A"/>
    <w:rsid w:val="00A62130"/>
    <w:rsid w:val="00A624DD"/>
    <w:rsid w:val="00A63B89"/>
    <w:rsid w:val="00A641AA"/>
    <w:rsid w:val="00A65605"/>
    <w:rsid w:val="00A6637B"/>
    <w:rsid w:val="00A67A31"/>
    <w:rsid w:val="00A67E4B"/>
    <w:rsid w:val="00A70423"/>
    <w:rsid w:val="00A706CB"/>
    <w:rsid w:val="00A709BF"/>
    <w:rsid w:val="00A717AD"/>
    <w:rsid w:val="00A7239C"/>
    <w:rsid w:val="00A7308C"/>
    <w:rsid w:val="00A736F8"/>
    <w:rsid w:val="00A73A9C"/>
    <w:rsid w:val="00A73C19"/>
    <w:rsid w:val="00A7472E"/>
    <w:rsid w:val="00A74938"/>
    <w:rsid w:val="00A74BEF"/>
    <w:rsid w:val="00A758CE"/>
    <w:rsid w:val="00A75E44"/>
    <w:rsid w:val="00A76793"/>
    <w:rsid w:val="00A76B62"/>
    <w:rsid w:val="00A76BB4"/>
    <w:rsid w:val="00A76BCD"/>
    <w:rsid w:val="00A76BF7"/>
    <w:rsid w:val="00A77042"/>
    <w:rsid w:val="00A7712C"/>
    <w:rsid w:val="00A77EDF"/>
    <w:rsid w:val="00A80743"/>
    <w:rsid w:val="00A810B9"/>
    <w:rsid w:val="00A8227E"/>
    <w:rsid w:val="00A82EDC"/>
    <w:rsid w:val="00A82F80"/>
    <w:rsid w:val="00A83054"/>
    <w:rsid w:val="00A8363E"/>
    <w:rsid w:val="00A8401A"/>
    <w:rsid w:val="00A8430E"/>
    <w:rsid w:val="00A84616"/>
    <w:rsid w:val="00A84F5E"/>
    <w:rsid w:val="00A85571"/>
    <w:rsid w:val="00A85BEE"/>
    <w:rsid w:val="00A85DDB"/>
    <w:rsid w:val="00A86637"/>
    <w:rsid w:val="00A8669C"/>
    <w:rsid w:val="00A86BD3"/>
    <w:rsid w:val="00A86E01"/>
    <w:rsid w:val="00A87192"/>
    <w:rsid w:val="00A8754B"/>
    <w:rsid w:val="00A87852"/>
    <w:rsid w:val="00A87A7C"/>
    <w:rsid w:val="00A87C7C"/>
    <w:rsid w:val="00A87FB0"/>
    <w:rsid w:val="00A90974"/>
    <w:rsid w:val="00A90A81"/>
    <w:rsid w:val="00A9162D"/>
    <w:rsid w:val="00A9174A"/>
    <w:rsid w:val="00A9186B"/>
    <w:rsid w:val="00A91874"/>
    <w:rsid w:val="00A92771"/>
    <w:rsid w:val="00A92F56"/>
    <w:rsid w:val="00A92FF3"/>
    <w:rsid w:val="00A9319D"/>
    <w:rsid w:val="00A93A17"/>
    <w:rsid w:val="00A945BA"/>
    <w:rsid w:val="00A94D84"/>
    <w:rsid w:val="00A94F32"/>
    <w:rsid w:val="00A9508B"/>
    <w:rsid w:val="00A97044"/>
    <w:rsid w:val="00A97D28"/>
    <w:rsid w:val="00AA07B4"/>
    <w:rsid w:val="00AA122E"/>
    <w:rsid w:val="00AA1294"/>
    <w:rsid w:val="00AA2066"/>
    <w:rsid w:val="00AA22BA"/>
    <w:rsid w:val="00AA2957"/>
    <w:rsid w:val="00AA3115"/>
    <w:rsid w:val="00AA4385"/>
    <w:rsid w:val="00AA4E48"/>
    <w:rsid w:val="00AA5328"/>
    <w:rsid w:val="00AA5C50"/>
    <w:rsid w:val="00AA638E"/>
    <w:rsid w:val="00AA6D97"/>
    <w:rsid w:val="00AA7A0A"/>
    <w:rsid w:val="00AA7B0F"/>
    <w:rsid w:val="00AB019F"/>
    <w:rsid w:val="00AB0F66"/>
    <w:rsid w:val="00AB15DE"/>
    <w:rsid w:val="00AB17C7"/>
    <w:rsid w:val="00AB26A6"/>
    <w:rsid w:val="00AB28BF"/>
    <w:rsid w:val="00AB33DB"/>
    <w:rsid w:val="00AB4034"/>
    <w:rsid w:val="00AB452D"/>
    <w:rsid w:val="00AB4600"/>
    <w:rsid w:val="00AB4917"/>
    <w:rsid w:val="00AB5DD7"/>
    <w:rsid w:val="00AB6637"/>
    <w:rsid w:val="00AB70F2"/>
    <w:rsid w:val="00AB7E13"/>
    <w:rsid w:val="00AC0835"/>
    <w:rsid w:val="00AC0FA2"/>
    <w:rsid w:val="00AC1B22"/>
    <w:rsid w:val="00AC201D"/>
    <w:rsid w:val="00AC2556"/>
    <w:rsid w:val="00AC2B3B"/>
    <w:rsid w:val="00AC3A8B"/>
    <w:rsid w:val="00AC3EDC"/>
    <w:rsid w:val="00AC4A18"/>
    <w:rsid w:val="00AC56A8"/>
    <w:rsid w:val="00AC5ACA"/>
    <w:rsid w:val="00AC60C8"/>
    <w:rsid w:val="00AC779E"/>
    <w:rsid w:val="00AC7F4A"/>
    <w:rsid w:val="00AD006D"/>
    <w:rsid w:val="00AD05C7"/>
    <w:rsid w:val="00AD083D"/>
    <w:rsid w:val="00AD19C3"/>
    <w:rsid w:val="00AD2976"/>
    <w:rsid w:val="00AD389B"/>
    <w:rsid w:val="00AD4150"/>
    <w:rsid w:val="00AD42B6"/>
    <w:rsid w:val="00AD4586"/>
    <w:rsid w:val="00AD5120"/>
    <w:rsid w:val="00AD544C"/>
    <w:rsid w:val="00AD57C7"/>
    <w:rsid w:val="00AD661E"/>
    <w:rsid w:val="00AD687E"/>
    <w:rsid w:val="00AD6C4A"/>
    <w:rsid w:val="00AD75CF"/>
    <w:rsid w:val="00AD766D"/>
    <w:rsid w:val="00AE0165"/>
    <w:rsid w:val="00AE05D6"/>
    <w:rsid w:val="00AE063F"/>
    <w:rsid w:val="00AE0BB1"/>
    <w:rsid w:val="00AE111F"/>
    <w:rsid w:val="00AE16CC"/>
    <w:rsid w:val="00AE33EA"/>
    <w:rsid w:val="00AE4DD5"/>
    <w:rsid w:val="00AE4F6E"/>
    <w:rsid w:val="00AE531C"/>
    <w:rsid w:val="00AE58C2"/>
    <w:rsid w:val="00AE5BE2"/>
    <w:rsid w:val="00AE60B5"/>
    <w:rsid w:val="00AE69B8"/>
    <w:rsid w:val="00AE6F91"/>
    <w:rsid w:val="00AE7A4C"/>
    <w:rsid w:val="00AF0F1A"/>
    <w:rsid w:val="00AF162B"/>
    <w:rsid w:val="00AF221B"/>
    <w:rsid w:val="00AF28BE"/>
    <w:rsid w:val="00AF29D3"/>
    <w:rsid w:val="00AF2E7B"/>
    <w:rsid w:val="00AF3652"/>
    <w:rsid w:val="00AF3F69"/>
    <w:rsid w:val="00AF402D"/>
    <w:rsid w:val="00AF4047"/>
    <w:rsid w:val="00AF444D"/>
    <w:rsid w:val="00AF483C"/>
    <w:rsid w:val="00AF491F"/>
    <w:rsid w:val="00AF5119"/>
    <w:rsid w:val="00AF52EC"/>
    <w:rsid w:val="00AF53A2"/>
    <w:rsid w:val="00AF5B50"/>
    <w:rsid w:val="00AF5C22"/>
    <w:rsid w:val="00AF60C1"/>
    <w:rsid w:val="00AF64C3"/>
    <w:rsid w:val="00AF6B7E"/>
    <w:rsid w:val="00AF6C0E"/>
    <w:rsid w:val="00AF6FA2"/>
    <w:rsid w:val="00AF704E"/>
    <w:rsid w:val="00AF712C"/>
    <w:rsid w:val="00AF7B78"/>
    <w:rsid w:val="00AF7C4E"/>
    <w:rsid w:val="00B00ABD"/>
    <w:rsid w:val="00B01CC3"/>
    <w:rsid w:val="00B02D4A"/>
    <w:rsid w:val="00B02D54"/>
    <w:rsid w:val="00B02F60"/>
    <w:rsid w:val="00B042BE"/>
    <w:rsid w:val="00B0482C"/>
    <w:rsid w:val="00B049D7"/>
    <w:rsid w:val="00B049E7"/>
    <w:rsid w:val="00B052C8"/>
    <w:rsid w:val="00B0570D"/>
    <w:rsid w:val="00B059C8"/>
    <w:rsid w:val="00B05A74"/>
    <w:rsid w:val="00B05D18"/>
    <w:rsid w:val="00B05F75"/>
    <w:rsid w:val="00B06803"/>
    <w:rsid w:val="00B0730C"/>
    <w:rsid w:val="00B07ACB"/>
    <w:rsid w:val="00B1137E"/>
    <w:rsid w:val="00B11BB3"/>
    <w:rsid w:val="00B12358"/>
    <w:rsid w:val="00B12887"/>
    <w:rsid w:val="00B13A56"/>
    <w:rsid w:val="00B147E9"/>
    <w:rsid w:val="00B1509E"/>
    <w:rsid w:val="00B166A3"/>
    <w:rsid w:val="00B1744D"/>
    <w:rsid w:val="00B178A4"/>
    <w:rsid w:val="00B17AC2"/>
    <w:rsid w:val="00B17AEE"/>
    <w:rsid w:val="00B205B4"/>
    <w:rsid w:val="00B20A7A"/>
    <w:rsid w:val="00B20BBC"/>
    <w:rsid w:val="00B219F4"/>
    <w:rsid w:val="00B22762"/>
    <w:rsid w:val="00B227DD"/>
    <w:rsid w:val="00B227E5"/>
    <w:rsid w:val="00B22FD5"/>
    <w:rsid w:val="00B23255"/>
    <w:rsid w:val="00B2378A"/>
    <w:rsid w:val="00B23894"/>
    <w:rsid w:val="00B23A84"/>
    <w:rsid w:val="00B23EAB"/>
    <w:rsid w:val="00B24CB3"/>
    <w:rsid w:val="00B24DB0"/>
    <w:rsid w:val="00B256E7"/>
    <w:rsid w:val="00B26166"/>
    <w:rsid w:val="00B267E8"/>
    <w:rsid w:val="00B2699C"/>
    <w:rsid w:val="00B26AAB"/>
    <w:rsid w:val="00B270E6"/>
    <w:rsid w:val="00B276A5"/>
    <w:rsid w:val="00B27B1D"/>
    <w:rsid w:val="00B27BFC"/>
    <w:rsid w:val="00B30318"/>
    <w:rsid w:val="00B305AD"/>
    <w:rsid w:val="00B30A36"/>
    <w:rsid w:val="00B32121"/>
    <w:rsid w:val="00B32281"/>
    <w:rsid w:val="00B32929"/>
    <w:rsid w:val="00B32C55"/>
    <w:rsid w:val="00B3349B"/>
    <w:rsid w:val="00B33D9E"/>
    <w:rsid w:val="00B350F6"/>
    <w:rsid w:val="00B35B2E"/>
    <w:rsid w:val="00B364EA"/>
    <w:rsid w:val="00B36BD5"/>
    <w:rsid w:val="00B375CE"/>
    <w:rsid w:val="00B37686"/>
    <w:rsid w:val="00B37FD1"/>
    <w:rsid w:val="00B404A7"/>
    <w:rsid w:val="00B4094A"/>
    <w:rsid w:val="00B40F4D"/>
    <w:rsid w:val="00B41A2B"/>
    <w:rsid w:val="00B41AD8"/>
    <w:rsid w:val="00B42073"/>
    <w:rsid w:val="00B42AFC"/>
    <w:rsid w:val="00B4397B"/>
    <w:rsid w:val="00B43C25"/>
    <w:rsid w:val="00B4454D"/>
    <w:rsid w:val="00B447EA"/>
    <w:rsid w:val="00B44910"/>
    <w:rsid w:val="00B46D78"/>
    <w:rsid w:val="00B476A7"/>
    <w:rsid w:val="00B47ED0"/>
    <w:rsid w:val="00B50DB0"/>
    <w:rsid w:val="00B52320"/>
    <w:rsid w:val="00B536F5"/>
    <w:rsid w:val="00B54243"/>
    <w:rsid w:val="00B54468"/>
    <w:rsid w:val="00B5455D"/>
    <w:rsid w:val="00B54577"/>
    <w:rsid w:val="00B5459B"/>
    <w:rsid w:val="00B547A0"/>
    <w:rsid w:val="00B5496A"/>
    <w:rsid w:val="00B54FFF"/>
    <w:rsid w:val="00B5551A"/>
    <w:rsid w:val="00B5570F"/>
    <w:rsid w:val="00B56144"/>
    <w:rsid w:val="00B561B7"/>
    <w:rsid w:val="00B5624B"/>
    <w:rsid w:val="00B56914"/>
    <w:rsid w:val="00B60031"/>
    <w:rsid w:val="00B604D6"/>
    <w:rsid w:val="00B60A41"/>
    <w:rsid w:val="00B60C4A"/>
    <w:rsid w:val="00B60CEF"/>
    <w:rsid w:val="00B6235E"/>
    <w:rsid w:val="00B62735"/>
    <w:rsid w:val="00B627EF"/>
    <w:rsid w:val="00B62E6E"/>
    <w:rsid w:val="00B63497"/>
    <w:rsid w:val="00B640DD"/>
    <w:rsid w:val="00B6434D"/>
    <w:rsid w:val="00B646EC"/>
    <w:rsid w:val="00B64CE9"/>
    <w:rsid w:val="00B64DEE"/>
    <w:rsid w:val="00B6646D"/>
    <w:rsid w:val="00B66E72"/>
    <w:rsid w:val="00B672C7"/>
    <w:rsid w:val="00B70272"/>
    <w:rsid w:val="00B70336"/>
    <w:rsid w:val="00B712D3"/>
    <w:rsid w:val="00B71E0E"/>
    <w:rsid w:val="00B7265F"/>
    <w:rsid w:val="00B729FB"/>
    <w:rsid w:val="00B732AB"/>
    <w:rsid w:val="00B736AA"/>
    <w:rsid w:val="00B738E2"/>
    <w:rsid w:val="00B73E2C"/>
    <w:rsid w:val="00B741CB"/>
    <w:rsid w:val="00B74D7B"/>
    <w:rsid w:val="00B75DB4"/>
    <w:rsid w:val="00B7614A"/>
    <w:rsid w:val="00B768B4"/>
    <w:rsid w:val="00B7695F"/>
    <w:rsid w:val="00B76FE1"/>
    <w:rsid w:val="00B7752B"/>
    <w:rsid w:val="00B7785D"/>
    <w:rsid w:val="00B77A2B"/>
    <w:rsid w:val="00B80781"/>
    <w:rsid w:val="00B807C2"/>
    <w:rsid w:val="00B81015"/>
    <w:rsid w:val="00B82264"/>
    <w:rsid w:val="00B82401"/>
    <w:rsid w:val="00B82AF3"/>
    <w:rsid w:val="00B8324F"/>
    <w:rsid w:val="00B8346C"/>
    <w:rsid w:val="00B8357D"/>
    <w:rsid w:val="00B83653"/>
    <w:rsid w:val="00B83B96"/>
    <w:rsid w:val="00B840A8"/>
    <w:rsid w:val="00B84F63"/>
    <w:rsid w:val="00B851E8"/>
    <w:rsid w:val="00B85CE8"/>
    <w:rsid w:val="00B8631D"/>
    <w:rsid w:val="00B872ED"/>
    <w:rsid w:val="00B87BFF"/>
    <w:rsid w:val="00B903F3"/>
    <w:rsid w:val="00B90D11"/>
    <w:rsid w:val="00B911CF"/>
    <w:rsid w:val="00B91268"/>
    <w:rsid w:val="00B91598"/>
    <w:rsid w:val="00B91761"/>
    <w:rsid w:val="00B919BC"/>
    <w:rsid w:val="00B91F30"/>
    <w:rsid w:val="00B92F74"/>
    <w:rsid w:val="00B938F8"/>
    <w:rsid w:val="00B94D19"/>
    <w:rsid w:val="00B94DE2"/>
    <w:rsid w:val="00B94F79"/>
    <w:rsid w:val="00B95131"/>
    <w:rsid w:val="00B95511"/>
    <w:rsid w:val="00B957C0"/>
    <w:rsid w:val="00B95F95"/>
    <w:rsid w:val="00B968F2"/>
    <w:rsid w:val="00B96B9F"/>
    <w:rsid w:val="00BA06C5"/>
    <w:rsid w:val="00BA1183"/>
    <w:rsid w:val="00BA1471"/>
    <w:rsid w:val="00BA15AC"/>
    <w:rsid w:val="00BA18EA"/>
    <w:rsid w:val="00BA2840"/>
    <w:rsid w:val="00BA28C3"/>
    <w:rsid w:val="00BA2D15"/>
    <w:rsid w:val="00BA2E4D"/>
    <w:rsid w:val="00BA3B90"/>
    <w:rsid w:val="00BA60C5"/>
    <w:rsid w:val="00BA630C"/>
    <w:rsid w:val="00BA6392"/>
    <w:rsid w:val="00BA6ED2"/>
    <w:rsid w:val="00BA7583"/>
    <w:rsid w:val="00BA7C02"/>
    <w:rsid w:val="00BB0615"/>
    <w:rsid w:val="00BB1359"/>
    <w:rsid w:val="00BB244A"/>
    <w:rsid w:val="00BB2D30"/>
    <w:rsid w:val="00BB334B"/>
    <w:rsid w:val="00BB33CF"/>
    <w:rsid w:val="00BB33FE"/>
    <w:rsid w:val="00BB3DE4"/>
    <w:rsid w:val="00BB4AED"/>
    <w:rsid w:val="00BB4C5A"/>
    <w:rsid w:val="00BB4C5C"/>
    <w:rsid w:val="00BB4FBC"/>
    <w:rsid w:val="00BB537B"/>
    <w:rsid w:val="00BB5B4B"/>
    <w:rsid w:val="00BB5CA7"/>
    <w:rsid w:val="00BB6212"/>
    <w:rsid w:val="00BB626E"/>
    <w:rsid w:val="00BB6342"/>
    <w:rsid w:val="00BB64CF"/>
    <w:rsid w:val="00BB6F24"/>
    <w:rsid w:val="00BB7A7C"/>
    <w:rsid w:val="00BB7D4B"/>
    <w:rsid w:val="00BB7ECC"/>
    <w:rsid w:val="00BC0116"/>
    <w:rsid w:val="00BC0AA6"/>
    <w:rsid w:val="00BC14A8"/>
    <w:rsid w:val="00BC14FD"/>
    <w:rsid w:val="00BC16B6"/>
    <w:rsid w:val="00BC16BD"/>
    <w:rsid w:val="00BC179E"/>
    <w:rsid w:val="00BC19A7"/>
    <w:rsid w:val="00BC2A7F"/>
    <w:rsid w:val="00BC2D4F"/>
    <w:rsid w:val="00BC3084"/>
    <w:rsid w:val="00BC358B"/>
    <w:rsid w:val="00BC411F"/>
    <w:rsid w:val="00BC412F"/>
    <w:rsid w:val="00BC41CB"/>
    <w:rsid w:val="00BC55D5"/>
    <w:rsid w:val="00BC567D"/>
    <w:rsid w:val="00BC59FA"/>
    <w:rsid w:val="00BC60E0"/>
    <w:rsid w:val="00BC642D"/>
    <w:rsid w:val="00BC6948"/>
    <w:rsid w:val="00BC696E"/>
    <w:rsid w:val="00BC69BB"/>
    <w:rsid w:val="00BC6C5E"/>
    <w:rsid w:val="00BC6FAF"/>
    <w:rsid w:val="00BC7520"/>
    <w:rsid w:val="00BC7655"/>
    <w:rsid w:val="00BC786F"/>
    <w:rsid w:val="00BD0819"/>
    <w:rsid w:val="00BD17FB"/>
    <w:rsid w:val="00BD26BB"/>
    <w:rsid w:val="00BD2EFE"/>
    <w:rsid w:val="00BD3058"/>
    <w:rsid w:val="00BD31CE"/>
    <w:rsid w:val="00BD36AE"/>
    <w:rsid w:val="00BD3E12"/>
    <w:rsid w:val="00BD4703"/>
    <w:rsid w:val="00BD4DDC"/>
    <w:rsid w:val="00BD70FE"/>
    <w:rsid w:val="00BD75BA"/>
    <w:rsid w:val="00BD7AC3"/>
    <w:rsid w:val="00BE0173"/>
    <w:rsid w:val="00BE0338"/>
    <w:rsid w:val="00BE0343"/>
    <w:rsid w:val="00BE09D9"/>
    <w:rsid w:val="00BE0FE3"/>
    <w:rsid w:val="00BE1073"/>
    <w:rsid w:val="00BE1CC7"/>
    <w:rsid w:val="00BE1D5E"/>
    <w:rsid w:val="00BE23FC"/>
    <w:rsid w:val="00BE2458"/>
    <w:rsid w:val="00BE2C72"/>
    <w:rsid w:val="00BE336D"/>
    <w:rsid w:val="00BE34FF"/>
    <w:rsid w:val="00BE48EC"/>
    <w:rsid w:val="00BE5B20"/>
    <w:rsid w:val="00BE5BD1"/>
    <w:rsid w:val="00BE5C89"/>
    <w:rsid w:val="00BE5F43"/>
    <w:rsid w:val="00BE75EA"/>
    <w:rsid w:val="00BE7ACC"/>
    <w:rsid w:val="00BE7F57"/>
    <w:rsid w:val="00BE7F9F"/>
    <w:rsid w:val="00BF03A7"/>
    <w:rsid w:val="00BF1B8D"/>
    <w:rsid w:val="00BF2B14"/>
    <w:rsid w:val="00BF2D8E"/>
    <w:rsid w:val="00BF4B2A"/>
    <w:rsid w:val="00BF4D7F"/>
    <w:rsid w:val="00BF4DE0"/>
    <w:rsid w:val="00BF585F"/>
    <w:rsid w:val="00BF591F"/>
    <w:rsid w:val="00BF59DF"/>
    <w:rsid w:val="00BF5D31"/>
    <w:rsid w:val="00BF612C"/>
    <w:rsid w:val="00BF63F8"/>
    <w:rsid w:val="00BF6E8A"/>
    <w:rsid w:val="00BF6F22"/>
    <w:rsid w:val="00BF6FB8"/>
    <w:rsid w:val="00BF730A"/>
    <w:rsid w:val="00BF7505"/>
    <w:rsid w:val="00BF7637"/>
    <w:rsid w:val="00BF7D9E"/>
    <w:rsid w:val="00C00C2C"/>
    <w:rsid w:val="00C01277"/>
    <w:rsid w:val="00C01354"/>
    <w:rsid w:val="00C01404"/>
    <w:rsid w:val="00C015F4"/>
    <w:rsid w:val="00C01D03"/>
    <w:rsid w:val="00C0236D"/>
    <w:rsid w:val="00C031BE"/>
    <w:rsid w:val="00C0361B"/>
    <w:rsid w:val="00C03E4D"/>
    <w:rsid w:val="00C04653"/>
    <w:rsid w:val="00C04FCC"/>
    <w:rsid w:val="00C0508D"/>
    <w:rsid w:val="00C0598E"/>
    <w:rsid w:val="00C05AFF"/>
    <w:rsid w:val="00C05B8C"/>
    <w:rsid w:val="00C0665A"/>
    <w:rsid w:val="00C06D13"/>
    <w:rsid w:val="00C07363"/>
    <w:rsid w:val="00C07987"/>
    <w:rsid w:val="00C07E44"/>
    <w:rsid w:val="00C10986"/>
    <w:rsid w:val="00C10B83"/>
    <w:rsid w:val="00C11483"/>
    <w:rsid w:val="00C11517"/>
    <w:rsid w:val="00C116D4"/>
    <w:rsid w:val="00C11EC0"/>
    <w:rsid w:val="00C11FC3"/>
    <w:rsid w:val="00C12591"/>
    <w:rsid w:val="00C133E2"/>
    <w:rsid w:val="00C13702"/>
    <w:rsid w:val="00C137B8"/>
    <w:rsid w:val="00C14288"/>
    <w:rsid w:val="00C144B0"/>
    <w:rsid w:val="00C14801"/>
    <w:rsid w:val="00C14B8C"/>
    <w:rsid w:val="00C15775"/>
    <w:rsid w:val="00C1628F"/>
    <w:rsid w:val="00C1629F"/>
    <w:rsid w:val="00C16FA1"/>
    <w:rsid w:val="00C177AA"/>
    <w:rsid w:val="00C1796C"/>
    <w:rsid w:val="00C179A5"/>
    <w:rsid w:val="00C17B7C"/>
    <w:rsid w:val="00C17C6C"/>
    <w:rsid w:val="00C17FB7"/>
    <w:rsid w:val="00C20127"/>
    <w:rsid w:val="00C20952"/>
    <w:rsid w:val="00C20F86"/>
    <w:rsid w:val="00C20FF4"/>
    <w:rsid w:val="00C211BE"/>
    <w:rsid w:val="00C21815"/>
    <w:rsid w:val="00C21831"/>
    <w:rsid w:val="00C219B2"/>
    <w:rsid w:val="00C22B4F"/>
    <w:rsid w:val="00C22F97"/>
    <w:rsid w:val="00C23035"/>
    <w:rsid w:val="00C230DD"/>
    <w:rsid w:val="00C23206"/>
    <w:rsid w:val="00C23CE3"/>
    <w:rsid w:val="00C242BB"/>
    <w:rsid w:val="00C24DC9"/>
    <w:rsid w:val="00C250F1"/>
    <w:rsid w:val="00C25387"/>
    <w:rsid w:val="00C258D9"/>
    <w:rsid w:val="00C25C8F"/>
    <w:rsid w:val="00C25E32"/>
    <w:rsid w:val="00C26335"/>
    <w:rsid w:val="00C26478"/>
    <w:rsid w:val="00C275DF"/>
    <w:rsid w:val="00C2774E"/>
    <w:rsid w:val="00C27765"/>
    <w:rsid w:val="00C278A7"/>
    <w:rsid w:val="00C30216"/>
    <w:rsid w:val="00C306B0"/>
    <w:rsid w:val="00C30A60"/>
    <w:rsid w:val="00C30E89"/>
    <w:rsid w:val="00C314EF"/>
    <w:rsid w:val="00C31ACA"/>
    <w:rsid w:val="00C3266D"/>
    <w:rsid w:val="00C32815"/>
    <w:rsid w:val="00C3492A"/>
    <w:rsid w:val="00C355A5"/>
    <w:rsid w:val="00C36093"/>
    <w:rsid w:val="00C362E9"/>
    <w:rsid w:val="00C363EC"/>
    <w:rsid w:val="00C3659D"/>
    <w:rsid w:val="00C3673D"/>
    <w:rsid w:val="00C36785"/>
    <w:rsid w:val="00C3688D"/>
    <w:rsid w:val="00C36F0C"/>
    <w:rsid w:val="00C37FCF"/>
    <w:rsid w:val="00C417F6"/>
    <w:rsid w:val="00C42C0E"/>
    <w:rsid w:val="00C42DFE"/>
    <w:rsid w:val="00C43DEC"/>
    <w:rsid w:val="00C44556"/>
    <w:rsid w:val="00C44A67"/>
    <w:rsid w:val="00C452B5"/>
    <w:rsid w:val="00C455BB"/>
    <w:rsid w:val="00C460E0"/>
    <w:rsid w:val="00C46463"/>
    <w:rsid w:val="00C474C2"/>
    <w:rsid w:val="00C47B7D"/>
    <w:rsid w:val="00C47EFA"/>
    <w:rsid w:val="00C47F50"/>
    <w:rsid w:val="00C5012C"/>
    <w:rsid w:val="00C5106E"/>
    <w:rsid w:val="00C514E4"/>
    <w:rsid w:val="00C51A03"/>
    <w:rsid w:val="00C528CE"/>
    <w:rsid w:val="00C52AC2"/>
    <w:rsid w:val="00C531DE"/>
    <w:rsid w:val="00C532CA"/>
    <w:rsid w:val="00C53450"/>
    <w:rsid w:val="00C53AFF"/>
    <w:rsid w:val="00C53D84"/>
    <w:rsid w:val="00C54D4A"/>
    <w:rsid w:val="00C54F54"/>
    <w:rsid w:val="00C5576C"/>
    <w:rsid w:val="00C55F6A"/>
    <w:rsid w:val="00C56C60"/>
    <w:rsid w:val="00C571FA"/>
    <w:rsid w:val="00C57636"/>
    <w:rsid w:val="00C57C57"/>
    <w:rsid w:val="00C6062A"/>
    <w:rsid w:val="00C60F24"/>
    <w:rsid w:val="00C6151B"/>
    <w:rsid w:val="00C618A8"/>
    <w:rsid w:val="00C6237F"/>
    <w:rsid w:val="00C626C6"/>
    <w:rsid w:val="00C63410"/>
    <w:rsid w:val="00C63838"/>
    <w:rsid w:val="00C63C41"/>
    <w:rsid w:val="00C642D4"/>
    <w:rsid w:val="00C64334"/>
    <w:rsid w:val="00C6485A"/>
    <w:rsid w:val="00C64CDD"/>
    <w:rsid w:val="00C658F5"/>
    <w:rsid w:val="00C66090"/>
    <w:rsid w:val="00C663AB"/>
    <w:rsid w:val="00C66622"/>
    <w:rsid w:val="00C66DAF"/>
    <w:rsid w:val="00C6722E"/>
    <w:rsid w:val="00C67F51"/>
    <w:rsid w:val="00C7084B"/>
    <w:rsid w:val="00C70908"/>
    <w:rsid w:val="00C70916"/>
    <w:rsid w:val="00C70D9C"/>
    <w:rsid w:val="00C70FDC"/>
    <w:rsid w:val="00C71119"/>
    <w:rsid w:val="00C711C6"/>
    <w:rsid w:val="00C71C27"/>
    <w:rsid w:val="00C72635"/>
    <w:rsid w:val="00C7287F"/>
    <w:rsid w:val="00C734FB"/>
    <w:rsid w:val="00C735FB"/>
    <w:rsid w:val="00C73932"/>
    <w:rsid w:val="00C73D46"/>
    <w:rsid w:val="00C74552"/>
    <w:rsid w:val="00C745BE"/>
    <w:rsid w:val="00C74D7F"/>
    <w:rsid w:val="00C74DBC"/>
    <w:rsid w:val="00C7572A"/>
    <w:rsid w:val="00C75D50"/>
    <w:rsid w:val="00C75DE0"/>
    <w:rsid w:val="00C761EB"/>
    <w:rsid w:val="00C7628C"/>
    <w:rsid w:val="00C765FB"/>
    <w:rsid w:val="00C76D02"/>
    <w:rsid w:val="00C76DA8"/>
    <w:rsid w:val="00C76F4C"/>
    <w:rsid w:val="00C77423"/>
    <w:rsid w:val="00C774ED"/>
    <w:rsid w:val="00C77AE2"/>
    <w:rsid w:val="00C77DD7"/>
    <w:rsid w:val="00C77EA0"/>
    <w:rsid w:val="00C802CA"/>
    <w:rsid w:val="00C8071D"/>
    <w:rsid w:val="00C807E6"/>
    <w:rsid w:val="00C80B04"/>
    <w:rsid w:val="00C80B0E"/>
    <w:rsid w:val="00C8113E"/>
    <w:rsid w:val="00C8115A"/>
    <w:rsid w:val="00C81460"/>
    <w:rsid w:val="00C81783"/>
    <w:rsid w:val="00C81BC7"/>
    <w:rsid w:val="00C81DF2"/>
    <w:rsid w:val="00C820D1"/>
    <w:rsid w:val="00C84C84"/>
    <w:rsid w:val="00C84DC1"/>
    <w:rsid w:val="00C8574C"/>
    <w:rsid w:val="00C859FE"/>
    <w:rsid w:val="00C8635C"/>
    <w:rsid w:val="00C86545"/>
    <w:rsid w:val="00C87240"/>
    <w:rsid w:val="00C87B9F"/>
    <w:rsid w:val="00C87BC1"/>
    <w:rsid w:val="00C906F3"/>
    <w:rsid w:val="00C90789"/>
    <w:rsid w:val="00C90BBF"/>
    <w:rsid w:val="00C91070"/>
    <w:rsid w:val="00C9111E"/>
    <w:rsid w:val="00C913DB"/>
    <w:rsid w:val="00C9154C"/>
    <w:rsid w:val="00C9173B"/>
    <w:rsid w:val="00C92ADF"/>
    <w:rsid w:val="00C92C7C"/>
    <w:rsid w:val="00C92DC0"/>
    <w:rsid w:val="00C92F4F"/>
    <w:rsid w:val="00C9306A"/>
    <w:rsid w:val="00C933E5"/>
    <w:rsid w:val="00C93CEB"/>
    <w:rsid w:val="00C93DE3"/>
    <w:rsid w:val="00C943C9"/>
    <w:rsid w:val="00C94793"/>
    <w:rsid w:val="00C94D27"/>
    <w:rsid w:val="00C952FC"/>
    <w:rsid w:val="00C95EA7"/>
    <w:rsid w:val="00C96091"/>
    <w:rsid w:val="00C9635D"/>
    <w:rsid w:val="00C96507"/>
    <w:rsid w:val="00C965D8"/>
    <w:rsid w:val="00C96CB1"/>
    <w:rsid w:val="00C97898"/>
    <w:rsid w:val="00CA0071"/>
    <w:rsid w:val="00CA012B"/>
    <w:rsid w:val="00CA025B"/>
    <w:rsid w:val="00CA146B"/>
    <w:rsid w:val="00CA16C5"/>
    <w:rsid w:val="00CA199F"/>
    <w:rsid w:val="00CA1F14"/>
    <w:rsid w:val="00CA25A4"/>
    <w:rsid w:val="00CA26C9"/>
    <w:rsid w:val="00CA2A2B"/>
    <w:rsid w:val="00CA34F0"/>
    <w:rsid w:val="00CA38FE"/>
    <w:rsid w:val="00CA396B"/>
    <w:rsid w:val="00CA431F"/>
    <w:rsid w:val="00CA4581"/>
    <w:rsid w:val="00CA4832"/>
    <w:rsid w:val="00CA4CC0"/>
    <w:rsid w:val="00CA505B"/>
    <w:rsid w:val="00CA53E9"/>
    <w:rsid w:val="00CA5C02"/>
    <w:rsid w:val="00CA5F72"/>
    <w:rsid w:val="00CA667F"/>
    <w:rsid w:val="00CA7111"/>
    <w:rsid w:val="00CA789A"/>
    <w:rsid w:val="00CA7C38"/>
    <w:rsid w:val="00CB1065"/>
    <w:rsid w:val="00CB1836"/>
    <w:rsid w:val="00CB1AAB"/>
    <w:rsid w:val="00CB208A"/>
    <w:rsid w:val="00CB261F"/>
    <w:rsid w:val="00CB27FE"/>
    <w:rsid w:val="00CB3138"/>
    <w:rsid w:val="00CB32E6"/>
    <w:rsid w:val="00CB3628"/>
    <w:rsid w:val="00CB3766"/>
    <w:rsid w:val="00CB4442"/>
    <w:rsid w:val="00CB44F3"/>
    <w:rsid w:val="00CB48A4"/>
    <w:rsid w:val="00CB48C8"/>
    <w:rsid w:val="00CB65C6"/>
    <w:rsid w:val="00CB6F06"/>
    <w:rsid w:val="00CB6F84"/>
    <w:rsid w:val="00CB7335"/>
    <w:rsid w:val="00CB76C7"/>
    <w:rsid w:val="00CB79D4"/>
    <w:rsid w:val="00CC02FE"/>
    <w:rsid w:val="00CC062C"/>
    <w:rsid w:val="00CC241D"/>
    <w:rsid w:val="00CC2543"/>
    <w:rsid w:val="00CC2E3D"/>
    <w:rsid w:val="00CC3124"/>
    <w:rsid w:val="00CC460B"/>
    <w:rsid w:val="00CC47AE"/>
    <w:rsid w:val="00CC57BF"/>
    <w:rsid w:val="00CC5901"/>
    <w:rsid w:val="00CC6739"/>
    <w:rsid w:val="00CC69CB"/>
    <w:rsid w:val="00CC76B0"/>
    <w:rsid w:val="00CD040A"/>
    <w:rsid w:val="00CD0A87"/>
    <w:rsid w:val="00CD0CB6"/>
    <w:rsid w:val="00CD110F"/>
    <w:rsid w:val="00CD124B"/>
    <w:rsid w:val="00CD152B"/>
    <w:rsid w:val="00CD1565"/>
    <w:rsid w:val="00CD1AE3"/>
    <w:rsid w:val="00CD1ECA"/>
    <w:rsid w:val="00CD2043"/>
    <w:rsid w:val="00CD256B"/>
    <w:rsid w:val="00CD2D85"/>
    <w:rsid w:val="00CD2E45"/>
    <w:rsid w:val="00CD3956"/>
    <w:rsid w:val="00CD3E1F"/>
    <w:rsid w:val="00CD3EA3"/>
    <w:rsid w:val="00CD4133"/>
    <w:rsid w:val="00CD4B9F"/>
    <w:rsid w:val="00CD4DDB"/>
    <w:rsid w:val="00CD4EFD"/>
    <w:rsid w:val="00CD504B"/>
    <w:rsid w:val="00CD5B56"/>
    <w:rsid w:val="00CD5E45"/>
    <w:rsid w:val="00CD5FAB"/>
    <w:rsid w:val="00CD60D6"/>
    <w:rsid w:val="00CD695E"/>
    <w:rsid w:val="00CD69D1"/>
    <w:rsid w:val="00CD6BCE"/>
    <w:rsid w:val="00CD6D11"/>
    <w:rsid w:val="00CD6FFB"/>
    <w:rsid w:val="00CD704B"/>
    <w:rsid w:val="00CD748A"/>
    <w:rsid w:val="00CD7C8B"/>
    <w:rsid w:val="00CE03A7"/>
    <w:rsid w:val="00CE057D"/>
    <w:rsid w:val="00CE122F"/>
    <w:rsid w:val="00CE1C49"/>
    <w:rsid w:val="00CE21B5"/>
    <w:rsid w:val="00CE25B9"/>
    <w:rsid w:val="00CE304F"/>
    <w:rsid w:val="00CE3598"/>
    <w:rsid w:val="00CE423F"/>
    <w:rsid w:val="00CE4EE2"/>
    <w:rsid w:val="00CE4F02"/>
    <w:rsid w:val="00CE51BD"/>
    <w:rsid w:val="00CE61E9"/>
    <w:rsid w:val="00CE6205"/>
    <w:rsid w:val="00CE68AE"/>
    <w:rsid w:val="00CE6DB6"/>
    <w:rsid w:val="00CE7C94"/>
    <w:rsid w:val="00CF0097"/>
    <w:rsid w:val="00CF0671"/>
    <w:rsid w:val="00CF08A3"/>
    <w:rsid w:val="00CF0D72"/>
    <w:rsid w:val="00CF1160"/>
    <w:rsid w:val="00CF11F5"/>
    <w:rsid w:val="00CF1C1B"/>
    <w:rsid w:val="00CF22BB"/>
    <w:rsid w:val="00CF22FD"/>
    <w:rsid w:val="00CF2DB0"/>
    <w:rsid w:val="00CF3199"/>
    <w:rsid w:val="00CF34A1"/>
    <w:rsid w:val="00CF3C92"/>
    <w:rsid w:val="00CF4CB7"/>
    <w:rsid w:val="00CF50F1"/>
    <w:rsid w:val="00CF5EB5"/>
    <w:rsid w:val="00CF6263"/>
    <w:rsid w:val="00CF672A"/>
    <w:rsid w:val="00CF6CDB"/>
    <w:rsid w:val="00CF6DAE"/>
    <w:rsid w:val="00CF71BA"/>
    <w:rsid w:val="00CF7B87"/>
    <w:rsid w:val="00D00577"/>
    <w:rsid w:val="00D02225"/>
    <w:rsid w:val="00D03B27"/>
    <w:rsid w:val="00D042E4"/>
    <w:rsid w:val="00D04503"/>
    <w:rsid w:val="00D047E3"/>
    <w:rsid w:val="00D04FC9"/>
    <w:rsid w:val="00D0517D"/>
    <w:rsid w:val="00D057F7"/>
    <w:rsid w:val="00D058A4"/>
    <w:rsid w:val="00D05BAD"/>
    <w:rsid w:val="00D05DF0"/>
    <w:rsid w:val="00D060E9"/>
    <w:rsid w:val="00D07058"/>
    <w:rsid w:val="00D07425"/>
    <w:rsid w:val="00D0768C"/>
    <w:rsid w:val="00D076B1"/>
    <w:rsid w:val="00D117BE"/>
    <w:rsid w:val="00D11F6C"/>
    <w:rsid w:val="00D14501"/>
    <w:rsid w:val="00D14D65"/>
    <w:rsid w:val="00D15128"/>
    <w:rsid w:val="00D15E4A"/>
    <w:rsid w:val="00D163D0"/>
    <w:rsid w:val="00D166A7"/>
    <w:rsid w:val="00D20971"/>
    <w:rsid w:val="00D20B1C"/>
    <w:rsid w:val="00D20C2D"/>
    <w:rsid w:val="00D21C0C"/>
    <w:rsid w:val="00D2214A"/>
    <w:rsid w:val="00D2221D"/>
    <w:rsid w:val="00D222D0"/>
    <w:rsid w:val="00D2255A"/>
    <w:rsid w:val="00D22E2B"/>
    <w:rsid w:val="00D22E54"/>
    <w:rsid w:val="00D23D7C"/>
    <w:rsid w:val="00D240CD"/>
    <w:rsid w:val="00D2410C"/>
    <w:rsid w:val="00D24C67"/>
    <w:rsid w:val="00D254FC"/>
    <w:rsid w:val="00D2664B"/>
    <w:rsid w:val="00D26DEF"/>
    <w:rsid w:val="00D26F5B"/>
    <w:rsid w:val="00D27AAD"/>
    <w:rsid w:val="00D30776"/>
    <w:rsid w:val="00D30827"/>
    <w:rsid w:val="00D311A0"/>
    <w:rsid w:val="00D3145D"/>
    <w:rsid w:val="00D319FC"/>
    <w:rsid w:val="00D31D8C"/>
    <w:rsid w:val="00D32BFD"/>
    <w:rsid w:val="00D32FC8"/>
    <w:rsid w:val="00D34505"/>
    <w:rsid w:val="00D34823"/>
    <w:rsid w:val="00D34D0F"/>
    <w:rsid w:val="00D34FD8"/>
    <w:rsid w:val="00D359C7"/>
    <w:rsid w:val="00D361BA"/>
    <w:rsid w:val="00D364DB"/>
    <w:rsid w:val="00D37754"/>
    <w:rsid w:val="00D3778C"/>
    <w:rsid w:val="00D37AF8"/>
    <w:rsid w:val="00D37CB6"/>
    <w:rsid w:val="00D37F6B"/>
    <w:rsid w:val="00D37F93"/>
    <w:rsid w:val="00D40F4E"/>
    <w:rsid w:val="00D412AD"/>
    <w:rsid w:val="00D41CEF"/>
    <w:rsid w:val="00D44788"/>
    <w:rsid w:val="00D45499"/>
    <w:rsid w:val="00D45888"/>
    <w:rsid w:val="00D46325"/>
    <w:rsid w:val="00D467A7"/>
    <w:rsid w:val="00D46A6E"/>
    <w:rsid w:val="00D46BDF"/>
    <w:rsid w:val="00D46D70"/>
    <w:rsid w:val="00D470BE"/>
    <w:rsid w:val="00D477E5"/>
    <w:rsid w:val="00D47B0A"/>
    <w:rsid w:val="00D47CFF"/>
    <w:rsid w:val="00D5134E"/>
    <w:rsid w:val="00D52438"/>
    <w:rsid w:val="00D526F9"/>
    <w:rsid w:val="00D5291E"/>
    <w:rsid w:val="00D52B4B"/>
    <w:rsid w:val="00D52D40"/>
    <w:rsid w:val="00D5312E"/>
    <w:rsid w:val="00D53AB5"/>
    <w:rsid w:val="00D53BFC"/>
    <w:rsid w:val="00D54D1E"/>
    <w:rsid w:val="00D55862"/>
    <w:rsid w:val="00D55C32"/>
    <w:rsid w:val="00D55DF2"/>
    <w:rsid w:val="00D56528"/>
    <w:rsid w:val="00D56E75"/>
    <w:rsid w:val="00D57B2A"/>
    <w:rsid w:val="00D57BB2"/>
    <w:rsid w:val="00D614F4"/>
    <w:rsid w:val="00D61A51"/>
    <w:rsid w:val="00D61C4B"/>
    <w:rsid w:val="00D62D71"/>
    <w:rsid w:val="00D6388C"/>
    <w:rsid w:val="00D639D9"/>
    <w:rsid w:val="00D647A5"/>
    <w:rsid w:val="00D66996"/>
    <w:rsid w:val="00D669E4"/>
    <w:rsid w:val="00D6717D"/>
    <w:rsid w:val="00D674D0"/>
    <w:rsid w:val="00D678C2"/>
    <w:rsid w:val="00D67CE0"/>
    <w:rsid w:val="00D67F0D"/>
    <w:rsid w:val="00D7051C"/>
    <w:rsid w:val="00D707E1"/>
    <w:rsid w:val="00D709DB"/>
    <w:rsid w:val="00D70D81"/>
    <w:rsid w:val="00D71816"/>
    <w:rsid w:val="00D727FE"/>
    <w:rsid w:val="00D7309D"/>
    <w:rsid w:val="00D73DE4"/>
    <w:rsid w:val="00D73EDB"/>
    <w:rsid w:val="00D7543E"/>
    <w:rsid w:val="00D75556"/>
    <w:rsid w:val="00D76B16"/>
    <w:rsid w:val="00D7780A"/>
    <w:rsid w:val="00D8021C"/>
    <w:rsid w:val="00D803C8"/>
    <w:rsid w:val="00D80A2D"/>
    <w:rsid w:val="00D81A96"/>
    <w:rsid w:val="00D81E46"/>
    <w:rsid w:val="00D8223D"/>
    <w:rsid w:val="00D82C63"/>
    <w:rsid w:val="00D82E02"/>
    <w:rsid w:val="00D8302A"/>
    <w:rsid w:val="00D83828"/>
    <w:rsid w:val="00D84112"/>
    <w:rsid w:val="00D8447D"/>
    <w:rsid w:val="00D847D6"/>
    <w:rsid w:val="00D84DE2"/>
    <w:rsid w:val="00D84E09"/>
    <w:rsid w:val="00D84F32"/>
    <w:rsid w:val="00D861C9"/>
    <w:rsid w:val="00D867E7"/>
    <w:rsid w:val="00D86958"/>
    <w:rsid w:val="00D8782D"/>
    <w:rsid w:val="00D9035A"/>
    <w:rsid w:val="00D906E0"/>
    <w:rsid w:val="00D91133"/>
    <w:rsid w:val="00D9125F"/>
    <w:rsid w:val="00D9171F"/>
    <w:rsid w:val="00D91747"/>
    <w:rsid w:val="00D9181C"/>
    <w:rsid w:val="00D91AD5"/>
    <w:rsid w:val="00D91CE3"/>
    <w:rsid w:val="00D92E5B"/>
    <w:rsid w:val="00D9533C"/>
    <w:rsid w:val="00D953A6"/>
    <w:rsid w:val="00D953E1"/>
    <w:rsid w:val="00D954C5"/>
    <w:rsid w:val="00D9570B"/>
    <w:rsid w:val="00D95C67"/>
    <w:rsid w:val="00D9604F"/>
    <w:rsid w:val="00D971D5"/>
    <w:rsid w:val="00D97594"/>
    <w:rsid w:val="00D97ECE"/>
    <w:rsid w:val="00DA02F3"/>
    <w:rsid w:val="00DA1005"/>
    <w:rsid w:val="00DA12ED"/>
    <w:rsid w:val="00DA1372"/>
    <w:rsid w:val="00DA148F"/>
    <w:rsid w:val="00DA15EE"/>
    <w:rsid w:val="00DA1876"/>
    <w:rsid w:val="00DA1C12"/>
    <w:rsid w:val="00DA2664"/>
    <w:rsid w:val="00DA2ACD"/>
    <w:rsid w:val="00DA3436"/>
    <w:rsid w:val="00DA377E"/>
    <w:rsid w:val="00DA3E94"/>
    <w:rsid w:val="00DA48CA"/>
    <w:rsid w:val="00DA4FF0"/>
    <w:rsid w:val="00DA4FF9"/>
    <w:rsid w:val="00DA57E2"/>
    <w:rsid w:val="00DA5B7B"/>
    <w:rsid w:val="00DA69DA"/>
    <w:rsid w:val="00DA6A83"/>
    <w:rsid w:val="00DA6DCF"/>
    <w:rsid w:val="00DA7682"/>
    <w:rsid w:val="00DA7D07"/>
    <w:rsid w:val="00DA7E5F"/>
    <w:rsid w:val="00DB00CF"/>
    <w:rsid w:val="00DB03A3"/>
    <w:rsid w:val="00DB078C"/>
    <w:rsid w:val="00DB1830"/>
    <w:rsid w:val="00DB188D"/>
    <w:rsid w:val="00DB21AD"/>
    <w:rsid w:val="00DB267A"/>
    <w:rsid w:val="00DB2836"/>
    <w:rsid w:val="00DB2BEC"/>
    <w:rsid w:val="00DB4092"/>
    <w:rsid w:val="00DB4139"/>
    <w:rsid w:val="00DB4339"/>
    <w:rsid w:val="00DB44EA"/>
    <w:rsid w:val="00DB4B42"/>
    <w:rsid w:val="00DB4FDD"/>
    <w:rsid w:val="00DB5204"/>
    <w:rsid w:val="00DB563D"/>
    <w:rsid w:val="00DB5AF4"/>
    <w:rsid w:val="00DB6103"/>
    <w:rsid w:val="00DB6218"/>
    <w:rsid w:val="00DB6908"/>
    <w:rsid w:val="00DB6C6F"/>
    <w:rsid w:val="00DB6D2D"/>
    <w:rsid w:val="00DB6FAE"/>
    <w:rsid w:val="00DB7456"/>
    <w:rsid w:val="00DB7D26"/>
    <w:rsid w:val="00DB7DED"/>
    <w:rsid w:val="00DB7FBD"/>
    <w:rsid w:val="00DC1217"/>
    <w:rsid w:val="00DC21AB"/>
    <w:rsid w:val="00DC2C5D"/>
    <w:rsid w:val="00DC2E2A"/>
    <w:rsid w:val="00DC2F9E"/>
    <w:rsid w:val="00DC367D"/>
    <w:rsid w:val="00DC3AF2"/>
    <w:rsid w:val="00DC4080"/>
    <w:rsid w:val="00DC4F67"/>
    <w:rsid w:val="00DC54C4"/>
    <w:rsid w:val="00DC567A"/>
    <w:rsid w:val="00DC5A95"/>
    <w:rsid w:val="00DC70EE"/>
    <w:rsid w:val="00DC7708"/>
    <w:rsid w:val="00DC777A"/>
    <w:rsid w:val="00DC7CF2"/>
    <w:rsid w:val="00DD09E6"/>
    <w:rsid w:val="00DD139C"/>
    <w:rsid w:val="00DD1868"/>
    <w:rsid w:val="00DD1F79"/>
    <w:rsid w:val="00DD2A80"/>
    <w:rsid w:val="00DD2B68"/>
    <w:rsid w:val="00DD2CF2"/>
    <w:rsid w:val="00DD44AE"/>
    <w:rsid w:val="00DD4A31"/>
    <w:rsid w:val="00DD5248"/>
    <w:rsid w:val="00DD536A"/>
    <w:rsid w:val="00DD549B"/>
    <w:rsid w:val="00DD552A"/>
    <w:rsid w:val="00DD56B6"/>
    <w:rsid w:val="00DD5F99"/>
    <w:rsid w:val="00DD67E2"/>
    <w:rsid w:val="00DD6B66"/>
    <w:rsid w:val="00DD6DD4"/>
    <w:rsid w:val="00DD70B3"/>
    <w:rsid w:val="00DD7231"/>
    <w:rsid w:val="00DD7F14"/>
    <w:rsid w:val="00DE0644"/>
    <w:rsid w:val="00DE09A3"/>
    <w:rsid w:val="00DE0C89"/>
    <w:rsid w:val="00DE107B"/>
    <w:rsid w:val="00DE1D07"/>
    <w:rsid w:val="00DE234E"/>
    <w:rsid w:val="00DE24BD"/>
    <w:rsid w:val="00DE2545"/>
    <w:rsid w:val="00DE2CD3"/>
    <w:rsid w:val="00DE4860"/>
    <w:rsid w:val="00DE4B25"/>
    <w:rsid w:val="00DE4D5E"/>
    <w:rsid w:val="00DE4DED"/>
    <w:rsid w:val="00DE4E31"/>
    <w:rsid w:val="00DE4FAE"/>
    <w:rsid w:val="00DE5055"/>
    <w:rsid w:val="00DE510A"/>
    <w:rsid w:val="00DE5214"/>
    <w:rsid w:val="00DE5CCB"/>
    <w:rsid w:val="00DE62DD"/>
    <w:rsid w:val="00DE635E"/>
    <w:rsid w:val="00DE6DF6"/>
    <w:rsid w:val="00DE7B08"/>
    <w:rsid w:val="00DE7BB2"/>
    <w:rsid w:val="00DF0341"/>
    <w:rsid w:val="00DF0735"/>
    <w:rsid w:val="00DF1418"/>
    <w:rsid w:val="00DF1A12"/>
    <w:rsid w:val="00DF3EE0"/>
    <w:rsid w:val="00DF508D"/>
    <w:rsid w:val="00DF528C"/>
    <w:rsid w:val="00DF551F"/>
    <w:rsid w:val="00DF56DE"/>
    <w:rsid w:val="00DF5701"/>
    <w:rsid w:val="00DF5722"/>
    <w:rsid w:val="00DF5B57"/>
    <w:rsid w:val="00DF6A1B"/>
    <w:rsid w:val="00DF6B9D"/>
    <w:rsid w:val="00DF7203"/>
    <w:rsid w:val="00DF7B81"/>
    <w:rsid w:val="00E00AF1"/>
    <w:rsid w:val="00E01323"/>
    <w:rsid w:val="00E01439"/>
    <w:rsid w:val="00E025C0"/>
    <w:rsid w:val="00E02DD5"/>
    <w:rsid w:val="00E030D6"/>
    <w:rsid w:val="00E04425"/>
    <w:rsid w:val="00E0469A"/>
    <w:rsid w:val="00E04A59"/>
    <w:rsid w:val="00E04B1B"/>
    <w:rsid w:val="00E052FE"/>
    <w:rsid w:val="00E073FB"/>
    <w:rsid w:val="00E112CD"/>
    <w:rsid w:val="00E1171E"/>
    <w:rsid w:val="00E11DC2"/>
    <w:rsid w:val="00E121A6"/>
    <w:rsid w:val="00E12B42"/>
    <w:rsid w:val="00E12BCA"/>
    <w:rsid w:val="00E12DD5"/>
    <w:rsid w:val="00E13016"/>
    <w:rsid w:val="00E13301"/>
    <w:rsid w:val="00E1379A"/>
    <w:rsid w:val="00E139B6"/>
    <w:rsid w:val="00E13B4D"/>
    <w:rsid w:val="00E1401C"/>
    <w:rsid w:val="00E14557"/>
    <w:rsid w:val="00E146BC"/>
    <w:rsid w:val="00E148D6"/>
    <w:rsid w:val="00E14B34"/>
    <w:rsid w:val="00E14B46"/>
    <w:rsid w:val="00E15D54"/>
    <w:rsid w:val="00E15E48"/>
    <w:rsid w:val="00E15F50"/>
    <w:rsid w:val="00E16291"/>
    <w:rsid w:val="00E162C5"/>
    <w:rsid w:val="00E16CDF"/>
    <w:rsid w:val="00E17235"/>
    <w:rsid w:val="00E1740A"/>
    <w:rsid w:val="00E17595"/>
    <w:rsid w:val="00E175B9"/>
    <w:rsid w:val="00E17C61"/>
    <w:rsid w:val="00E202EB"/>
    <w:rsid w:val="00E209F6"/>
    <w:rsid w:val="00E20A4C"/>
    <w:rsid w:val="00E233E5"/>
    <w:rsid w:val="00E23FBD"/>
    <w:rsid w:val="00E2408E"/>
    <w:rsid w:val="00E245C8"/>
    <w:rsid w:val="00E24C06"/>
    <w:rsid w:val="00E24DA1"/>
    <w:rsid w:val="00E2659C"/>
    <w:rsid w:val="00E272A3"/>
    <w:rsid w:val="00E27646"/>
    <w:rsid w:val="00E27B79"/>
    <w:rsid w:val="00E27C87"/>
    <w:rsid w:val="00E30097"/>
    <w:rsid w:val="00E31E5F"/>
    <w:rsid w:val="00E320DA"/>
    <w:rsid w:val="00E3245F"/>
    <w:rsid w:val="00E328AC"/>
    <w:rsid w:val="00E32B17"/>
    <w:rsid w:val="00E33445"/>
    <w:rsid w:val="00E34163"/>
    <w:rsid w:val="00E34489"/>
    <w:rsid w:val="00E34536"/>
    <w:rsid w:val="00E34B4D"/>
    <w:rsid w:val="00E34C76"/>
    <w:rsid w:val="00E34D12"/>
    <w:rsid w:val="00E34E31"/>
    <w:rsid w:val="00E34F10"/>
    <w:rsid w:val="00E354C8"/>
    <w:rsid w:val="00E35E5D"/>
    <w:rsid w:val="00E3667B"/>
    <w:rsid w:val="00E36830"/>
    <w:rsid w:val="00E36A42"/>
    <w:rsid w:val="00E36BD8"/>
    <w:rsid w:val="00E37AE5"/>
    <w:rsid w:val="00E37B9C"/>
    <w:rsid w:val="00E41F67"/>
    <w:rsid w:val="00E420D5"/>
    <w:rsid w:val="00E423AB"/>
    <w:rsid w:val="00E42ED4"/>
    <w:rsid w:val="00E435A6"/>
    <w:rsid w:val="00E43708"/>
    <w:rsid w:val="00E43DD1"/>
    <w:rsid w:val="00E4438F"/>
    <w:rsid w:val="00E457AB"/>
    <w:rsid w:val="00E467C5"/>
    <w:rsid w:val="00E46DF8"/>
    <w:rsid w:val="00E46FAA"/>
    <w:rsid w:val="00E47999"/>
    <w:rsid w:val="00E47C03"/>
    <w:rsid w:val="00E47E8E"/>
    <w:rsid w:val="00E50B7E"/>
    <w:rsid w:val="00E50ECE"/>
    <w:rsid w:val="00E510CC"/>
    <w:rsid w:val="00E5151C"/>
    <w:rsid w:val="00E515B1"/>
    <w:rsid w:val="00E51FC2"/>
    <w:rsid w:val="00E527FD"/>
    <w:rsid w:val="00E52A2B"/>
    <w:rsid w:val="00E52B6E"/>
    <w:rsid w:val="00E52F95"/>
    <w:rsid w:val="00E5327F"/>
    <w:rsid w:val="00E5419F"/>
    <w:rsid w:val="00E544D7"/>
    <w:rsid w:val="00E5466A"/>
    <w:rsid w:val="00E54F6C"/>
    <w:rsid w:val="00E5506D"/>
    <w:rsid w:val="00E5530A"/>
    <w:rsid w:val="00E5549A"/>
    <w:rsid w:val="00E5557F"/>
    <w:rsid w:val="00E557C5"/>
    <w:rsid w:val="00E55AC1"/>
    <w:rsid w:val="00E55C63"/>
    <w:rsid w:val="00E56123"/>
    <w:rsid w:val="00E5648E"/>
    <w:rsid w:val="00E57213"/>
    <w:rsid w:val="00E57A9B"/>
    <w:rsid w:val="00E57D0B"/>
    <w:rsid w:val="00E60585"/>
    <w:rsid w:val="00E61155"/>
    <w:rsid w:val="00E613CA"/>
    <w:rsid w:val="00E62793"/>
    <w:rsid w:val="00E62F9A"/>
    <w:rsid w:val="00E64896"/>
    <w:rsid w:val="00E64CE1"/>
    <w:rsid w:val="00E65025"/>
    <w:rsid w:val="00E6527F"/>
    <w:rsid w:val="00E655A4"/>
    <w:rsid w:val="00E663A7"/>
    <w:rsid w:val="00E66B9A"/>
    <w:rsid w:val="00E66D2A"/>
    <w:rsid w:val="00E66F63"/>
    <w:rsid w:val="00E67717"/>
    <w:rsid w:val="00E6791F"/>
    <w:rsid w:val="00E67C6D"/>
    <w:rsid w:val="00E67DF8"/>
    <w:rsid w:val="00E67F37"/>
    <w:rsid w:val="00E7062D"/>
    <w:rsid w:val="00E70BC6"/>
    <w:rsid w:val="00E70E71"/>
    <w:rsid w:val="00E711E4"/>
    <w:rsid w:val="00E716B6"/>
    <w:rsid w:val="00E71AEC"/>
    <w:rsid w:val="00E7215B"/>
    <w:rsid w:val="00E7320E"/>
    <w:rsid w:val="00E733DF"/>
    <w:rsid w:val="00E7384E"/>
    <w:rsid w:val="00E73AE3"/>
    <w:rsid w:val="00E73BE5"/>
    <w:rsid w:val="00E73BF8"/>
    <w:rsid w:val="00E74446"/>
    <w:rsid w:val="00E74DC8"/>
    <w:rsid w:val="00E75987"/>
    <w:rsid w:val="00E75BD4"/>
    <w:rsid w:val="00E75FC4"/>
    <w:rsid w:val="00E76B4E"/>
    <w:rsid w:val="00E76D90"/>
    <w:rsid w:val="00E77386"/>
    <w:rsid w:val="00E77667"/>
    <w:rsid w:val="00E806BD"/>
    <w:rsid w:val="00E80EA8"/>
    <w:rsid w:val="00E810BA"/>
    <w:rsid w:val="00E819D1"/>
    <w:rsid w:val="00E82215"/>
    <w:rsid w:val="00E8301A"/>
    <w:rsid w:val="00E83870"/>
    <w:rsid w:val="00E84289"/>
    <w:rsid w:val="00E852CB"/>
    <w:rsid w:val="00E87163"/>
    <w:rsid w:val="00E878BD"/>
    <w:rsid w:val="00E878F6"/>
    <w:rsid w:val="00E87C02"/>
    <w:rsid w:val="00E87DC6"/>
    <w:rsid w:val="00E909EF"/>
    <w:rsid w:val="00E90A29"/>
    <w:rsid w:val="00E91025"/>
    <w:rsid w:val="00E91164"/>
    <w:rsid w:val="00E914EF"/>
    <w:rsid w:val="00E91F99"/>
    <w:rsid w:val="00E925AC"/>
    <w:rsid w:val="00E93A44"/>
    <w:rsid w:val="00E948BF"/>
    <w:rsid w:val="00E94EE8"/>
    <w:rsid w:val="00E952C8"/>
    <w:rsid w:val="00E96D54"/>
    <w:rsid w:val="00E96F09"/>
    <w:rsid w:val="00E970D8"/>
    <w:rsid w:val="00E9729E"/>
    <w:rsid w:val="00EA01B8"/>
    <w:rsid w:val="00EA0FBB"/>
    <w:rsid w:val="00EA1DF2"/>
    <w:rsid w:val="00EA1E69"/>
    <w:rsid w:val="00EA20BE"/>
    <w:rsid w:val="00EA21D2"/>
    <w:rsid w:val="00EA2FDA"/>
    <w:rsid w:val="00EA39C5"/>
    <w:rsid w:val="00EA4031"/>
    <w:rsid w:val="00EA42DE"/>
    <w:rsid w:val="00EA4E12"/>
    <w:rsid w:val="00EA4F9F"/>
    <w:rsid w:val="00EA5D60"/>
    <w:rsid w:val="00EA5EF8"/>
    <w:rsid w:val="00EA5F7A"/>
    <w:rsid w:val="00EA60B7"/>
    <w:rsid w:val="00EA668B"/>
    <w:rsid w:val="00EA761E"/>
    <w:rsid w:val="00EB002C"/>
    <w:rsid w:val="00EB0D94"/>
    <w:rsid w:val="00EB1091"/>
    <w:rsid w:val="00EB1163"/>
    <w:rsid w:val="00EB1517"/>
    <w:rsid w:val="00EB1571"/>
    <w:rsid w:val="00EB201D"/>
    <w:rsid w:val="00EB2407"/>
    <w:rsid w:val="00EB385B"/>
    <w:rsid w:val="00EB3968"/>
    <w:rsid w:val="00EB3FC5"/>
    <w:rsid w:val="00EB45EA"/>
    <w:rsid w:val="00EB4A7F"/>
    <w:rsid w:val="00EB4C3B"/>
    <w:rsid w:val="00EB4DAA"/>
    <w:rsid w:val="00EB4E48"/>
    <w:rsid w:val="00EB5058"/>
    <w:rsid w:val="00EB6C96"/>
    <w:rsid w:val="00EB773E"/>
    <w:rsid w:val="00EB77E8"/>
    <w:rsid w:val="00EB77FC"/>
    <w:rsid w:val="00EB7A11"/>
    <w:rsid w:val="00EB7ED0"/>
    <w:rsid w:val="00EC0083"/>
    <w:rsid w:val="00EC049F"/>
    <w:rsid w:val="00EC06E7"/>
    <w:rsid w:val="00EC0B62"/>
    <w:rsid w:val="00EC0B90"/>
    <w:rsid w:val="00EC100E"/>
    <w:rsid w:val="00EC1FC1"/>
    <w:rsid w:val="00EC251B"/>
    <w:rsid w:val="00EC2912"/>
    <w:rsid w:val="00EC2A33"/>
    <w:rsid w:val="00EC3644"/>
    <w:rsid w:val="00EC3E1F"/>
    <w:rsid w:val="00EC48F2"/>
    <w:rsid w:val="00EC4D13"/>
    <w:rsid w:val="00EC5306"/>
    <w:rsid w:val="00EC5751"/>
    <w:rsid w:val="00EC59AC"/>
    <w:rsid w:val="00EC5CFB"/>
    <w:rsid w:val="00EC61C3"/>
    <w:rsid w:val="00EC6C85"/>
    <w:rsid w:val="00EC7433"/>
    <w:rsid w:val="00EC774C"/>
    <w:rsid w:val="00EC7761"/>
    <w:rsid w:val="00ED0430"/>
    <w:rsid w:val="00ED0457"/>
    <w:rsid w:val="00ED0850"/>
    <w:rsid w:val="00ED0C66"/>
    <w:rsid w:val="00ED1F85"/>
    <w:rsid w:val="00ED2D2A"/>
    <w:rsid w:val="00ED31E6"/>
    <w:rsid w:val="00ED32D1"/>
    <w:rsid w:val="00ED3548"/>
    <w:rsid w:val="00ED38C9"/>
    <w:rsid w:val="00ED38E1"/>
    <w:rsid w:val="00ED38EF"/>
    <w:rsid w:val="00ED3947"/>
    <w:rsid w:val="00ED493E"/>
    <w:rsid w:val="00ED5D2C"/>
    <w:rsid w:val="00ED6032"/>
    <w:rsid w:val="00ED674A"/>
    <w:rsid w:val="00ED6DF2"/>
    <w:rsid w:val="00ED7031"/>
    <w:rsid w:val="00ED767D"/>
    <w:rsid w:val="00ED7DE4"/>
    <w:rsid w:val="00EE0032"/>
    <w:rsid w:val="00EE0C5E"/>
    <w:rsid w:val="00EE14D0"/>
    <w:rsid w:val="00EE1A72"/>
    <w:rsid w:val="00EE252D"/>
    <w:rsid w:val="00EE2615"/>
    <w:rsid w:val="00EE2D3F"/>
    <w:rsid w:val="00EE3026"/>
    <w:rsid w:val="00EE3223"/>
    <w:rsid w:val="00EE4CA8"/>
    <w:rsid w:val="00EE4CFE"/>
    <w:rsid w:val="00EE4D61"/>
    <w:rsid w:val="00EE535C"/>
    <w:rsid w:val="00EE5C27"/>
    <w:rsid w:val="00EE5C7B"/>
    <w:rsid w:val="00EE5D55"/>
    <w:rsid w:val="00EE5DE4"/>
    <w:rsid w:val="00EE65CE"/>
    <w:rsid w:val="00EE75B4"/>
    <w:rsid w:val="00EE76AA"/>
    <w:rsid w:val="00EE77CB"/>
    <w:rsid w:val="00EE7921"/>
    <w:rsid w:val="00EE7EAF"/>
    <w:rsid w:val="00EF0EF6"/>
    <w:rsid w:val="00EF19D4"/>
    <w:rsid w:val="00EF1FB6"/>
    <w:rsid w:val="00EF21B5"/>
    <w:rsid w:val="00EF38CD"/>
    <w:rsid w:val="00EF3A1F"/>
    <w:rsid w:val="00EF410B"/>
    <w:rsid w:val="00EF4134"/>
    <w:rsid w:val="00EF4789"/>
    <w:rsid w:val="00EF490D"/>
    <w:rsid w:val="00EF4E00"/>
    <w:rsid w:val="00EF5048"/>
    <w:rsid w:val="00EF543C"/>
    <w:rsid w:val="00EF592A"/>
    <w:rsid w:val="00EF594A"/>
    <w:rsid w:val="00EF67EE"/>
    <w:rsid w:val="00EF6B15"/>
    <w:rsid w:val="00EF6E25"/>
    <w:rsid w:val="00EF73BC"/>
    <w:rsid w:val="00EF78C7"/>
    <w:rsid w:val="00EF7F98"/>
    <w:rsid w:val="00F036CE"/>
    <w:rsid w:val="00F047CA"/>
    <w:rsid w:val="00F048BE"/>
    <w:rsid w:val="00F04D47"/>
    <w:rsid w:val="00F055A4"/>
    <w:rsid w:val="00F05B05"/>
    <w:rsid w:val="00F07B0B"/>
    <w:rsid w:val="00F07CCD"/>
    <w:rsid w:val="00F1015E"/>
    <w:rsid w:val="00F103C9"/>
    <w:rsid w:val="00F10452"/>
    <w:rsid w:val="00F10530"/>
    <w:rsid w:val="00F1061D"/>
    <w:rsid w:val="00F10623"/>
    <w:rsid w:val="00F10854"/>
    <w:rsid w:val="00F10F7F"/>
    <w:rsid w:val="00F11730"/>
    <w:rsid w:val="00F11B46"/>
    <w:rsid w:val="00F11D73"/>
    <w:rsid w:val="00F14511"/>
    <w:rsid w:val="00F14BD1"/>
    <w:rsid w:val="00F16059"/>
    <w:rsid w:val="00F16528"/>
    <w:rsid w:val="00F16879"/>
    <w:rsid w:val="00F16A24"/>
    <w:rsid w:val="00F16BEA"/>
    <w:rsid w:val="00F16C73"/>
    <w:rsid w:val="00F16E1C"/>
    <w:rsid w:val="00F20634"/>
    <w:rsid w:val="00F20C2C"/>
    <w:rsid w:val="00F2121F"/>
    <w:rsid w:val="00F21AA5"/>
    <w:rsid w:val="00F235B8"/>
    <w:rsid w:val="00F23E0C"/>
    <w:rsid w:val="00F2473A"/>
    <w:rsid w:val="00F249A7"/>
    <w:rsid w:val="00F24B29"/>
    <w:rsid w:val="00F253A4"/>
    <w:rsid w:val="00F25B7A"/>
    <w:rsid w:val="00F25BAF"/>
    <w:rsid w:val="00F268F9"/>
    <w:rsid w:val="00F2783B"/>
    <w:rsid w:val="00F30B9B"/>
    <w:rsid w:val="00F314AE"/>
    <w:rsid w:val="00F31E15"/>
    <w:rsid w:val="00F32796"/>
    <w:rsid w:val="00F3357C"/>
    <w:rsid w:val="00F3391B"/>
    <w:rsid w:val="00F33A43"/>
    <w:rsid w:val="00F33EE8"/>
    <w:rsid w:val="00F346AD"/>
    <w:rsid w:val="00F35727"/>
    <w:rsid w:val="00F35D3A"/>
    <w:rsid w:val="00F35EAA"/>
    <w:rsid w:val="00F35FC9"/>
    <w:rsid w:val="00F36052"/>
    <w:rsid w:val="00F36455"/>
    <w:rsid w:val="00F37101"/>
    <w:rsid w:val="00F377FD"/>
    <w:rsid w:val="00F379C6"/>
    <w:rsid w:val="00F37D50"/>
    <w:rsid w:val="00F400E2"/>
    <w:rsid w:val="00F409C1"/>
    <w:rsid w:val="00F41279"/>
    <w:rsid w:val="00F42EF5"/>
    <w:rsid w:val="00F430DF"/>
    <w:rsid w:val="00F43CCB"/>
    <w:rsid w:val="00F43DAD"/>
    <w:rsid w:val="00F43E99"/>
    <w:rsid w:val="00F441E3"/>
    <w:rsid w:val="00F4426F"/>
    <w:rsid w:val="00F4499C"/>
    <w:rsid w:val="00F44E39"/>
    <w:rsid w:val="00F451AC"/>
    <w:rsid w:val="00F459F6"/>
    <w:rsid w:val="00F45E11"/>
    <w:rsid w:val="00F46C82"/>
    <w:rsid w:val="00F470DF"/>
    <w:rsid w:val="00F47D04"/>
    <w:rsid w:val="00F503DB"/>
    <w:rsid w:val="00F50DBE"/>
    <w:rsid w:val="00F5120B"/>
    <w:rsid w:val="00F5128E"/>
    <w:rsid w:val="00F5143F"/>
    <w:rsid w:val="00F5190A"/>
    <w:rsid w:val="00F52125"/>
    <w:rsid w:val="00F526D0"/>
    <w:rsid w:val="00F52A0E"/>
    <w:rsid w:val="00F52A1E"/>
    <w:rsid w:val="00F5303C"/>
    <w:rsid w:val="00F53237"/>
    <w:rsid w:val="00F5339F"/>
    <w:rsid w:val="00F5434F"/>
    <w:rsid w:val="00F54CC9"/>
    <w:rsid w:val="00F551A9"/>
    <w:rsid w:val="00F552E4"/>
    <w:rsid w:val="00F56C7D"/>
    <w:rsid w:val="00F570EC"/>
    <w:rsid w:val="00F57FF5"/>
    <w:rsid w:val="00F604CA"/>
    <w:rsid w:val="00F60728"/>
    <w:rsid w:val="00F6133B"/>
    <w:rsid w:val="00F61360"/>
    <w:rsid w:val="00F6189A"/>
    <w:rsid w:val="00F61ACC"/>
    <w:rsid w:val="00F621D4"/>
    <w:rsid w:val="00F62434"/>
    <w:rsid w:val="00F626F1"/>
    <w:rsid w:val="00F62ABC"/>
    <w:rsid w:val="00F633B1"/>
    <w:rsid w:val="00F63D22"/>
    <w:rsid w:val="00F641CD"/>
    <w:rsid w:val="00F64CC3"/>
    <w:rsid w:val="00F659C0"/>
    <w:rsid w:val="00F65CA4"/>
    <w:rsid w:val="00F65ECD"/>
    <w:rsid w:val="00F6628D"/>
    <w:rsid w:val="00F663FD"/>
    <w:rsid w:val="00F66465"/>
    <w:rsid w:val="00F6748B"/>
    <w:rsid w:val="00F67661"/>
    <w:rsid w:val="00F6784E"/>
    <w:rsid w:val="00F6794E"/>
    <w:rsid w:val="00F67961"/>
    <w:rsid w:val="00F7029E"/>
    <w:rsid w:val="00F70D8E"/>
    <w:rsid w:val="00F7188C"/>
    <w:rsid w:val="00F718DB"/>
    <w:rsid w:val="00F71905"/>
    <w:rsid w:val="00F71D47"/>
    <w:rsid w:val="00F72035"/>
    <w:rsid w:val="00F72503"/>
    <w:rsid w:val="00F7251E"/>
    <w:rsid w:val="00F7427C"/>
    <w:rsid w:val="00F74429"/>
    <w:rsid w:val="00F7461A"/>
    <w:rsid w:val="00F74910"/>
    <w:rsid w:val="00F7495B"/>
    <w:rsid w:val="00F753FD"/>
    <w:rsid w:val="00F7544B"/>
    <w:rsid w:val="00F7616B"/>
    <w:rsid w:val="00F76964"/>
    <w:rsid w:val="00F76CD0"/>
    <w:rsid w:val="00F77081"/>
    <w:rsid w:val="00F770F8"/>
    <w:rsid w:val="00F773BA"/>
    <w:rsid w:val="00F77646"/>
    <w:rsid w:val="00F77BB5"/>
    <w:rsid w:val="00F77EEF"/>
    <w:rsid w:val="00F8037C"/>
    <w:rsid w:val="00F8061A"/>
    <w:rsid w:val="00F80FA7"/>
    <w:rsid w:val="00F814A1"/>
    <w:rsid w:val="00F81991"/>
    <w:rsid w:val="00F81E56"/>
    <w:rsid w:val="00F820D3"/>
    <w:rsid w:val="00F82DB3"/>
    <w:rsid w:val="00F832B9"/>
    <w:rsid w:val="00F84023"/>
    <w:rsid w:val="00F84A8D"/>
    <w:rsid w:val="00F84D7F"/>
    <w:rsid w:val="00F850BF"/>
    <w:rsid w:val="00F850E4"/>
    <w:rsid w:val="00F8787B"/>
    <w:rsid w:val="00F87ED5"/>
    <w:rsid w:val="00F911ED"/>
    <w:rsid w:val="00F915CD"/>
    <w:rsid w:val="00F919F0"/>
    <w:rsid w:val="00F91E06"/>
    <w:rsid w:val="00F91FBC"/>
    <w:rsid w:val="00F9252D"/>
    <w:rsid w:val="00F92D49"/>
    <w:rsid w:val="00F92E47"/>
    <w:rsid w:val="00F94017"/>
    <w:rsid w:val="00F941EE"/>
    <w:rsid w:val="00F944DC"/>
    <w:rsid w:val="00F94942"/>
    <w:rsid w:val="00F94BDB"/>
    <w:rsid w:val="00F9579F"/>
    <w:rsid w:val="00F96056"/>
    <w:rsid w:val="00F9660F"/>
    <w:rsid w:val="00F966B5"/>
    <w:rsid w:val="00F966F7"/>
    <w:rsid w:val="00F96AC1"/>
    <w:rsid w:val="00F96AF1"/>
    <w:rsid w:val="00F96F82"/>
    <w:rsid w:val="00F97FD6"/>
    <w:rsid w:val="00FA018B"/>
    <w:rsid w:val="00FA0315"/>
    <w:rsid w:val="00FA07F2"/>
    <w:rsid w:val="00FA0913"/>
    <w:rsid w:val="00FA1413"/>
    <w:rsid w:val="00FA14AD"/>
    <w:rsid w:val="00FA2F12"/>
    <w:rsid w:val="00FA35E0"/>
    <w:rsid w:val="00FA53DB"/>
    <w:rsid w:val="00FA54CF"/>
    <w:rsid w:val="00FA5CF8"/>
    <w:rsid w:val="00FA62CD"/>
    <w:rsid w:val="00FA67FF"/>
    <w:rsid w:val="00FA68E5"/>
    <w:rsid w:val="00FA7E4C"/>
    <w:rsid w:val="00FB069F"/>
    <w:rsid w:val="00FB06D9"/>
    <w:rsid w:val="00FB0C28"/>
    <w:rsid w:val="00FB137A"/>
    <w:rsid w:val="00FB1D52"/>
    <w:rsid w:val="00FB247C"/>
    <w:rsid w:val="00FB2D84"/>
    <w:rsid w:val="00FB2FA4"/>
    <w:rsid w:val="00FB3369"/>
    <w:rsid w:val="00FB3D42"/>
    <w:rsid w:val="00FB3F7A"/>
    <w:rsid w:val="00FB442D"/>
    <w:rsid w:val="00FB4999"/>
    <w:rsid w:val="00FB7023"/>
    <w:rsid w:val="00FB70F5"/>
    <w:rsid w:val="00FB716E"/>
    <w:rsid w:val="00FB74A3"/>
    <w:rsid w:val="00FB782E"/>
    <w:rsid w:val="00FC0A13"/>
    <w:rsid w:val="00FC101E"/>
    <w:rsid w:val="00FC12DC"/>
    <w:rsid w:val="00FC18AF"/>
    <w:rsid w:val="00FC1C29"/>
    <w:rsid w:val="00FC2182"/>
    <w:rsid w:val="00FC2C74"/>
    <w:rsid w:val="00FC2EA6"/>
    <w:rsid w:val="00FC30F8"/>
    <w:rsid w:val="00FC3139"/>
    <w:rsid w:val="00FC337B"/>
    <w:rsid w:val="00FC3A87"/>
    <w:rsid w:val="00FC3D4C"/>
    <w:rsid w:val="00FC408D"/>
    <w:rsid w:val="00FC4A79"/>
    <w:rsid w:val="00FC65D3"/>
    <w:rsid w:val="00FC6FC9"/>
    <w:rsid w:val="00FC7260"/>
    <w:rsid w:val="00FC75A6"/>
    <w:rsid w:val="00FD09C3"/>
    <w:rsid w:val="00FD14F9"/>
    <w:rsid w:val="00FD1CBF"/>
    <w:rsid w:val="00FD3722"/>
    <w:rsid w:val="00FD467E"/>
    <w:rsid w:val="00FD47C0"/>
    <w:rsid w:val="00FD596C"/>
    <w:rsid w:val="00FD6AB0"/>
    <w:rsid w:val="00FD7828"/>
    <w:rsid w:val="00FD7D82"/>
    <w:rsid w:val="00FE010C"/>
    <w:rsid w:val="00FE1C21"/>
    <w:rsid w:val="00FE1D1C"/>
    <w:rsid w:val="00FE2C43"/>
    <w:rsid w:val="00FE3865"/>
    <w:rsid w:val="00FE3AEF"/>
    <w:rsid w:val="00FE3C82"/>
    <w:rsid w:val="00FE3E3A"/>
    <w:rsid w:val="00FE4544"/>
    <w:rsid w:val="00FE49CF"/>
    <w:rsid w:val="00FE4A20"/>
    <w:rsid w:val="00FE50B9"/>
    <w:rsid w:val="00FE5B67"/>
    <w:rsid w:val="00FE5C88"/>
    <w:rsid w:val="00FE5E01"/>
    <w:rsid w:val="00FE5ED6"/>
    <w:rsid w:val="00FE60E0"/>
    <w:rsid w:val="00FE68E8"/>
    <w:rsid w:val="00FE6DEE"/>
    <w:rsid w:val="00FE71E1"/>
    <w:rsid w:val="00FE73BF"/>
    <w:rsid w:val="00FE7E70"/>
    <w:rsid w:val="00FF001A"/>
    <w:rsid w:val="00FF00D6"/>
    <w:rsid w:val="00FF0358"/>
    <w:rsid w:val="00FF097F"/>
    <w:rsid w:val="00FF09EC"/>
    <w:rsid w:val="00FF0A01"/>
    <w:rsid w:val="00FF0C9E"/>
    <w:rsid w:val="00FF2166"/>
    <w:rsid w:val="00FF2D09"/>
    <w:rsid w:val="00FF316D"/>
    <w:rsid w:val="00FF3292"/>
    <w:rsid w:val="00FF34A5"/>
    <w:rsid w:val="00FF3876"/>
    <w:rsid w:val="00FF3877"/>
    <w:rsid w:val="00FF3B54"/>
    <w:rsid w:val="00FF4345"/>
    <w:rsid w:val="00FF4ED4"/>
    <w:rsid w:val="00FF4FB8"/>
    <w:rsid w:val="00FF57C4"/>
    <w:rsid w:val="00FF5BF0"/>
    <w:rsid w:val="00FF628B"/>
    <w:rsid w:val="00FF6B57"/>
    <w:rsid w:val="00FF720D"/>
    <w:rsid w:val="00FF76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DC5EB97"/>
  <w15:docId w15:val="{AD7B478A-E425-4399-A84E-7B46A93EE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179A5"/>
    <w:pPr>
      <w:jc w:val="both"/>
    </w:pPr>
    <w:rPr>
      <w:rFonts w:ascii="Arial" w:hAnsi="Arial"/>
      <w:sz w:val="22"/>
      <w:szCs w:val="24"/>
    </w:rPr>
  </w:style>
  <w:style w:type="paragraph" w:styleId="Heading1">
    <w:name w:val="heading 1"/>
    <w:basedOn w:val="Normal"/>
    <w:next w:val="Normal"/>
    <w:link w:val="Heading1Char"/>
    <w:qFormat/>
    <w:rsid w:val="00C92ADF"/>
    <w:pPr>
      <w:outlineLvl w:val="0"/>
    </w:pPr>
    <w:rPr>
      <w:rFonts w:cs="Courier New"/>
      <w:b/>
      <w:color w:val="0070C0"/>
      <w:sz w:val="36"/>
      <w:szCs w:val="36"/>
    </w:rPr>
  </w:style>
  <w:style w:type="paragraph" w:styleId="Heading2">
    <w:name w:val="heading 2"/>
    <w:basedOn w:val="Normal"/>
    <w:next w:val="Normal"/>
    <w:link w:val="Heading2Char"/>
    <w:qFormat/>
    <w:rsid w:val="00640CDF"/>
    <w:pPr>
      <w:numPr>
        <w:ilvl w:val="3"/>
        <w:numId w:val="16"/>
      </w:numPr>
      <w:spacing w:after="120"/>
      <w:outlineLvl w:val="1"/>
    </w:pPr>
    <w:rPr>
      <w:rFonts w:cs="Arial"/>
      <w:b/>
      <w:color w:val="0070C0"/>
      <w:szCs w:val="22"/>
    </w:rPr>
  </w:style>
  <w:style w:type="paragraph" w:styleId="Heading3">
    <w:name w:val="heading 3"/>
    <w:basedOn w:val="Normal"/>
    <w:next w:val="Normal"/>
    <w:link w:val="Heading3Char"/>
    <w:qFormat/>
    <w:rsid w:val="00C92ADF"/>
    <w:pPr>
      <w:outlineLvl w:val="2"/>
    </w:pPr>
    <w:rPr>
      <w:rFonts w:cs="Arial"/>
      <w:b/>
      <w:noProof/>
      <w:szCs w:val="22"/>
    </w:rPr>
  </w:style>
  <w:style w:type="paragraph" w:styleId="Heading4">
    <w:name w:val="heading 4"/>
    <w:basedOn w:val="Normal"/>
    <w:next w:val="Normal"/>
    <w:link w:val="Heading4Char"/>
    <w:semiHidden/>
    <w:unhideWhenUsed/>
    <w:qFormat/>
    <w:rsid w:val="007F5DB3"/>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7F5DB3"/>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7F5DB3"/>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35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CD3E1F"/>
    <w:pPr>
      <w:spacing w:after="120"/>
    </w:pPr>
    <w:rPr>
      <w:sz w:val="20"/>
      <w:szCs w:val="20"/>
      <w:lang w:eastAsia="en-US"/>
    </w:rPr>
  </w:style>
  <w:style w:type="paragraph" w:styleId="BalloonText">
    <w:name w:val="Balloon Text"/>
    <w:basedOn w:val="Normal"/>
    <w:link w:val="BalloonTextChar"/>
    <w:rsid w:val="00D7543E"/>
    <w:rPr>
      <w:rFonts w:ascii="Tahoma" w:hAnsi="Tahoma" w:cs="Tahoma"/>
      <w:sz w:val="16"/>
      <w:szCs w:val="16"/>
    </w:rPr>
  </w:style>
  <w:style w:type="paragraph" w:styleId="Header">
    <w:name w:val="header"/>
    <w:basedOn w:val="Normal"/>
    <w:link w:val="HeaderChar"/>
    <w:uiPriority w:val="99"/>
    <w:rsid w:val="00AD389B"/>
    <w:pPr>
      <w:tabs>
        <w:tab w:val="center" w:pos="4513"/>
        <w:tab w:val="right" w:pos="9026"/>
      </w:tabs>
    </w:pPr>
  </w:style>
  <w:style w:type="character" w:customStyle="1" w:styleId="HeaderChar">
    <w:name w:val="Header Char"/>
    <w:link w:val="Header"/>
    <w:uiPriority w:val="99"/>
    <w:rsid w:val="00AD389B"/>
    <w:rPr>
      <w:sz w:val="24"/>
      <w:szCs w:val="24"/>
    </w:rPr>
  </w:style>
  <w:style w:type="paragraph" w:styleId="Footer">
    <w:name w:val="footer"/>
    <w:basedOn w:val="Normal"/>
    <w:link w:val="FooterChar"/>
    <w:uiPriority w:val="99"/>
    <w:rsid w:val="00AD389B"/>
    <w:pPr>
      <w:tabs>
        <w:tab w:val="center" w:pos="4513"/>
        <w:tab w:val="right" w:pos="9026"/>
      </w:tabs>
    </w:pPr>
  </w:style>
  <w:style w:type="character" w:customStyle="1" w:styleId="FooterChar">
    <w:name w:val="Footer Char"/>
    <w:link w:val="Footer"/>
    <w:uiPriority w:val="99"/>
    <w:rsid w:val="00AD389B"/>
    <w:rPr>
      <w:sz w:val="24"/>
      <w:szCs w:val="24"/>
    </w:rPr>
  </w:style>
  <w:style w:type="paragraph" w:customStyle="1" w:styleId="Bullet1">
    <w:name w:val="Bullet 1"/>
    <w:basedOn w:val="Normal"/>
    <w:link w:val="Bullet1CharChar"/>
    <w:rsid w:val="00A14C52"/>
    <w:pPr>
      <w:numPr>
        <w:numId w:val="6"/>
      </w:numPr>
      <w:spacing w:line="300" w:lineRule="atLeast"/>
    </w:pPr>
  </w:style>
  <w:style w:type="character" w:customStyle="1" w:styleId="Bullet1CharChar">
    <w:name w:val="Bullet 1 Char Char"/>
    <w:link w:val="Bullet1"/>
    <w:rsid w:val="00A14C52"/>
    <w:rPr>
      <w:rFonts w:ascii="Arial" w:hAnsi="Arial"/>
      <w:sz w:val="22"/>
      <w:szCs w:val="24"/>
    </w:rPr>
  </w:style>
  <w:style w:type="paragraph" w:customStyle="1" w:styleId="darkgreenbullet">
    <w:name w:val="dark green bullet"/>
    <w:basedOn w:val="Bullet1"/>
    <w:rsid w:val="00A14C52"/>
    <w:pPr>
      <w:numPr>
        <w:numId w:val="5"/>
      </w:numPr>
      <w:tabs>
        <w:tab w:val="num" w:pos="360"/>
        <w:tab w:val="num" w:pos="1500"/>
      </w:tabs>
      <w:ind w:hanging="720"/>
    </w:pPr>
    <w:rPr>
      <w:b/>
      <w:color w:val="006633"/>
      <w:sz w:val="28"/>
    </w:rPr>
  </w:style>
  <w:style w:type="character" w:styleId="Emphasis">
    <w:name w:val="Emphasis"/>
    <w:uiPriority w:val="20"/>
    <w:qFormat/>
    <w:rsid w:val="00A14C52"/>
    <w:rPr>
      <w:i/>
      <w:iCs/>
    </w:rPr>
  </w:style>
  <w:style w:type="character" w:styleId="Strong">
    <w:name w:val="Strong"/>
    <w:uiPriority w:val="22"/>
    <w:qFormat/>
    <w:rsid w:val="00A14C52"/>
    <w:rPr>
      <w:b/>
      <w:bCs/>
    </w:rPr>
  </w:style>
  <w:style w:type="paragraph" w:styleId="BodyText2">
    <w:name w:val="Body Text 2"/>
    <w:basedOn w:val="Normal"/>
    <w:link w:val="BodyText2Char"/>
    <w:rsid w:val="00A14C52"/>
    <w:pPr>
      <w:spacing w:after="120" w:line="480" w:lineRule="auto"/>
    </w:pPr>
  </w:style>
  <w:style w:type="character" w:styleId="PageNumber">
    <w:name w:val="page number"/>
    <w:basedOn w:val="DefaultParagraphFont"/>
    <w:rsid w:val="00A14C52"/>
  </w:style>
  <w:style w:type="character" w:styleId="Hyperlink">
    <w:name w:val="Hyperlink"/>
    <w:uiPriority w:val="99"/>
    <w:rsid w:val="00AA22BA"/>
    <w:rPr>
      <w:color w:val="0000FF"/>
      <w:u w:val="single"/>
    </w:rPr>
  </w:style>
  <w:style w:type="character" w:styleId="FootnoteReference">
    <w:name w:val="footnote reference"/>
    <w:uiPriority w:val="99"/>
    <w:semiHidden/>
    <w:rsid w:val="0086235B"/>
    <w:rPr>
      <w:vertAlign w:val="superscript"/>
    </w:rPr>
  </w:style>
  <w:style w:type="paragraph" w:customStyle="1" w:styleId="inlinenormal">
    <w:name w:val="inlinenormal"/>
    <w:basedOn w:val="Normal"/>
    <w:rsid w:val="0086235B"/>
    <w:pPr>
      <w:autoSpaceDN w:val="0"/>
      <w:spacing w:before="120" w:after="60" w:line="264" w:lineRule="auto"/>
    </w:pPr>
    <w:rPr>
      <w:rFonts w:cs="Arial"/>
    </w:rPr>
  </w:style>
  <w:style w:type="paragraph" w:styleId="ListParagraph">
    <w:name w:val="List Paragraph"/>
    <w:basedOn w:val="Normal"/>
    <w:link w:val="ListParagraphChar"/>
    <w:uiPriority w:val="34"/>
    <w:qFormat/>
    <w:rsid w:val="00A5395E"/>
    <w:pPr>
      <w:ind w:left="720"/>
    </w:pPr>
  </w:style>
  <w:style w:type="paragraph" w:customStyle="1" w:styleId="Default">
    <w:name w:val="Default"/>
    <w:rsid w:val="001D288C"/>
    <w:pPr>
      <w:autoSpaceDE w:val="0"/>
      <w:autoSpaceDN w:val="0"/>
      <w:adjustRightInd w:val="0"/>
    </w:pPr>
    <w:rPr>
      <w:rFonts w:ascii="Calibri" w:hAnsi="Calibri" w:cs="Calibri"/>
      <w:color w:val="000000"/>
      <w:sz w:val="24"/>
      <w:szCs w:val="24"/>
    </w:rPr>
  </w:style>
  <w:style w:type="character" w:customStyle="1" w:styleId="Heading1Char">
    <w:name w:val="Heading 1 Char"/>
    <w:basedOn w:val="DefaultParagraphFont"/>
    <w:link w:val="Heading1"/>
    <w:rsid w:val="00C92ADF"/>
    <w:rPr>
      <w:rFonts w:ascii="Arial" w:hAnsi="Arial" w:cs="Courier New"/>
      <w:b/>
      <w:color w:val="0070C0"/>
      <w:sz w:val="36"/>
      <w:szCs w:val="36"/>
    </w:rPr>
  </w:style>
  <w:style w:type="paragraph" w:styleId="TOCHeading">
    <w:name w:val="TOC Heading"/>
    <w:basedOn w:val="Heading1"/>
    <w:next w:val="Normal"/>
    <w:uiPriority w:val="39"/>
    <w:unhideWhenUsed/>
    <w:qFormat/>
    <w:rsid w:val="00D02225"/>
    <w:pPr>
      <w:keepNext/>
      <w:keepLines/>
      <w:spacing w:before="24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1">
    <w:name w:val="toc 1"/>
    <w:basedOn w:val="Normal"/>
    <w:next w:val="Normal"/>
    <w:autoRedefine/>
    <w:uiPriority w:val="39"/>
    <w:unhideWhenUsed/>
    <w:rsid w:val="00D02225"/>
    <w:pPr>
      <w:spacing w:after="100"/>
    </w:pPr>
  </w:style>
  <w:style w:type="paragraph" w:styleId="TOC2">
    <w:name w:val="toc 2"/>
    <w:basedOn w:val="Normal"/>
    <w:next w:val="Normal"/>
    <w:autoRedefine/>
    <w:uiPriority w:val="39"/>
    <w:unhideWhenUsed/>
    <w:rsid w:val="005E5D62"/>
    <w:pPr>
      <w:tabs>
        <w:tab w:val="left" w:pos="709"/>
        <w:tab w:val="right" w:leader="dot" w:pos="9883"/>
      </w:tabs>
      <w:spacing w:after="100"/>
      <w:ind w:left="709" w:hanging="489"/>
    </w:pPr>
  </w:style>
  <w:style w:type="paragraph" w:styleId="TOC3">
    <w:name w:val="toc 3"/>
    <w:basedOn w:val="Normal"/>
    <w:next w:val="Normal"/>
    <w:autoRedefine/>
    <w:uiPriority w:val="39"/>
    <w:unhideWhenUsed/>
    <w:rsid w:val="00D04FC9"/>
    <w:pPr>
      <w:spacing w:after="100"/>
      <w:ind w:left="440"/>
    </w:pPr>
  </w:style>
  <w:style w:type="paragraph" w:styleId="BodyText3">
    <w:name w:val="Body Text 3"/>
    <w:basedOn w:val="Normal"/>
    <w:link w:val="BodyText3Char"/>
    <w:unhideWhenUsed/>
    <w:rsid w:val="00531025"/>
    <w:pPr>
      <w:spacing w:after="120"/>
    </w:pPr>
    <w:rPr>
      <w:sz w:val="16"/>
      <w:szCs w:val="16"/>
    </w:rPr>
  </w:style>
  <w:style w:type="character" w:customStyle="1" w:styleId="BodyText3Char">
    <w:name w:val="Body Text 3 Char"/>
    <w:basedOn w:val="DefaultParagraphFont"/>
    <w:link w:val="BodyText3"/>
    <w:rsid w:val="00531025"/>
    <w:rPr>
      <w:rFonts w:ascii="Arial" w:hAnsi="Arial"/>
      <w:sz w:val="16"/>
      <w:szCs w:val="16"/>
    </w:rPr>
  </w:style>
  <w:style w:type="character" w:styleId="CommentReference">
    <w:name w:val="annotation reference"/>
    <w:basedOn w:val="DefaultParagraphFont"/>
    <w:unhideWhenUsed/>
    <w:rsid w:val="00EC100E"/>
    <w:rPr>
      <w:sz w:val="16"/>
      <w:szCs w:val="16"/>
    </w:rPr>
  </w:style>
  <w:style w:type="paragraph" w:styleId="CommentText">
    <w:name w:val="annotation text"/>
    <w:basedOn w:val="Normal"/>
    <w:link w:val="CommentTextChar"/>
    <w:unhideWhenUsed/>
    <w:rsid w:val="00EC100E"/>
    <w:rPr>
      <w:sz w:val="20"/>
      <w:szCs w:val="20"/>
    </w:rPr>
  </w:style>
  <w:style w:type="character" w:customStyle="1" w:styleId="CommentTextChar">
    <w:name w:val="Comment Text Char"/>
    <w:basedOn w:val="DefaultParagraphFont"/>
    <w:link w:val="CommentText"/>
    <w:rsid w:val="00EC100E"/>
    <w:rPr>
      <w:rFonts w:ascii="Arial" w:hAnsi="Arial"/>
    </w:rPr>
  </w:style>
  <w:style w:type="paragraph" w:styleId="CommentSubject">
    <w:name w:val="annotation subject"/>
    <w:basedOn w:val="CommentText"/>
    <w:next w:val="CommentText"/>
    <w:link w:val="CommentSubjectChar"/>
    <w:semiHidden/>
    <w:unhideWhenUsed/>
    <w:rsid w:val="00EC100E"/>
    <w:rPr>
      <w:b/>
      <w:bCs/>
    </w:rPr>
  </w:style>
  <w:style w:type="character" w:customStyle="1" w:styleId="CommentSubjectChar">
    <w:name w:val="Comment Subject Char"/>
    <w:basedOn w:val="CommentTextChar"/>
    <w:link w:val="CommentSubject"/>
    <w:semiHidden/>
    <w:rsid w:val="00EC100E"/>
    <w:rPr>
      <w:rFonts w:ascii="Arial" w:hAnsi="Arial"/>
      <w:b/>
      <w:bCs/>
    </w:rPr>
  </w:style>
  <w:style w:type="numbering" w:customStyle="1" w:styleId="NoList1">
    <w:name w:val="No List1"/>
    <w:next w:val="NoList"/>
    <w:uiPriority w:val="99"/>
    <w:semiHidden/>
    <w:unhideWhenUsed/>
    <w:rsid w:val="00672C4C"/>
  </w:style>
  <w:style w:type="table" w:customStyle="1" w:styleId="TableGrid1">
    <w:name w:val="Table Grid1"/>
    <w:basedOn w:val="TableNormal"/>
    <w:next w:val="TableGrid"/>
    <w:uiPriority w:val="39"/>
    <w:rsid w:val="00672C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rsid w:val="00672C4C"/>
    <w:pPr>
      <w:tabs>
        <w:tab w:val="left" w:pos="567"/>
        <w:tab w:val="left" w:pos="1134"/>
        <w:tab w:val="left" w:pos="1701"/>
        <w:tab w:val="left" w:pos="2268"/>
        <w:tab w:val="left" w:pos="2835"/>
      </w:tabs>
      <w:spacing w:line="250" w:lineRule="exact"/>
      <w:ind w:left="567" w:right="142" w:hanging="567"/>
    </w:pPr>
    <w:rPr>
      <w:rFonts w:ascii="Century Gothic" w:hAnsi="Century Gothic"/>
      <w:sz w:val="18"/>
      <w:szCs w:val="20"/>
      <w:lang w:eastAsia="en-US"/>
    </w:rPr>
  </w:style>
  <w:style w:type="paragraph" w:customStyle="1" w:styleId="BodyText1">
    <w:name w:val="Body Text1"/>
    <w:basedOn w:val="Normal"/>
    <w:link w:val="BodytextChar0"/>
    <w:rsid w:val="00672C4C"/>
    <w:pPr>
      <w:spacing w:before="140" w:line="300" w:lineRule="atLeast"/>
    </w:pPr>
    <w:rPr>
      <w:lang w:val="x-none" w:eastAsia="x-none"/>
    </w:rPr>
  </w:style>
  <w:style w:type="character" w:customStyle="1" w:styleId="BodytextChar0">
    <w:name w:val="Body text Char"/>
    <w:link w:val="BodyText1"/>
    <w:rsid w:val="00672C4C"/>
    <w:rPr>
      <w:rFonts w:ascii="Arial" w:hAnsi="Arial"/>
      <w:sz w:val="22"/>
      <w:szCs w:val="24"/>
      <w:lang w:val="x-none" w:eastAsia="x-none"/>
    </w:rPr>
  </w:style>
  <w:style w:type="character" w:customStyle="1" w:styleId="BalloonTextChar">
    <w:name w:val="Balloon Text Char"/>
    <w:basedOn w:val="DefaultParagraphFont"/>
    <w:link w:val="BalloonText"/>
    <w:rsid w:val="00672C4C"/>
    <w:rPr>
      <w:rFonts w:ascii="Tahoma" w:hAnsi="Tahoma" w:cs="Tahoma"/>
      <w:sz w:val="16"/>
      <w:szCs w:val="16"/>
    </w:rPr>
  </w:style>
  <w:style w:type="paragraph" w:customStyle="1" w:styleId="ExampleText">
    <w:name w:val="ExampleText"/>
    <w:basedOn w:val="BODY"/>
    <w:uiPriority w:val="99"/>
    <w:rsid w:val="00672C4C"/>
    <w:pPr>
      <w:keepLines/>
      <w:widowControl w:val="0"/>
      <w:tabs>
        <w:tab w:val="clear" w:pos="567"/>
        <w:tab w:val="clear" w:pos="1134"/>
        <w:tab w:val="clear" w:pos="1701"/>
        <w:tab w:val="clear" w:pos="2268"/>
        <w:tab w:val="clear" w:pos="2835"/>
      </w:tabs>
      <w:suppressAutoHyphens/>
      <w:autoSpaceDE w:val="0"/>
      <w:autoSpaceDN w:val="0"/>
      <w:adjustRightInd w:val="0"/>
      <w:spacing w:before="150" w:line="260" w:lineRule="atLeast"/>
      <w:ind w:left="680" w:right="0" w:firstLine="0"/>
      <w:jc w:val="left"/>
      <w:textAlignment w:val="baseline"/>
    </w:pPr>
    <w:rPr>
      <w:rFonts w:ascii="DIN-Regular" w:hAnsi="DIN-Regular" w:cs="DIN-Regular"/>
      <w:color w:val="000000"/>
      <w:szCs w:val="18"/>
      <w:lang w:val="en-US" w:eastAsia="en-GB"/>
    </w:rPr>
  </w:style>
  <w:style w:type="character" w:customStyle="1" w:styleId="BodyTextChar">
    <w:name w:val="Body Text Char"/>
    <w:basedOn w:val="DefaultParagraphFont"/>
    <w:link w:val="BodyText"/>
    <w:rsid w:val="00672C4C"/>
    <w:rPr>
      <w:rFonts w:ascii="Arial" w:hAnsi="Arial"/>
      <w:lang w:eastAsia="en-US"/>
    </w:rPr>
  </w:style>
  <w:style w:type="character" w:customStyle="1" w:styleId="Heading2Char">
    <w:name w:val="Heading 2 Char"/>
    <w:basedOn w:val="DefaultParagraphFont"/>
    <w:link w:val="Heading2"/>
    <w:rsid w:val="00640CDF"/>
    <w:rPr>
      <w:rFonts w:ascii="Arial" w:hAnsi="Arial" w:cs="Arial"/>
      <w:b/>
      <w:color w:val="0070C0"/>
      <w:sz w:val="22"/>
      <w:szCs w:val="22"/>
    </w:rPr>
  </w:style>
  <w:style w:type="table" w:customStyle="1" w:styleId="TableGrid2">
    <w:name w:val="Table Grid2"/>
    <w:basedOn w:val="TableNormal"/>
    <w:next w:val="TableGrid"/>
    <w:uiPriority w:val="39"/>
    <w:rsid w:val="008577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BF59DF"/>
  </w:style>
  <w:style w:type="paragraph" w:styleId="Subtitle">
    <w:name w:val="Subtitle"/>
    <w:basedOn w:val="Normal"/>
    <w:next w:val="Normal"/>
    <w:link w:val="SubtitleChar"/>
    <w:qFormat/>
    <w:rsid w:val="00DD09E6"/>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DD09E6"/>
    <w:rPr>
      <w:rFonts w:asciiTheme="minorHAnsi" w:eastAsiaTheme="minorEastAsia" w:hAnsiTheme="minorHAnsi" w:cstheme="minorBidi"/>
      <w:color w:val="5A5A5A" w:themeColor="text1" w:themeTint="A5"/>
      <w:spacing w:val="15"/>
      <w:sz w:val="22"/>
      <w:szCs w:val="22"/>
    </w:rPr>
  </w:style>
  <w:style w:type="paragraph" w:customStyle="1" w:styleId="Bullet1-BV">
    <w:name w:val="Bullet 1 - BV"/>
    <w:rsid w:val="00D67F0D"/>
    <w:pPr>
      <w:numPr>
        <w:numId w:val="26"/>
      </w:numPr>
      <w:spacing w:before="120" w:after="120"/>
    </w:pPr>
    <w:rPr>
      <w:rFonts w:ascii="Arial" w:hAnsi="Arial"/>
      <w:color w:val="000000"/>
      <w:sz w:val="22"/>
    </w:rPr>
  </w:style>
  <w:style w:type="paragraph" w:customStyle="1" w:styleId="23ACBodytextno">
    <w:name w:val="23. AC Body text (no #)"/>
    <w:basedOn w:val="Normal"/>
    <w:rsid w:val="00D67F0D"/>
    <w:pPr>
      <w:tabs>
        <w:tab w:val="left" w:pos="357"/>
      </w:tabs>
      <w:spacing w:before="40" w:after="40" w:line="260" w:lineRule="atLeast"/>
      <w:jc w:val="left"/>
    </w:pPr>
    <w:rPr>
      <w:rFonts w:ascii="Verdana" w:hAnsi="Verdana"/>
      <w:sz w:val="18"/>
      <w:szCs w:val="22"/>
      <w:lang w:eastAsia="en-US"/>
    </w:rPr>
  </w:style>
  <w:style w:type="paragraph" w:customStyle="1" w:styleId="msolistparagraph0">
    <w:name w:val="msolistparagraph"/>
    <w:basedOn w:val="Normal"/>
    <w:rsid w:val="00D67F0D"/>
    <w:pPr>
      <w:ind w:left="720"/>
      <w:jc w:val="left"/>
    </w:pPr>
    <w:rPr>
      <w:rFonts w:ascii="Calibri" w:hAnsi="Calibri"/>
      <w:szCs w:val="22"/>
      <w:lang w:eastAsia="en-US"/>
    </w:rPr>
  </w:style>
  <w:style w:type="table" w:styleId="GridTable5Dark-Accent1">
    <w:name w:val="Grid Table 5 Dark Accent 1"/>
    <w:basedOn w:val="TableNormal"/>
    <w:uiPriority w:val="50"/>
    <w:rsid w:val="003336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Heading3Char">
    <w:name w:val="Heading 3 Char"/>
    <w:basedOn w:val="DefaultParagraphFont"/>
    <w:link w:val="Heading3"/>
    <w:rsid w:val="007D015B"/>
    <w:rPr>
      <w:rFonts w:ascii="Arial" w:hAnsi="Arial" w:cs="Arial"/>
      <w:b/>
      <w:noProof/>
      <w:sz w:val="22"/>
      <w:szCs w:val="22"/>
    </w:rPr>
  </w:style>
  <w:style w:type="paragraph" w:customStyle="1" w:styleId="straight">
    <w:name w:val="straight"/>
    <w:basedOn w:val="Normal"/>
    <w:rsid w:val="00C47B7D"/>
    <w:rPr>
      <w:sz w:val="24"/>
      <w:szCs w:val="20"/>
    </w:rPr>
  </w:style>
  <w:style w:type="character" w:customStyle="1" w:styleId="italic1">
    <w:name w:val="italic1"/>
    <w:rsid w:val="00C47B7D"/>
    <w:rPr>
      <w:i/>
      <w:iCs/>
    </w:rPr>
  </w:style>
  <w:style w:type="paragraph" w:customStyle="1" w:styleId="exampletext0">
    <w:name w:val="exampletext"/>
    <w:basedOn w:val="Normal"/>
    <w:rsid w:val="00C47B7D"/>
    <w:pPr>
      <w:spacing w:before="100" w:beforeAutospacing="1" w:after="100" w:afterAutospacing="1"/>
      <w:jc w:val="left"/>
    </w:pPr>
    <w:rPr>
      <w:rFonts w:ascii="Verdana" w:hAnsi="Verdana"/>
      <w:color w:val="60227B"/>
      <w:sz w:val="18"/>
      <w:szCs w:val="18"/>
    </w:rPr>
  </w:style>
  <w:style w:type="table" w:customStyle="1" w:styleId="TableGrid3">
    <w:name w:val="Table Grid3"/>
    <w:basedOn w:val="TableNormal"/>
    <w:next w:val="TableGrid"/>
    <w:uiPriority w:val="39"/>
    <w:rsid w:val="00C47B7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47B7D"/>
    <w:rPr>
      <w:rFonts w:ascii="Arial" w:hAnsi="Arial"/>
      <w:sz w:val="22"/>
    </w:rPr>
  </w:style>
  <w:style w:type="character" w:customStyle="1" w:styleId="BodyText2Char">
    <w:name w:val="Body Text 2 Char"/>
    <w:basedOn w:val="DefaultParagraphFont"/>
    <w:link w:val="BodyText2"/>
    <w:rsid w:val="00C3492A"/>
    <w:rPr>
      <w:rFonts w:ascii="Arial" w:hAnsi="Arial"/>
      <w:sz w:val="22"/>
      <w:szCs w:val="24"/>
    </w:rPr>
  </w:style>
  <w:style w:type="table" w:customStyle="1" w:styleId="TableGrid0">
    <w:name w:val="TableGrid"/>
    <w:rsid w:val="00546414"/>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10">
    <w:name w:val="TableGrid1"/>
    <w:rsid w:val="00546414"/>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20">
    <w:name w:val="TableGrid2"/>
    <w:rsid w:val="00546414"/>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30">
    <w:name w:val="TableGrid3"/>
    <w:rsid w:val="00546414"/>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FootnoteText">
    <w:name w:val="footnote text"/>
    <w:basedOn w:val="Normal"/>
    <w:link w:val="FootnoteTextChar"/>
    <w:uiPriority w:val="99"/>
    <w:semiHidden/>
    <w:unhideWhenUsed/>
    <w:rsid w:val="00546414"/>
    <w:pPr>
      <w:jc w:val="left"/>
    </w:pPr>
    <w:rPr>
      <w:sz w:val="20"/>
      <w:szCs w:val="20"/>
    </w:rPr>
  </w:style>
  <w:style w:type="character" w:customStyle="1" w:styleId="FootnoteTextChar">
    <w:name w:val="Footnote Text Char"/>
    <w:basedOn w:val="DefaultParagraphFont"/>
    <w:link w:val="FootnoteText"/>
    <w:uiPriority w:val="99"/>
    <w:semiHidden/>
    <w:rsid w:val="00546414"/>
    <w:rPr>
      <w:rFonts w:ascii="Arial" w:hAnsi="Arial"/>
    </w:rPr>
  </w:style>
  <w:style w:type="paragraph" w:customStyle="1" w:styleId="Style1">
    <w:name w:val="Style1"/>
    <w:basedOn w:val="Normal"/>
    <w:link w:val="Style1Char"/>
    <w:qFormat/>
    <w:rsid w:val="00A37B7A"/>
    <w:pPr>
      <w:keepNext/>
      <w:keepLines/>
      <w:spacing w:line="259" w:lineRule="auto"/>
      <w:outlineLvl w:val="0"/>
    </w:pPr>
    <w:rPr>
      <w:rFonts w:ascii="Century Gothic" w:eastAsia="Century Gothic" w:hAnsi="Century Gothic" w:cs="Century Gothic"/>
      <w:b/>
      <w:sz w:val="96"/>
      <w:szCs w:val="22"/>
    </w:rPr>
  </w:style>
  <w:style w:type="paragraph" w:styleId="Index1">
    <w:name w:val="index 1"/>
    <w:basedOn w:val="Normal"/>
    <w:next w:val="Normal"/>
    <w:autoRedefine/>
    <w:semiHidden/>
    <w:unhideWhenUsed/>
    <w:rsid w:val="0003274A"/>
    <w:pPr>
      <w:ind w:left="220" w:hanging="220"/>
    </w:pPr>
  </w:style>
  <w:style w:type="character" w:customStyle="1" w:styleId="Style1Char">
    <w:name w:val="Style1 Char"/>
    <w:basedOn w:val="DefaultParagraphFont"/>
    <w:link w:val="Style1"/>
    <w:rsid w:val="00A37B7A"/>
    <w:rPr>
      <w:rFonts w:ascii="Century Gothic" w:eastAsia="Century Gothic" w:hAnsi="Century Gothic" w:cs="Century Gothic"/>
      <w:b/>
      <w:sz w:val="96"/>
      <w:szCs w:val="22"/>
    </w:rPr>
  </w:style>
  <w:style w:type="character" w:customStyle="1" w:styleId="Heading4Char">
    <w:name w:val="Heading 4 Char"/>
    <w:basedOn w:val="DefaultParagraphFont"/>
    <w:link w:val="Heading4"/>
    <w:semiHidden/>
    <w:rsid w:val="007F5DB3"/>
    <w:rPr>
      <w:rFonts w:asciiTheme="majorHAnsi" w:eastAsiaTheme="majorEastAsia" w:hAnsiTheme="majorHAnsi" w:cstheme="majorBidi"/>
      <w:i/>
      <w:iCs/>
      <w:color w:val="365F91" w:themeColor="accent1" w:themeShade="BF"/>
      <w:sz w:val="22"/>
      <w:szCs w:val="24"/>
    </w:rPr>
  </w:style>
  <w:style w:type="character" w:customStyle="1" w:styleId="Heading5Char">
    <w:name w:val="Heading 5 Char"/>
    <w:basedOn w:val="DefaultParagraphFont"/>
    <w:link w:val="Heading5"/>
    <w:semiHidden/>
    <w:rsid w:val="007F5DB3"/>
    <w:rPr>
      <w:rFonts w:asciiTheme="majorHAnsi" w:eastAsiaTheme="majorEastAsia" w:hAnsiTheme="majorHAnsi" w:cstheme="majorBidi"/>
      <w:color w:val="365F91" w:themeColor="accent1" w:themeShade="BF"/>
      <w:sz w:val="22"/>
      <w:szCs w:val="24"/>
    </w:rPr>
  </w:style>
  <w:style w:type="character" w:customStyle="1" w:styleId="Heading6Char">
    <w:name w:val="Heading 6 Char"/>
    <w:basedOn w:val="DefaultParagraphFont"/>
    <w:link w:val="Heading6"/>
    <w:semiHidden/>
    <w:rsid w:val="007F5DB3"/>
    <w:rPr>
      <w:rFonts w:asciiTheme="majorHAnsi" w:eastAsiaTheme="majorEastAsia" w:hAnsiTheme="majorHAnsi" w:cstheme="majorBidi"/>
      <w:color w:val="243F60" w:themeColor="accent1" w:themeShade="7F"/>
      <w:sz w:val="22"/>
      <w:szCs w:val="24"/>
    </w:rPr>
  </w:style>
  <w:style w:type="character" w:styleId="UnresolvedMention">
    <w:name w:val="Unresolved Mention"/>
    <w:basedOn w:val="DefaultParagraphFont"/>
    <w:uiPriority w:val="99"/>
    <w:semiHidden/>
    <w:unhideWhenUsed/>
    <w:rsid w:val="007F5DB3"/>
    <w:rPr>
      <w:color w:val="605E5C"/>
      <w:shd w:val="clear" w:color="auto" w:fill="E1DFDD"/>
    </w:rPr>
  </w:style>
  <w:style w:type="character" w:styleId="FollowedHyperlink">
    <w:name w:val="FollowedHyperlink"/>
    <w:basedOn w:val="DefaultParagraphFont"/>
    <w:semiHidden/>
    <w:unhideWhenUsed/>
    <w:rsid w:val="007F5DB3"/>
    <w:rPr>
      <w:color w:val="800080" w:themeColor="followedHyperlink"/>
      <w:u w:val="single"/>
    </w:rPr>
  </w:style>
  <w:style w:type="character" w:customStyle="1" w:styleId="ListParagraphChar">
    <w:name w:val="List Paragraph Char"/>
    <w:link w:val="ListParagraph"/>
    <w:uiPriority w:val="34"/>
    <w:locked/>
    <w:rsid w:val="007F5DB3"/>
    <w:rPr>
      <w:rFonts w:ascii="Arial" w:hAnsi="Arial"/>
      <w:sz w:val="22"/>
      <w:szCs w:val="24"/>
    </w:rPr>
  </w:style>
  <w:style w:type="paragraph" w:customStyle="1" w:styleId="pa24">
    <w:name w:val="pa24"/>
    <w:basedOn w:val="Normal"/>
    <w:rsid w:val="007F5DB3"/>
    <w:pPr>
      <w:spacing w:before="100" w:beforeAutospacing="1" w:after="100" w:afterAutospacing="1"/>
      <w:jc w:val="left"/>
    </w:pPr>
    <w:rPr>
      <w:rFonts w:ascii="Calibri" w:eastAsiaTheme="minorHAnsi" w:hAnsi="Calibri" w:cs="Calibri"/>
      <w:szCs w:val="22"/>
    </w:rPr>
  </w:style>
  <w:style w:type="paragraph" w:customStyle="1" w:styleId="default0">
    <w:name w:val="default"/>
    <w:basedOn w:val="Normal"/>
    <w:rsid w:val="007F5DB3"/>
    <w:pPr>
      <w:spacing w:before="100" w:beforeAutospacing="1" w:after="100" w:afterAutospacing="1"/>
      <w:jc w:val="left"/>
    </w:pPr>
    <w:rPr>
      <w:rFonts w:ascii="Calibri" w:eastAsiaTheme="minorHAnsi" w:hAnsi="Calibri" w:cs="Calibri"/>
      <w:szCs w:val="22"/>
    </w:rPr>
  </w:style>
  <w:style w:type="character" w:customStyle="1" w:styleId="spelle">
    <w:name w:val="spelle"/>
    <w:basedOn w:val="DefaultParagraphFont"/>
    <w:rsid w:val="007F5D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87682">
      <w:bodyDiv w:val="1"/>
      <w:marLeft w:val="0"/>
      <w:marRight w:val="0"/>
      <w:marTop w:val="0"/>
      <w:marBottom w:val="0"/>
      <w:divBdr>
        <w:top w:val="none" w:sz="0" w:space="0" w:color="auto"/>
        <w:left w:val="none" w:sz="0" w:space="0" w:color="auto"/>
        <w:bottom w:val="none" w:sz="0" w:space="0" w:color="auto"/>
        <w:right w:val="none" w:sz="0" w:space="0" w:color="auto"/>
      </w:divBdr>
    </w:div>
    <w:div w:id="18748842">
      <w:bodyDiv w:val="1"/>
      <w:marLeft w:val="0"/>
      <w:marRight w:val="0"/>
      <w:marTop w:val="0"/>
      <w:marBottom w:val="0"/>
      <w:divBdr>
        <w:top w:val="none" w:sz="0" w:space="0" w:color="auto"/>
        <w:left w:val="none" w:sz="0" w:space="0" w:color="auto"/>
        <w:bottom w:val="none" w:sz="0" w:space="0" w:color="auto"/>
        <w:right w:val="none" w:sz="0" w:space="0" w:color="auto"/>
      </w:divBdr>
    </w:div>
    <w:div w:id="106316562">
      <w:bodyDiv w:val="1"/>
      <w:marLeft w:val="0"/>
      <w:marRight w:val="0"/>
      <w:marTop w:val="0"/>
      <w:marBottom w:val="0"/>
      <w:divBdr>
        <w:top w:val="none" w:sz="0" w:space="0" w:color="auto"/>
        <w:left w:val="none" w:sz="0" w:space="0" w:color="auto"/>
        <w:bottom w:val="none" w:sz="0" w:space="0" w:color="auto"/>
        <w:right w:val="none" w:sz="0" w:space="0" w:color="auto"/>
      </w:divBdr>
    </w:div>
    <w:div w:id="170220354">
      <w:bodyDiv w:val="1"/>
      <w:marLeft w:val="0"/>
      <w:marRight w:val="0"/>
      <w:marTop w:val="0"/>
      <w:marBottom w:val="0"/>
      <w:divBdr>
        <w:top w:val="none" w:sz="0" w:space="0" w:color="auto"/>
        <w:left w:val="none" w:sz="0" w:space="0" w:color="auto"/>
        <w:bottom w:val="none" w:sz="0" w:space="0" w:color="auto"/>
        <w:right w:val="none" w:sz="0" w:space="0" w:color="auto"/>
      </w:divBdr>
    </w:div>
    <w:div w:id="186872323">
      <w:bodyDiv w:val="1"/>
      <w:marLeft w:val="0"/>
      <w:marRight w:val="0"/>
      <w:marTop w:val="0"/>
      <w:marBottom w:val="0"/>
      <w:divBdr>
        <w:top w:val="none" w:sz="0" w:space="0" w:color="auto"/>
        <w:left w:val="none" w:sz="0" w:space="0" w:color="auto"/>
        <w:bottom w:val="none" w:sz="0" w:space="0" w:color="auto"/>
        <w:right w:val="none" w:sz="0" w:space="0" w:color="auto"/>
      </w:divBdr>
    </w:div>
    <w:div w:id="252277302">
      <w:bodyDiv w:val="1"/>
      <w:marLeft w:val="0"/>
      <w:marRight w:val="0"/>
      <w:marTop w:val="0"/>
      <w:marBottom w:val="0"/>
      <w:divBdr>
        <w:top w:val="none" w:sz="0" w:space="0" w:color="auto"/>
        <w:left w:val="none" w:sz="0" w:space="0" w:color="auto"/>
        <w:bottom w:val="none" w:sz="0" w:space="0" w:color="auto"/>
        <w:right w:val="none" w:sz="0" w:space="0" w:color="auto"/>
      </w:divBdr>
    </w:div>
    <w:div w:id="311564606">
      <w:bodyDiv w:val="1"/>
      <w:marLeft w:val="0"/>
      <w:marRight w:val="0"/>
      <w:marTop w:val="0"/>
      <w:marBottom w:val="0"/>
      <w:divBdr>
        <w:top w:val="none" w:sz="0" w:space="0" w:color="auto"/>
        <w:left w:val="none" w:sz="0" w:space="0" w:color="auto"/>
        <w:bottom w:val="none" w:sz="0" w:space="0" w:color="auto"/>
        <w:right w:val="none" w:sz="0" w:space="0" w:color="auto"/>
      </w:divBdr>
    </w:div>
    <w:div w:id="360324746">
      <w:bodyDiv w:val="1"/>
      <w:marLeft w:val="0"/>
      <w:marRight w:val="0"/>
      <w:marTop w:val="0"/>
      <w:marBottom w:val="0"/>
      <w:divBdr>
        <w:top w:val="none" w:sz="0" w:space="0" w:color="auto"/>
        <w:left w:val="none" w:sz="0" w:space="0" w:color="auto"/>
        <w:bottom w:val="none" w:sz="0" w:space="0" w:color="auto"/>
        <w:right w:val="none" w:sz="0" w:space="0" w:color="auto"/>
      </w:divBdr>
    </w:div>
    <w:div w:id="361058408">
      <w:bodyDiv w:val="1"/>
      <w:marLeft w:val="0"/>
      <w:marRight w:val="0"/>
      <w:marTop w:val="0"/>
      <w:marBottom w:val="0"/>
      <w:divBdr>
        <w:top w:val="none" w:sz="0" w:space="0" w:color="auto"/>
        <w:left w:val="none" w:sz="0" w:space="0" w:color="auto"/>
        <w:bottom w:val="none" w:sz="0" w:space="0" w:color="auto"/>
        <w:right w:val="none" w:sz="0" w:space="0" w:color="auto"/>
      </w:divBdr>
    </w:div>
    <w:div w:id="406417057">
      <w:bodyDiv w:val="1"/>
      <w:marLeft w:val="0"/>
      <w:marRight w:val="0"/>
      <w:marTop w:val="0"/>
      <w:marBottom w:val="0"/>
      <w:divBdr>
        <w:top w:val="none" w:sz="0" w:space="0" w:color="auto"/>
        <w:left w:val="none" w:sz="0" w:space="0" w:color="auto"/>
        <w:bottom w:val="none" w:sz="0" w:space="0" w:color="auto"/>
        <w:right w:val="none" w:sz="0" w:space="0" w:color="auto"/>
      </w:divBdr>
    </w:div>
    <w:div w:id="443772977">
      <w:bodyDiv w:val="1"/>
      <w:marLeft w:val="0"/>
      <w:marRight w:val="0"/>
      <w:marTop w:val="0"/>
      <w:marBottom w:val="0"/>
      <w:divBdr>
        <w:top w:val="none" w:sz="0" w:space="0" w:color="auto"/>
        <w:left w:val="none" w:sz="0" w:space="0" w:color="auto"/>
        <w:bottom w:val="none" w:sz="0" w:space="0" w:color="auto"/>
        <w:right w:val="none" w:sz="0" w:space="0" w:color="auto"/>
      </w:divBdr>
    </w:div>
    <w:div w:id="497887748">
      <w:bodyDiv w:val="1"/>
      <w:marLeft w:val="0"/>
      <w:marRight w:val="0"/>
      <w:marTop w:val="0"/>
      <w:marBottom w:val="0"/>
      <w:divBdr>
        <w:top w:val="none" w:sz="0" w:space="0" w:color="auto"/>
        <w:left w:val="none" w:sz="0" w:space="0" w:color="auto"/>
        <w:bottom w:val="none" w:sz="0" w:space="0" w:color="auto"/>
        <w:right w:val="none" w:sz="0" w:space="0" w:color="auto"/>
      </w:divBdr>
    </w:div>
    <w:div w:id="769935555">
      <w:bodyDiv w:val="1"/>
      <w:marLeft w:val="0"/>
      <w:marRight w:val="0"/>
      <w:marTop w:val="0"/>
      <w:marBottom w:val="0"/>
      <w:divBdr>
        <w:top w:val="none" w:sz="0" w:space="0" w:color="auto"/>
        <w:left w:val="none" w:sz="0" w:space="0" w:color="auto"/>
        <w:bottom w:val="none" w:sz="0" w:space="0" w:color="auto"/>
        <w:right w:val="none" w:sz="0" w:space="0" w:color="auto"/>
      </w:divBdr>
    </w:div>
    <w:div w:id="818964790">
      <w:bodyDiv w:val="1"/>
      <w:marLeft w:val="0"/>
      <w:marRight w:val="0"/>
      <w:marTop w:val="0"/>
      <w:marBottom w:val="0"/>
      <w:divBdr>
        <w:top w:val="none" w:sz="0" w:space="0" w:color="auto"/>
        <w:left w:val="none" w:sz="0" w:space="0" w:color="auto"/>
        <w:bottom w:val="none" w:sz="0" w:space="0" w:color="auto"/>
        <w:right w:val="none" w:sz="0" w:space="0" w:color="auto"/>
      </w:divBdr>
    </w:div>
    <w:div w:id="831676353">
      <w:bodyDiv w:val="1"/>
      <w:marLeft w:val="0"/>
      <w:marRight w:val="0"/>
      <w:marTop w:val="0"/>
      <w:marBottom w:val="0"/>
      <w:divBdr>
        <w:top w:val="none" w:sz="0" w:space="0" w:color="auto"/>
        <w:left w:val="none" w:sz="0" w:space="0" w:color="auto"/>
        <w:bottom w:val="none" w:sz="0" w:space="0" w:color="auto"/>
        <w:right w:val="none" w:sz="0" w:space="0" w:color="auto"/>
      </w:divBdr>
    </w:div>
    <w:div w:id="929317458">
      <w:bodyDiv w:val="1"/>
      <w:marLeft w:val="0"/>
      <w:marRight w:val="0"/>
      <w:marTop w:val="0"/>
      <w:marBottom w:val="0"/>
      <w:divBdr>
        <w:top w:val="none" w:sz="0" w:space="0" w:color="auto"/>
        <w:left w:val="none" w:sz="0" w:space="0" w:color="auto"/>
        <w:bottom w:val="none" w:sz="0" w:space="0" w:color="auto"/>
        <w:right w:val="none" w:sz="0" w:space="0" w:color="auto"/>
      </w:divBdr>
    </w:div>
    <w:div w:id="934510520">
      <w:bodyDiv w:val="1"/>
      <w:marLeft w:val="0"/>
      <w:marRight w:val="0"/>
      <w:marTop w:val="0"/>
      <w:marBottom w:val="0"/>
      <w:divBdr>
        <w:top w:val="none" w:sz="0" w:space="0" w:color="auto"/>
        <w:left w:val="none" w:sz="0" w:space="0" w:color="auto"/>
        <w:bottom w:val="none" w:sz="0" w:space="0" w:color="auto"/>
        <w:right w:val="none" w:sz="0" w:space="0" w:color="auto"/>
      </w:divBdr>
    </w:div>
    <w:div w:id="1016811162">
      <w:bodyDiv w:val="1"/>
      <w:marLeft w:val="0"/>
      <w:marRight w:val="0"/>
      <w:marTop w:val="0"/>
      <w:marBottom w:val="0"/>
      <w:divBdr>
        <w:top w:val="none" w:sz="0" w:space="0" w:color="auto"/>
        <w:left w:val="none" w:sz="0" w:space="0" w:color="auto"/>
        <w:bottom w:val="none" w:sz="0" w:space="0" w:color="auto"/>
        <w:right w:val="none" w:sz="0" w:space="0" w:color="auto"/>
      </w:divBdr>
    </w:div>
    <w:div w:id="1033846262">
      <w:bodyDiv w:val="1"/>
      <w:marLeft w:val="0"/>
      <w:marRight w:val="0"/>
      <w:marTop w:val="0"/>
      <w:marBottom w:val="0"/>
      <w:divBdr>
        <w:top w:val="none" w:sz="0" w:space="0" w:color="auto"/>
        <w:left w:val="none" w:sz="0" w:space="0" w:color="auto"/>
        <w:bottom w:val="none" w:sz="0" w:space="0" w:color="auto"/>
        <w:right w:val="none" w:sz="0" w:space="0" w:color="auto"/>
      </w:divBdr>
    </w:div>
    <w:div w:id="1120222980">
      <w:bodyDiv w:val="1"/>
      <w:marLeft w:val="0"/>
      <w:marRight w:val="0"/>
      <w:marTop w:val="0"/>
      <w:marBottom w:val="0"/>
      <w:divBdr>
        <w:top w:val="none" w:sz="0" w:space="0" w:color="auto"/>
        <w:left w:val="none" w:sz="0" w:space="0" w:color="auto"/>
        <w:bottom w:val="none" w:sz="0" w:space="0" w:color="auto"/>
        <w:right w:val="none" w:sz="0" w:space="0" w:color="auto"/>
      </w:divBdr>
    </w:div>
    <w:div w:id="1127896019">
      <w:bodyDiv w:val="1"/>
      <w:marLeft w:val="0"/>
      <w:marRight w:val="0"/>
      <w:marTop w:val="0"/>
      <w:marBottom w:val="0"/>
      <w:divBdr>
        <w:top w:val="none" w:sz="0" w:space="0" w:color="auto"/>
        <w:left w:val="none" w:sz="0" w:space="0" w:color="auto"/>
        <w:bottom w:val="none" w:sz="0" w:space="0" w:color="auto"/>
        <w:right w:val="none" w:sz="0" w:space="0" w:color="auto"/>
      </w:divBdr>
    </w:div>
    <w:div w:id="1169098320">
      <w:bodyDiv w:val="1"/>
      <w:marLeft w:val="0"/>
      <w:marRight w:val="0"/>
      <w:marTop w:val="0"/>
      <w:marBottom w:val="0"/>
      <w:divBdr>
        <w:top w:val="none" w:sz="0" w:space="0" w:color="auto"/>
        <w:left w:val="none" w:sz="0" w:space="0" w:color="auto"/>
        <w:bottom w:val="none" w:sz="0" w:space="0" w:color="auto"/>
        <w:right w:val="none" w:sz="0" w:space="0" w:color="auto"/>
      </w:divBdr>
    </w:div>
    <w:div w:id="1198667253">
      <w:bodyDiv w:val="1"/>
      <w:marLeft w:val="0"/>
      <w:marRight w:val="0"/>
      <w:marTop w:val="0"/>
      <w:marBottom w:val="0"/>
      <w:divBdr>
        <w:top w:val="none" w:sz="0" w:space="0" w:color="auto"/>
        <w:left w:val="none" w:sz="0" w:space="0" w:color="auto"/>
        <w:bottom w:val="none" w:sz="0" w:space="0" w:color="auto"/>
        <w:right w:val="none" w:sz="0" w:space="0" w:color="auto"/>
      </w:divBdr>
    </w:div>
    <w:div w:id="1247425573">
      <w:bodyDiv w:val="1"/>
      <w:marLeft w:val="0"/>
      <w:marRight w:val="0"/>
      <w:marTop w:val="0"/>
      <w:marBottom w:val="0"/>
      <w:divBdr>
        <w:top w:val="none" w:sz="0" w:space="0" w:color="auto"/>
        <w:left w:val="none" w:sz="0" w:space="0" w:color="auto"/>
        <w:bottom w:val="none" w:sz="0" w:space="0" w:color="auto"/>
        <w:right w:val="none" w:sz="0" w:space="0" w:color="auto"/>
      </w:divBdr>
    </w:div>
    <w:div w:id="1267734771">
      <w:bodyDiv w:val="1"/>
      <w:marLeft w:val="0"/>
      <w:marRight w:val="0"/>
      <w:marTop w:val="0"/>
      <w:marBottom w:val="0"/>
      <w:divBdr>
        <w:top w:val="none" w:sz="0" w:space="0" w:color="auto"/>
        <w:left w:val="none" w:sz="0" w:space="0" w:color="auto"/>
        <w:bottom w:val="none" w:sz="0" w:space="0" w:color="auto"/>
        <w:right w:val="none" w:sz="0" w:space="0" w:color="auto"/>
      </w:divBdr>
    </w:div>
    <w:div w:id="1286471718">
      <w:bodyDiv w:val="1"/>
      <w:marLeft w:val="0"/>
      <w:marRight w:val="0"/>
      <w:marTop w:val="0"/>
      <w:marBottom w:val="0"/>
      <w:divBdr>
        <w:top w:val="none" w:sz="0" w:space="0" w:color="auto"/>
        <w:left w:val="none" w:sz="0" w:space="0" w:color="auto"/>
        <w:bottom w:val="none" w:sz="0" w:space="0" w:color="auto"/>
        <w:right w:val="none" w:sz="0" w:space="0" w:color="auto"/>
      </w:divBdr>
    </w:div>
    <w:div w:id="1311440942">
      <w:bodyDiv w:val="1"/>
      <w:marLeft w:val="0"/>
      <w:marRight w:val="0"/>
      <w:marTop w:val="0"/>
      <w:marBottom w:val="0"/>
      <w:divBdr>
        <w:top w:val="none" w:sz="0" w:space="0" w:color="auto"/>
        <w:left w:val="none" w:sz="0" w:space="0" w:color="auto"/>
        <w:bottom w:val="none" w:sz="0" w:space="0" w:color="auto"/>
        <w:right w:val="none" w:sz="0" w:space="0" w:color="auto"/>
      </w:divBdr>
    </w:div>
    <w:div w:id="1450661788">
      <w:bodyDiv w:val="1"/>
      <w:marLeft w:val="0"/>
      <w:marRight w:val="0"/>
      <w:marTop w:val="0"/>
      <w:marBottom w:val="0"/>
      <w:divBdr>
        <w:top w:val="none" w:sz="0" w:space="0" w:color="auto"/>
        <w:left w:val="none" w:sz="0" w:space="0" w:color="auto"/>
        <w:bottom w:val="none" w:sz="0" w:space="0" w:color="auto"/>
        <w:right w:val="none" w:sz="0" w:space="0" w:color="auto"/>
      </w:divBdr>
    </w:div>
    <w:div w:id="1501433234">
      <w:bodyDiv w:val="1"/>
      <w:marLeft w:val="0"/>
      <w:marRight w:val="0"/>
      <w:marTop w:val="0"/>
      <w:marBottom w:val="0"/>
      <w:divBdr>
        <w:top w:val="none" w:sz="0" w:space="0" w:color="auto"/>
        <w:left w:val="none" w:sz="0" w:space="0" w:color="auto"/>
        <w:bottom w:val="none" w:sz="0" w:space="0" w:color="auto"/>
        <w:right w:val="none" w:sz="0" w:space="0" w:color="auto"/>
      </w:divBdr>
    </w:div>
    <w:div w:id="1537229868">
      <w:bodyDiv w:val="1"/>
      <w:marLeft w:val="0"/>
      <w:marRight w:val="0"/>
      <w:marTop w:val="0"/>
      <w:marBottom w:val="0"/>
      <w:divBdr>
        <w:top w:val="none" w:sz="0" w:space="0" w:color="auto"/>
        <w:left w:val="none" w:sz="0" w:space="0" w:color="auto"/>
        <w:bottom w:val="none" w:sz="0" w:space="0" w:color="auto"/>
        <w:right w:val="none" w:sz="0" w:space="0" w:color="auto"/>
      </w:divBdr>
    </w:div>
    <w:div w:id="1557741155">
      <w:bodyDiv w:val="1"/>
      <w:marLeft w:val="0"/>
      <w:marRight w:val="0"/>
      <w:marTop w:val="0"/>
      <w:marBottom w:val="0"/>
      <w:divBdr>
        <w:top w:val="none" w:sz="0" w:space="0" w:color="auto"/>
        <w:left w:val="none" w:sz="0" w:space="0" w:color="auto"/>
        <w:bottom w:val="none" w:sz="0" w:space="0" w:color="auto"/>
        <w:right w:val="none" w:sz="0" w:space="0" w:color="auto"/>
      </w:divBdr>
    </w:div>
    <w:div w:id="1652443509">
      <w:bodyDiv w:val="1"/>
      <w:marLeft w:val="0"/>
      <w:marRight w:val="0"/>
      <w:marTop w:val="0"/>
      <w:marBottom w:val="0"/>
      <w:divBdr>
        <w:top w:val="none" w:sz="0" w:space="0" w:color="auto"/>
        <w:left w:val="none" w:sz="0" w:space="0" w:color="auto"/>
        <w:bottom w:val="none" w:sz="0" w:space="0" w:color="auto"/>
        <w:right w:val="none" w:sz="0" w:space="0" w:color="auto"/>
      </w:divBdr>
    </w:div>
    <w:div w:id="1662613315">
      <w:bodyDiv w:val="1"/>
      <w:marLeft w:val="0"/>
      <w:marRight w:val="0"/>
      <w:marTop w:val="0"/>
      <w:marBottom w:val="0"/>
      <w:divBdr>
        <w:top w:val="none" w:sz="0" w:space="0" w:color="auto"/>
        <w:left w:val="none" w:sz="0" w:space="0" w:color="auto"/>
        <w:bottom w:val="none" w:sz="0" w:space="0" w:color="auto"/>
        <w:right w:val="none" w:sz="0" w:space="0" w:color="auto"/>
      </w:divBdr>
    </w:div>
    <w:div w:id="1669751074">
      <w:bodyDiv w:val="1"/>
      <w:marLeft w:val="0"/>
      <w:marRight w:val="0"/>
      <w:marTop w:val="0"/>
      <w:marBottom w:val="0"/>
      <w:divBdr>
        <w:top w:val="none" w:sz="0" w:space="0" w:color="auto"/>
        <w:left w:val="none" w:sz="0" w:space="0" w:color="auto"/>
        <w:bottom w:val="none" w:sz="0" w:space="0" w:color="auto"/>
        <w:right w:val="none" w:sz="0" w:space="0" w:color="auto"/>
      </w:divBdr>
    </w:div>
    <w:div w:id="1895657412">
      <w:bodyDiv w:val="1"/>
      <w:marLeft w:val="0"/>
      <w:marRight w:val="0"/>
      <w:marTop w:val="0"/>
      <w:marBottom w:val="0"/>
      <w:divBdr>
        <w:top w:val="none" w:sz="0" w:space="0" w:color="auto"/>
        <w:left w:val="none" w:sz="0" w:space="0" w:color="auto"/>
        <w:bottom w:val="none" w:sz="0" w:space="0" w:color="auto"/>
        <w:right w:val="none" w:sz="0" w:space="0" w:color="auto"/>
      </w:divBdr>
    </w:div>
    <w:div w:id="1956331360">
      <w:bodyDiv w:val="1"/>
      <w:marLeft w:val="0"/>
      <w:marRight w:val="0"/>
      <w:marTop w:val="0"/>
      <w:marBottom w:val="0"/>
      <w:divBdr>
        <w:top w:val="none" w:sz="0" w:space="0" w:color="auto"/>
        <w:left w:val="none" w:sz="0" w:space="0" w:color="auto"/>
        <w:bottom w:val="none" w:sz="0" w:space="0" w:color="auto"/>
        <w:right w:val="none" w:sz="0" w:space="0" w:color="auto"/>
      </w:divBdr>
    </w:div>
    <w:div w:id="2035378606">
      <w:bodyDiv w:val="1"/>
      <w:marLeft w:val="0"/>
      <w:marRight w:val="0"/>
      <w:marTop w:val="0"/>
      <w:marBottom w:val="0"/>
      <w:divBdr>
        <w:top w:val="none" w:sz="0" w:space="0" w:color="auto"/>
        <w:left w:val="none" w:sz="0" w:space="0" w:color="auto"/>
        <w:bottom w:val="none" w:sz="0" w:space="0" w:color="auto"/>
        <w:right w:val="none" w:sz="0" w:space="0" w:color="auto"/>
      </w:divBdr>
    </w:div>
    <w:div w:id="2036878065">
      <w:bodyDiv w:val="1"/>
      <w:marLeft w:val="0"/>
      <w:marRight w:val="0"/>
      <w:marTop w:val="0"/>
      <w:marBottom w:val="0"/>
      <w:divBdr>
        <w:top w:val="none" w:sz="0" w:space="0" w:color="auto"/>
        <w:left w:val="none" w:sz="0" w:space="0" w:color="auto"/>
        <w:bottom w:val="none" w:sz="0" w:space="0" w:color="auto"/>
        <w:right w:val="none" w:sz="0" w:space="0" w:color="auto"/>
      </w:divBdr>
    </w:div>
    <w:div w:id="2117677251">
      <w:bodyDiv w:val="1"/>
      <w:marLeft w:val="0"/>
      <w:marRight w:val="0"/>
      <w:marTop w:val="0"/>
      <w:marBottom w:val="0"/>
      <w:divBdr>
        <w:top w:val="none" w:sz="0" w:space="0" w:color="auto"/>
        <w:left w:val="none" w:sz="0" w:space="0" w:color="auto"/>
        <w:bottom w:val="none" w:sz="0" w:space="0" w:color="auto"/>
        <w:right w:val="none" w:sz="0" w:space="0" w:color="auto"/>
      </w:divBdr>
    </w:div>
    <w:div w:id="2121754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96.emf"/><Relationship Id="rId21" Type="http://schemas.openxmlformats.org/officeDocument/2006/relationships/image" Target="media/image13.png"/><Relationship Id="rId42" Type="http://schemas.openxmlformats.org/officeDocument/2006/relationships/hyperlink" Target="https://southribble.moderngov.co.uk/ieListDocuments.aspx?CId=140&amp;MId=2140&amp;Ver=4" TargetMode="External"/><Relationship Id="rId47" Type="http://schemas.openxmlformats.org/officeDocument/2006/relationships/image" Target="media/image30.png"/><Relationship Id="rId63" Type="http://schemas.openxmlformats.org/officeDocument/2006/relationships/image" Target="media/image42.emf"/><Relationship Id="rId68" Type="http://schemas.openxmlformats.org/officeDocument/2006/relationships/image" Target="media/image47.emf"/><Relationship Id="rId84" Type="http://schemas.openxmlformats.org/officeDocument/2006/relationships/image" Target="media/image63.emf"/><Relationship Id="rId89" Type="http://schemas.openxmlformats.org/officeDocument/2006/relationships/image" Target="media/image68.emf"/><Relationship Id="rId112" Type="http://schemas.openxmlformats.org/officeDocument/2006/relationships/image" Target="media/image91.emf"/><Relationship Id="rId16" Type="http://schemas.openxmlformats.org/officeDocument/2006/relationships/footer" Target="footer3.xml"/><Relationship Id="rId107" Type="http://schemas.openxmlformats.org/officeDocument/2006/relationships/image" Target="media/image86.emf"/><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southribble.moderngov.co.uk/ieListDocuments.aspx?CId=140&amp;MId=2140&amp;Ver=4" TargetMode="External"/><Relationship Id="rId40" Type="http://schemas.openxmlformats.org/officeDocument/2006/relationships/chart" Target="charts/chart1.xml"/><Relationship Id="rId45" Type="http://schemas.openxmlformats.org/officeDocument/2006/relationships/image" Target="media/image29.png"/><Relationship Id="rId53" Type="http://schemas.openxmlformats.org/officeDocument/2006/relationships/image" Target="media/image32.emf"/><Relationship Id="rId58" Type="http://schemas.openxmlformats.org/officeDocument/2006/relationships/image" Target="media/image37.emf"/><Relationship Id="rId66" Type="http://schemas.openxmlformats.org/officeDocument/2006/relationships/image" Target="media/image45.emf"/><Relationship Id="rId74" Type="http://schemas.openxmlformats.org/officeDocument/2006/relationships/image" Target="media/image53.emf"/><Relationship Id="rId79" Type="http://schemas.openxmlformats.org/officeDocument/2006/relationships/image" Target="media/image58.emf"/><Relationship Id="rId87" Type="http://schemas.openxmlformats.org/officeDocument/2006/relationships/image" Target="media/image66.emf"/><Relationship Id="rId102" Type="http://schemas.openxmlformats.org/officeDocument/2006/relationships/image" Target="media/image81.emf"/><Relationship Id="rId110" Type="http://schemas.openxmlformats.org/officeDocument/2006/relationships/image" Target="media/image89.emf"/><Relationship Id="rId115" Type="http://schemas.openxmlformats.org/officeDocument/2006/relationships/image" Target="media/image94.emf"/><Relationship Id="rId5" Type="http://schemas.openxmlformats.org/officeDocument/2006/relationships/webSettings" Target="webSettings.xml"/><Relationship Id="rId61" Type="http://schemas.openxmlformats.org/officeDocument/2006/relationships/image" Target="media/image40.emf"/><Relationship Id="rId82" Type="http://schemas.openxmlformats.org/officeDocument/2006/relationships/image" Target="media/image61.emf"/><Relationship Id="rId90" Type="http://schemas.openxmlformats.org/officeDocument/2006/relationships/image" Target="media/image69.emf"/><Relationship Id="rId95" Type="http://schemas.openxmlformats.org/officeDocument/2006/relationships/image" Target="media/image74.emf"/><Relationship Id="rId19" Type="http://schemas.openxmlformats.org/officeDocument/2006/relationships/image" Target="media/image11.png"/><Relationship Id="rId14" Type="http://schemas.openxmlformats.org/officeDocument/2006/relationships/footer" Target="footer2.xml"/><Relationship Id="rId22" Type="http://schemas.openxmlformats.org/officeDocument/2006/relationships/hyperlink" Target="https://southribble.moderngov.co.uk/ieListDocuments.aspx?CId=140&amp;MId=2140&amp;Ver=4" TargetMode="Externa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chart" Target="charts/chart3.xml"/><Relationship Id="rId48" Type="http://schemas.openxmlformats.org/officeDocument/2006/relationships/image" Target="media/image31.png"/><Relationship Id="rId56" Type="http://schemas.openxmlformats.org/officeDocument/2006/relationships/image" Target="media/image35.emf"/><Relationship Id="rId64" Type="http://schemas.openxmlformats.org/officeDocument/2006/relationships/image" Target="media/image43.emf"/><Relationship Id="rId69" Type="http://schemas.openxmlformats.org/officeDocument/2006/relationships/image" Target="media/image48.emf"/><Relationship Id="rId77" Type="http://schemas.openxmlformats.org/officeDocument/2006/relationships/image" Target="media/image56.emf"/><Relationship Id="rId100" Type="http://schemas.openxmlformats.org/officeDocument/2006/relationships/image" Target="media/image79.emf"/><Relationship Id="rId105" Type="http://schemas.openxmlformats.org/officeDocument/2006/relationships/image" Target="media/image84.emf"/><Relationship Id="rId113" Type="http://schemas.openxmlformats.org/officeDocument/2006/relationships/image" Target="media/image92.emf"/><Relationship Id="rId118" Type="http://schemas.openxmlformats.org/officeDocument/2006/relationships/hyperlink" Target="file:///\\alpha\assurance$\audit\1.Internal%20Audit%20Work\Audit%20Work%2021-22\2.SRBC\AGS\Transparency%20Code\SRBC%20Transparency%20Code%20Assessment%202020-21.docx" TargetMode="External"/><Relationship Id="rId8" Type="http://schemas.openxmlformats.org/officeDocument/2006/relationships/image" Target="media/image1.jpeg"/><Relationship Id="rId51" Type="http://schemas.openxmlformats.org/officeDocument/2006/relationships/footer" Target="footer4.xml"/><Relationship Id="rId72" Type="http://schemas.openxmlformats.org/officeDocument/2006/relationships/image" Target="media/image51.emf"/><Relationship Id="rId80" Type="http://schemas.openxmlformats.org/officeDocument/2006/relationships/image" Target="media/image59.emf"/><Relationship Id="rId85" Type="http://schemas.openxmlformats.org/officeDocument/2006/relationships/image" Target="media/image64.emf"/><Relationship Id="rId93" Type="http://schemas.openxmlformats.org/officeDocument/2006/relationships/image" Target="media/image72.emf"/><Relationship Id="rId98" Type="http://schemas.openxmlformats.org/officeDocument/2006/relationships/image" Target="media/image77.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emf"/><Relationship Id="rId46" Type="http://schemas.openxmlformats.org/officeDocument/2006/relationships/hyperlink" Target="https://southribbleintranet.moderngov.co.uk/ieListDocuments.aspx?CId=153&amp;MId=1819&amp;Ver=4" TargetMode="External"/><Relationship Id="rId59" Type="http://schemas.openxmlformats.org/officeDocument/2006/relationships/image" Target="media/image38.emf"/><Relationship Id="rId67" Type="http://schemas.openxmlformats.org/officeDocument/2006/relationships/image" Target="media/image46.emf"/><Relationship Id="rId103" Type="http://schemas.openxmlformats.org/officeDocument/2006/relationships/image" Target="media/image82.emf"/><Relationship Id="rId108" Type="http://schemas.openxmlformats.org/officeDocument/2006/relationships/image" Target="media/image87.emf"/><Relationship Id="rId116" Type="http://schemas.openxmlformats.org/officeDocument/2006/relationships/image" Target="media/image95.emf"/><Relationship Id="rId20" Type="http://schemas.openxmlformats.org/officeDocument/2006/relationships/image" Target="media/image12.png"/><Relationship Id="rId41" Type="http://schemas.openxmlformats.org/officeDocument/2006/relationships/chart" Target="charts/chart2.xml"/><Relationship Id="rId54" Type="http://schemas.openxmlformats.org/officeDocument/2006/relationships/image" Target="media/image33.emf"/><Relationship Id="rId62" Type="http://schemas.openxmlformats.org/officeDocument/2006/relationships/image" Target="media/image41.emf"/><Relationship Id="rId70" Type="http://schemas.openxmlformats.org/officeDocument/2006/relationships/image" Target="media/image49.emf"/><Relationship Id="rId75" Type="http://schemas.openxmlformats.org/officeDocument/2006/relationships/image" Target="media/image54.emf"/><Relationship Id="rId83" Type="http://schemas.openxmlformats.org/officeDocument/2006/relationships/image" Target="media/image62.emf"/><Relationship Id="rId88" Type="http://schemas.openxmlformats.org/officeDocument/2006/relationships/image" Target="media/image67.emf"/><Relationship Id="rId91" Type="http://schemas.openxmlformats.org/officeDocument/2006/relationships/image" Target="media/image70.emf"/><Relationship Id="rId96" Type="http://schemas.openxmlformats.org/officeDocument/2006/relationships/image" Target="media/image75.emf"/><Relationship Id="rId111" Type="http://schemas.openxmlformats.org/officeDocument/2006/relationships/image" Target="media/image9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mailto:info@southribble.gov.uk" TargetMode="External"/><Relationship Id="rId57" Type="http://schemas.openxmlformats.org/officeDocument/2006/relationships/image" Target="media/image36.emf"/><Relationship Id="rId106" Type="http://schemas.openxmlformats.org/officeDocument/2006/relationships/image" Target="media/image85.emf"/><Relationship Id="rId114" Type="http://schemas.openxmlformats.org/officeDocument/2006/relationships/image" Target="media/image93.emf"/><Relationship Id="rId119"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22.png"/><Relationship Id="rId44" Type="http://schemas.openxmlformats.org/officeDocument/2006/relationships/chart" Target="charts/chart4.xml"/><Relationship Id="rId52" Type="http://schemas.openxmlformats.org/officeDocument/2006/relationships/footer" Target="footer5.xml"/><Relationship Id="rId60" Type="http://schemas.openxmlformats.org/officeDocument/2006/relationships/image" Target="media/image39.emf"/><Relationship Id="rId65" Type="http://schemas.openxmlformats.org/officeDocument/2006/relationships/image" Target="media/image44.emf"/><Relationship Id="rId73" Type="http://schemas.openxmlformats.org/officeDocument/2006/relationships/image" Target="media/image52.emf"/><Relationship Id="rId78" Type="http://schemas.openxmlformats.org/officeDocument/2006/relationships/image" Target="media/image57.emf"/><Relationship Id="rId81" Type="http://schemas.openxmlformats.org/officeDocument/2006/relationships/image" Target="media/image60.emf"/><Relationship Id="rId86" Type="http://schemas.openxmlformats.org/officeDocument/2006/relationships/image" Target="media/image65.emf"/><Relationship Id="rId94" Type="http://schemas.openxmlformats.org/officeDocument/2006/relationships/image" Target="media/image73.emf"/><Relationship Id="rId99" Type="http://schemas.openxmlformats.org/officeDocument/2006/relationships/image" Target="media/image78.emf"/><Relationship Id="rId101" Type="http://schemas.openxmlformats.org/officeDocument/2006/relationships/image" Target="media/image80.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10.jpeg"/><Relationship Id="rId39" Type="http://schemas.openxmlformats.org/officeDocument/2006/relationships/package" Target="embeddings/Microsoft_Excel_Worksheet.xlsx"/><Relationship Id="rId109" Type="http://schemas.openxmlformats.org/officeDocument/2006/relationships/image" Target="media/image88.emf"/><Relationship Id="rId34" Type="http://schemas.openxmlformats.org/officeDocument/2006/relationships/image" Target="media/image25.png"/><Relationship Id="rId50" Type="http://schemas.openxmlformats.org/officeDocument/2006/relationships/header" Target="header3.xml"/><Relationship Id="rId55" Type="http://schemas.openxmlformats.org/officeDocument/2006/relationships/image" Target="media/image34.emf"/><Relationship Id="rId76" Type="http://schemas.openxmlformats.org/officeDocument/2006/relationships/image" Target="media/image55.emf"/><Relationship Id="rId97" Type="http://schemas.openxmlformats.org/officeDocument/2006/relationships/image" Target="media/image76.emf"/><Relationship Id="rId104" Type="http://schemas.openxmlformats.org/officeDocument/2006/relationships/image" Target="media/image83.emf"/><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0.emf"/><Relationship Id="rId92" Type="http://schemas.openxmlformats.org/officeDocument/2006/relationships/image" Target="media/image71.emf"/><Relationship Id="rId2" Type="http://schemas.openxmlformats.org/officeDocument/2006/relationships/numbering" Target="numbering.xml"/><Relationship Id="rId29" Type="http://schemas.openxmlformats.org/officeDocument/2006/relationships/image" Target="media/image20.png"/></Relationships>
</file>

<file path=word/_rels/foot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hanne.harland\AppData\Local\Microsoft\Windows\INetCache\Content.Outlook\6W3Z1QFL\Revenue%20Charts%20for%20Statement%20of%20Accounts%202020-21%20v2%20HB.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lpha\accounts$\CLOSURE\Closure%2020-21\04%20SoA%20Working%20Papers\00A2%20Narrative%20Report\Capital%20Charts%20for%20Statement%20of%20Accounts%202020-21.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alpha\accounts$\CLOSURE\Closure%2020-21\04%20SoA%20Working%20Papers\00A2%20Narrative%20Report\Capital%20Charts%20for%20Statement%20of%20Accounts%202020-2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b="1">
                <a:solidFill>
                  <a:srgbClr val="0070C0"/>
                </a:solidFill>
                <a:latin typeface="Arial" panose="020B0604020202020204" pitchFamily="34" charset="0"/>
                <a:cs typeface="Arial" panose="020B0604020202020204" pitchFamily="34" charset="0"/>
              </a:rPr>
              <a:t>Where the money was spent</a:t>
            </a:r>
          </a:p>
        </c:rich>
      </c:tx>
      <c:layout>
        <c:manualLayout>
          <c:xMode val="edge"/>
          <c:yMode val="edge"/>
          <c:x val="0.27776144648335288"/>
          <c:y val="2.9197080291970802E-2"/>
        </c:manualLayout>
      </c:layout>
      <c:overlay val="0"/>
      <c:spPr>
        <a:noFill/>
        <a:ln>
          <a:noFill/>
        </a:ln>
        <a:effectLst/>
      </c:spPr>
    </c:title>
    <c:autoTitleDeleted val="0"/>
    <c:view3D>
      <c:rotX val="30"/>
      <c:rotY val="270"/>
      <c:depthPercent val="100"/>
      <c:rAngAx val="0"/>
    </c:view3D>
    <c:floor>
      <c:thickness val="0"/>
      <c:spPr>
        <a:noFill/>
        <a:ln w="9525"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6658320847300934E-2"/>
          <c:y val="0.26535880095280062"/>
          <c:w val="0.5286444092410536"/>
          <c:h val="0.73238053272538017"/>
        </c:manualLayout>
      </c:layout>
      <c:pie3DChart>
        <c:varyColors val="1"/>
        <c:ser>
          <c:idx val="0"/>
          <c:order val="0"/>
          <c:tx>
            <c:strRef>
              <c:f>'Where the money was spent'!$D$20:$D$26</c:f>
              <c:strCache>
                <c:ptCount val="7"/>
                <c:pt idx="0">
                  <c:v>0.0%</c:v>
                </c:pt>
                <c:pt idx="1">
                  <c:v>8.0%</c:v>
                </c:pt>
                <c:pt idx="2">
                  <c:v>46.0%</c:v>
                </c:pt>
                <c:pt idx="3">
                  <c:v>4.0%</c:v>
                </c:pt>
                <c:pt idx="4">
                  <c:v>7.0%</c:v>
                </c:pt>
                <c:pt idx="5">
                  <c:v>23.0%</c:v>
                </c:pt>
                <c:pt idx="6">
                  <c:v>12.0%</c:v>
                </c:pt>
              </c:strCache>
            </c:strRef>
          </c:tx>
          <c:explosion val="34"/>
          <c:dLbls>
            <c:dLbl>
              <c:idx val="0"/>
              <c:layout>
                <c:manualLayout>
                  <c:x val="1.0827290584101089E-2"/>
                  <c:y val="-9.20415604983683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E8-450F-AD0D-77EF172C7D3E}"/>
                </c:ext>
              </c:extLst>
            </c:dLbl>
            <c:dLbl>
              <c:idx val="1"/>
              <c:layout>
                <c:manualLayout>
                  <c:x val="8.7859698888395718E-2"/>
                  <c:y val="-9.92108103275411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E8-450F-AD0D-77EF172C7D3E}"/>
                </c:ext>
              </c:extLst>
            </c:dLbl>
            <c:dLbl>
              <c:idx val="2"/>
              <c:layout>
                <c:manualLayout>
                  <c:x val="9.5571024475893177E-2"/>
                  <c:y val="-4.78150085253941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E8-450F-AD0D-77EF172C7D3E}"/>
                </c:ext>
              </c:extLst>
            </c:dLbl>
            <c:dLbl>
              <c:idx val="4"/>
              <c:layout>
                <c:manualLayout>
                  <c:x val="2.6205341487878023E-3"/>
                  <c:y val="6.1602518663269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E8-450F-AD0D-77EF172C7D3E}"/>
                </c:ext>
              </c:extLst>
            </c:dLbl>
            <c:dLbl>
              <c:idx val="5"/>
              <c:layout>
                <c:manualLayout>
                  <c:x val="0.16815497720634937"/>
                  <c:y val="1.29205382173943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CE8-450F-AD0D-77EF172C7D3E}"/>
                </c:ext>
              </c:extLst>
            </c:dLbl>
            <c:dLbl>
              <c:idx val="6"/>
              <c:layout>
                <c:manualLayout>
                  <c:x val="1.5265170835897977E-2"/>
                  <c:y val="0.145376937371879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CE8-450F-AD0D-77EF172C7D3E}"/>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'Where the money was spent'!$E$20:$E$26</c:f>
              <c:strCache>
                <c:ptCount val="7"/>
                <c:pt idx="0">
                  <c:v>Budgets Not In Directorates (0%)</c:v>
                </c:pt>
                <c:pt idx="1">
                  <c:v>Chief Executive (8%)</c:v>
                </c:pt>
                <c:pt idx="2">
                  <c:v>Customer Experience &amp; Ops (46%)</c:v>
                </c:pt>
                <c:pt idx="3">
                  <c:v>Finance &amp; Assurance (4%)</c:v>
                </c:pt>
                <c:pt idx="4">
                  <c:v>Legal HR &amp; Democratic Serv (7%)</c:v>
                </c:pt>
                <c:pt idx="5">
                  <c:v>Neighbourhoods &amp; Development (23%)</c:v>
                </c:pt>
                <c:pt idx="6">
                  <c:v>Planning &amp; Property (12%)</c:v>
                </c:pt>
              </c:strCache>
            </c:strRef>
          </c:cat>
          <c:val>
            <c:numRef>
              <c:f>'Where the money was spent'!$C$20:$C$26</c:f>
              <c:numCache>
                <c:formatCode>0.0%</c:formatCode>
                <c:ptCount val="7"/>
                <c:pt idx="0">
                  <c:v>-4.2110358180058082E-3</c:v>
                </c:pt>
                <c:pt idx="1">
                  <c:v>7.8872216844143278E-2</c:v>
                </c:pt>
                <c:pt idx="2">
                  <c:v>0.45873668925459826</c:v>
                </c:pt>
                <c:pt idx="3">
                  <c:v>4.240077444336883E-2</c:v>
                </c:pt>
                <c:pt idx="4">
                  <c:v>7.4443368828654405E-2</c:v>
                </c:pt>
                <c:pt idx="5">
                  <c:v>0.2260648596321394</c:v>
                </c:pt>
                <c:pt idx="6">
                  <c:v>0.12369312681510164</c:v>
                </c:pt>
              </c:numCache>
            </c:numRef>
          </c:val>
          <c:extLst>
            <c:ext xmlns:c16="http://schemas.microsoft.com/office/drawing/2014/chart" uri="{C3380CC4-5D6E-409C-BE32-E72D297353CC}">
              <c16:uniqueId val="{00000006-7CE8-450F-AD0D-77EF172C7D3E}"/>
            </c:ext>
          </c:extLst>
        </c:ser>
        <c:ser>
          <c:idx val="1"/>
          <c:order val="1"/>
          <c:tx>
            <c:strRef>
              <c:f>'Where the money was spent'!$D$20:$D$26</c:f>
              <c:strCache>
                <c:ptCount val="7"/>
                <c:pt idx="0">
                  <c:v>0.0%</c:v>
                </c:pt>
                <c:pt idx="1">
                  <c:v>8.0%</c:v>
                </c:pt>
                <c:pt idx="2">
                  <c:v>46.0%</c:v>
                </c:pt>
                <c:pt idx="3">
                  <c:v>4.0%</c:v>
                </c:pt>
                <c:pt idx="4">
                  <c:v>7.0%</c:v>
                </c:pt>
                <c:pt idx="5">
                  <c:v>23.0%</c:v>
                </c:pt>
                <c:pt idx="6">
                  <c:v>12.0%</c:v>
                </c:pt>
              </c:strCache>
            </c:strRef>
          </c:tx>
          <c:cat>
            <c:strRef>
              <c:f>'Where the money was spent'!$E$20:$E$26</c:f>
              <c:strCache>
                <c:ptCount val="7"/>
                <c:pt idx="0">
                  <c:v>Budgets Not In Directorates (0%)</c:v>
                </c:pt>
                <c:pt idx="1">
                  <c:v>Chief Executive (8%)</c:v>
                </c:pt>
                <c:pt idx="2">
                  <c:v>Customer Experience &amp; Ops (46%)</c:v>
                </c:pt>
                <c:pt idx="3">
                  <c:v>Finance &amp; Assurance (4%)</c:v>
                </c:pt>
                <c:pt idx="4">
                  <c:v>Legal HR &amp; Democratic Serv (7%)</c:v>
                </c:pt>
                <c:pt idx="5">
                  <c:v>Neighbourhoods &amp; Development (23%)</c:v>
                </c:pt>
                <c:pt idx="6">
                  <c:v>Planning &amp; Property (12%)</c:v>
                </c:pt>
              </c:strCache>
            </c:strRef>
          </c:cat>
          <c:val>
            <c:numRef>
              <c:f>'Where the money was spent'!$E$20:$E$26</c:f>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7-7CE8-450F-AD0D-77EF172C7D3E}"/>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63958842685800754"/>
          <c:y val="0.1903419736766481"/>
          <c:w val="0.33521655807292494"/>
          <c:h val="0.63871921119349129"/>
        </c:manualLayout>
      </c:layout>
      <c:overlay val="0"/>
      <c:spPr>
        <a:noFill/>
        <a:ln>
          <a:solidFill>
            <a:sysClr val="windowText" lastClr="000000"/>
          </a:solidFill>
        </a:ln>
        <a:effectLst>
          <a:outerShdw blurRad="50800" dist="38100" dir="2700000" algn="tl" rotWithShape="0">
            <a:prstClr val="black">
              <a:alpha val="40000"/>
            </a:prstClr>
          </a:outerShdw>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rgbClr val="0070C0"/>
                </a:solidFill>
                <a:latin typeface="Arial" panose="020B0604020202020204" pitchFamily="34" charset="0"/>
                <a:ea typeface="+mn-ea"/>
                <a:cs typeface="Arial" panose="020B0604020202020204" pitchFamily="34" charset="0"/>
              </a:defRPr>
            </a:pPr>
            <a:r>
              <a:rPr lang="en-GB" b="1">
                <a:solidFill>
                  <a:srgbClr val="0070C0"/>
                </a:solidFill>
                <a:latin typeface="Arial" panose="020B0604020202020204" pitchFamily="34" charset="0"/>
                <a:cs typeface="Arial" panose="020B0604020202020204" pitchFamily="34" charset="0"/>
              </a:rPr>
              <a:t>Where the money came from</a:t>
            </a:r>
          </a:p>
        </c:rich>
      </c:tx>
      <c:layout>
        <c:manualLayout>
          <c:xMode val="edge"/>
          <c:yMode val="edge"/>
          <c:x val="0.32631137058625909"/>
          <c:y val="0.11678832116788321"/>
        </c:manualLayout>
      </c:layout>
      <c:overlay val="0"/>
      <c:spPr>
        <a:noFill/>
        <a:ln>
          <a:noFill/>
        </a:ln>
        <a:effectLst/>
      </c:spPr>
    </c:title>
    <c:autoTitleDeleted val="0"/>
    <c:view3D>
      <c:rotX val="30"/>
      <c:rotY val="270"/>
      <c:depthPercent val="100"/>
      <c:rAngAx val="0"/>
    </c:view3D>
    <c:floor>
      <c:thickness val="0"/>
      <c:spPr>
        <a:noFill/>
        <a:ln w="9525"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6934585042754943E-2"/>
          <c:y val="0.174523440044447"/>
          <c:w val="0.54000429756565282"/>
          <c:h val="0.73238053272538017"/>
        </c:manualLayout>
      </c:layout>
      <c:pie3DChart>
        <c:varyColors val="1"/>
        <c:ser>
          <c:idx val="0"/>
          <c:order val="0"/>
          <c:tx>
            <c:strRef>
              <c:f>'Where the money came from'!$F$3:$F$7</c:f>
              <c:strCache>
                <c:ptCount val="5"/>
                <c:pt idx="0">
                  <c:v>20.00%</c:v>
                </c:pt>
                <c:pt idx="1">
                  <c:v>14.00%</c:v>
                </c:pt>
                <c:pt idx="2">
                  <c:v>1.00%</c:v>
                </c:pt>
                <c:pt idx="3">
                  <c:v>59.00%</c:v>
                </c:pt>
                <c:pt idx="4">
                  <c:v>6.00%</c:v>
                </c:pt>
              </c:strCache>
            </c:strRef>
          </c:tx>
          <c:explosion val="20"/>
          <c:dPt>
            <c:idx val="4"/>
            <c:bubble3D val="0"/>
            <c:spPr>
              <a:solidFill>
                <a:schemeClr val="accent6"/>
              </a:solidFill>
            </c:spPr>
            <c:extLst>
              <c:ext xmlns:c16="http://schemas.microsoft.com/office/drawing/2014/chart" uri="{C3380CC4-5D6E-409C-BE32-E72D297353CC}">
                <c16:uniqueId val="{00000001-D45F-4F59-811A-98DBC32D20B7}"/>
              </c:ext>
            </c:extLst>
          </c:dPt>
          <c:dPt>
            <c:idx val="5"/>
            <c:bubble3D val="0"/>
            <c:spPr>
              <a:solidFill>
                <a:schemeClr val="accent6"/>
              </a:solidFill>
              <a:ln>
                <a:noFill/>
              </a:ln>
              <a:effectLst>
                <a:outerShdw blurRad="152400" dist="317500" dir="5400000" sx="90000" sy="-19000" rotWithShape="0">
                  <a:prstClr val="black">
                    <a:alpha val="15000"/>
                  </a:prstClr>
                </a:outerShdw>
              </a:effectLst>
              <a:scene3d>
                <a:camera prst="orthographicFront"/>
                <a:lightRig rig="threePt" dir="t"/>
              </a:scene3d>
              <a:sp3d>
                <a:bevelT w="165100" prst="coolSlant"/>
              </a:sp3d>
            </c:spPr>
            <c:extLst>
              <c:ext xmlns:c16="http://schemas.microsoft.com/office/drawing/2014/chart" uri="{C3380CC4-5D6E-409C-BE32-E72D297353CC}">
                <c16:uniqueId val="{00000003-D45F-4F59-811A-98DBC32D20B7}"/>
              </c:ext>
            </c:extLst>
          </c:dPt>
          <c:dPt>
            <c:idx val="6"/>
            <c:bubble3D val="0"/>
            <c:spPr>
              <a:solidFill>
                <a:schemeClr val="accent1">
                  <a:lumMod val="60000"/>
                </a:schemeClr>
              </a:solidFill>
              <a:ln>
                <a:noFill/>
              </a:ln>
              <a:effectLst>
                <a:outerShdw blurRad="152400" dist="317500" dir="5400000" sx="90000" sy="-19000" rotWithShape="0">
                  <a:prstClr val="black">
                    <a:alpha val="15000"/>
                  </a:prstClr>
                </a:outerShdw>
              </a:effectLst>
              <a:scene3d>
                <a:camera prst="orthographicFront"/>
                <a:lightRig rig="threePt" dir="t"/>
              </a:scene3d>
              <a:sp3d>
                <a:bevelT w="165100" prst="coolSlant"/>
              </a:sp3d>
            </c:spPr>
            <c:extLst>
              <c:ext xmlns:c16="http://schemas.microsoft.com/office/drawing/2014/chart" uri="{C3380CC4-5D6E-409C-BE32-E72D297353CC}">
                <c16:uniqueId val="{00000005-D45F-4F59-811A-98DBC32D20B7}"/>
              </c:ext>
            </c:extLst>
          </c:dPt>
          <c:dPt>
            <c:idx val="7"/>
            <c:bubble3D val="0"/>
            <c:spPr>
              <a:solidFill>
                <a:schemeClr val="accent2">
                  <a:lumMod val="60000"/>
                </a:schemeClr>
              </a:solidFill>
              <a:ln>
                <a:noFill/>
              </a:ln>
              <a:effectLst>
                <a:outerShdw blurRad="152400" dist="317500" dir="5400000" sx="90000" sy="-19000" rotWithShape="0">
                  <a:prstClr val="black">
                    <a:alpha val="15000"/>
                  </a:prstClr>
                </a:outerShdw>
              </a:effectLst>
              <a:scene3d>
                <a:camera prst="orthographicFront"/>
                <a:lightRig rig="threePt" dir="t"/>
              </a:scene3d>
              <a:sp3d>
                <a:bevelT w="165100" prst="coolSlant"/>
              </a:sp3d>
            </c:spPr>
            <c:extLst>
              <c:ext xmlns:c16="http://schemas.microsoft.com/office/drawing/2014/chart" uri="{C3380CC4-5D6E-409C-BE32-E72D297353CC}">
                <c16:uniqueId val="{00000007-D45F-4F59-811A-98DBC32D20B7}"/>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'Where the money came from'!$C$3:$C$7</c:f>
              <c:strCache>
                <c:ptCount val="5"/>
                <c:pt idx="0">
                  <c:v>Council Tax (20%)</c:v>
                </c:pt>
                <c:pt idx="1">
                  <c:v>Non Domestic Rates &amp; Non Specific Government Grants (14%)</c:v>
                </c:pt>
                <c:pt idx="2">
                  <c:v>Covid-19 Support Grants (1%)</c:v>
                </c:pt>
                <c:pt idx="3">
                  <c:v>Specific Grants to Services (59%)</c:v>
                </c:pt>
                <c:pt idx="4">
                  <c:v>Other Income (6%)</c:v>
                </c:pt>
              </c:strCache>
            </c:strRef>
          </c:cat>
          <c:val>
            <c:numRef>
              <c:f>'Where the money came from'!$E$3:$E$7</c:f>
              <c:numCache>
                <c:formatCode>0.00%;\(0.00%\)</c:formatCode>
                <c:ptCount val="5"/>
                <c:pt idx="0">
                  <c:v>0.20314617618586642</c:v>
                </c:pt>
                <c:pt idx="1">
                  <c:v>0.13818973862536302</c:v>
                </c:pt>
                <c:pt idx="2">
                  <c:v>7.5024201355275892E-3</c:v>
                </c:pt>
                <c:pt idx="3">
                  <c:v>0.59457889641819939</c:v>
                </c:pt>
                <c:pt idx="4">
                  <c:v>5.6582768635043565E-2</c:v>
                </c:pt>
              </c:numCache>
            </c:numRef>
          </c:val>
          <c:extLst>
            <c:ext xmlns:c16="http://schemas.microsoft.com/office/drawing/2014/chart" uri="{C3380CC4-5D6E-409C-BE32-E72D297353CC}">
              <c16:uniqueId val="{00000008-D45F-4F59-811A-98DBC32D20B7}"/>
            </c:ext>
          </c:extLst>
        </c:ser>
        <c:ser>
          <c:idx val="1"/>
          <c:order val="1"/>
          <c:dPt>
            <c:idx val="0"/>
            <c:bubble3D val="0"/>
            <c:spPr>
              <a:solidFill>
                <a:schemeClr val="accent1"/>
              </a:solidFill>
              <a:ln>
                <a:noFill/>
              </a:ln>
              <a:effectLst/>
              <a:sp3d>
                <a:contourClr>
                  <a:schemeClr val="lt1"/>
                </a:contourClr>
              </a:sp3d>
            </c:spPr>
            <c:extLst>
              <c:ext xmlns:c16="http://schemas.microsoft.com/office/drawing/2014/chart" uri="{C3380CC4-5D6E-409C-BE32-E72D297353CC}">
                <c16:uniqueId val="{0000000A-D45F-4F59-811A-98DBC32D20B7}"/>
              </c:ext>
            </c:extLst>
          </c:dPt>
          <c:dPt>
            <c:idx val="1"/>
            <c:bubble3D val="0"/>
            <c:spPr>
              <a:solidFill>
                <a:schemeClr val="accent2"/>
              </a:solidFill>
              <a:ln>
                <a:noFill/>
              </a:ln>
              <a:effectLst/>
              <a:sp3d>
                <a:contourClr>
                  <a:schemeClr val="lt1"/>
                </a:contourClr>
              </a:sp3d>
            </c:spPr>
            <c:extLst>
              <c:ext xmlns:c16="http://schemas.microsoft.com/office/drawing/2014/chart" uri="{C3380CC4-5D6E-409C-BE32-E72D297353CC}">
                <c16:uniqueId val="{0000000C-D45F-4F59-811A-98DBC32D20B7}"/>
              </c:ext>
            </c:extLst>
          </c:dPt>
          <c:dPt>
            <c:idx val="2"/>
            <c:bubble3D val="0"/>
            <c:spPr>
              <a:solidFill>
                <a:schemeClr val="accent3"/>
              </a:solidFill>
              <a:ln>
                <a:noFill/>
              </a:ln>
              <a:effectLst/>
              <a:sp3d>
                <a:contourClr>
                  <a:schemeClr val="lt1"/>
                </a:contourClr>
              </a:sp3d>
            </c:spPr>
            <c:extLst>
              <c:ext xmlns:c16="http://schemas.microsoft.com/office/drawing/2014/chart" uri="{C3380CC4-5D6E-409C-BE32-E72D297353CC}">
                <c16:uniqueId val="{0000000E-D45F-4F59-811A-98DBC32D20B7}"/>
              </c:ext>
            </c:extLst>
          </c:dPt>
          <c:dPt>
            <c:idx val="3"/>
            <c:bubble3D val="0"/>
            <c:spPr>
              <a:solidFill>
                <a:schemeClr val="accent4"/>
              </a:solidFill>
              <a:ln>
                <a:noFill/>
              </a:ln>
              <a:effectLst/>
              <a:sp3d>
                <a:contourClr>
                  <a:schemeClr val="lt1"/>
                </a:contourClr>
              </a:sp3d>
            </c:spPr>
            <c:extLst>
              <c:ext xmlns:c16="http://schemas.microsoft.com/office/drawing/2014/chart" uri="{C3380CC4-5D6E-409C-BE32-E72D297353CC}">
                <c16:uniqueId val="{00000010-D45F-4F59-811A-98DBC32D20B7}"/>
              </c:ext>
            </c:extLst>
          </c:dPt>
          <c:dPt>
            <c:idx val="4"/>
            <c:bubble3D val="0"/>
            <c:spPr>
              <a:solidFill>
                <a:schemeClr val="accent5"/>
              </a:solidFill>
              <a:ln>
                <a:noFill/>
              </a:ln>
              <a:effectLst/>
              <a:sp3d>
                <a:contourClr>
                  <a:schemeClr val="lt1"/>
                </a:contourClr>
              </a:sp3d>
            </c:spPr>
            <c:extLst>
              <c:ext xmlns:c16="http://schemas.microsoft.com/office/drawing/2014/chart" uri="{C3380CC4-5D6E-409C-BE32-E72D297353CC}">
                <c16:uniqueId val="{00000012-D45F-4F59-811A-98DBC32D20B7}"/>
              </c:ext>
            </c:extLst>
          </c:dPt>
          <c:dPt>
            <c:idx val="5"/>
            <c:bubble3D val="0"/>
            <c:spPr>
              <a:solidFill>
                <a:schemeClr val="accent6"/>
              </a:solidFill>
              <a:ln>
                <a:noFill/>
              </a:ln>
              <a:effectLst/>
              <a:sp3d>
                <a:contourClr>
                  <a:schemeClr val="lt1"/>
                </a:contourClr>
              </a:sp3d>
            </c:spPr>
            <c:extLst>
              <c:ext xmlns:c16="http://schemas.microsoft.com/office/drawing/2014/chart" uri="{C3380CC4-5D6E-409C-BE32-E72D297353CC}">
                <c16:uniqueId val="{00000014-D45F-4F59-811A-98DBC32D20B7}"/>
              </c:ext>
            </c:extLst>
          </c:dPt>
          <c:dPt>
            <c:idx val="6"/>
            <c:bubble3D val="0"/>
            <c:spPr>
              <a:solidFill>
                <a:schemeClr val="accent1">
                  <a:lumMod val="60000"/>
                </a:schemeClr>
              </a:solidFill>
              <a:ln>
                <a:noFill/>
              </a:ln>
              <a:effectLst/>
              <a:sp3d>
                <a:contourClr>
                  <a:schemeClr val="lt1"/>
                </a:contourClr>
              </a:sp3d>
            </c:spPr>
            <c:extLst>
              <c:ext xmlns:c16="http://schemas.microsoft.com/office/drawing/2014/chart" uri="{C3380CC4-5D6E-409C-BE32-E72D297353CC}">
                <c16:uniqueId val="{00000016-D45F-4F59-811A-98DBC32D20B7}"/>
              </c:ext>
            </c:extLst>
          </c:dPt>
          <c:dPt>
            <c:idx val="7"/>
            <c:bubble3D val="0"/>
            <c:spPr>
              <a:solidFill>
                <a:schemeClr val="accent2">
                  <a:lumMod val="60000"/>
                </a:schemeClr>
              </a:solidFill>
              <a:ln>
                <a:noFill/>
              </a:ln>
              <a:effectLst/>
              <a:sp3d>
                <a:contourClr>
                  <a:schemeClr val="lt1"/>
                </a:contourClr>
              </a:sp3d>
            </c:spPr>
            <c:extLst>
              <c:ext xmlns:c16="http://schemas.microsoft.com/office/drawing/2014/chart" uri="{C3380CC4-5D6E-409C-BE32-E72D297353CC}">
                <c16:uniqueId val="{00000018-D45F-4F59-811A-98DBC32D20B7}"/>
              </c:ext>
            </c:extLst>
          </c:dPt>
          <c:cat>
            <c:strRef>
              <c:f>'Where the money came from'!$C$3:$C$7</c:f>
              <c:strCache>
                <c:ptCount val="5"/>
                <c:pt idx="0">
                  <c:v>Council Tax (20%)</c:v>
                </c:pt>
                <c:pt idx="1">
                  <c:v>Non Domestic Rates &amp; Non Specific Government Grants (14%)</c:v>
                </c:pt>
                <c:pt idx="2">
                  <c:v>Covid-19 Support Grants (1%)</c:v>
                </c:pt>
                <c:pt idx="3">
                  <c:v>Specific Grants to Services (59%)</c:v>
                </c:pt>
                <c:pt idx="4">
                  <c:v>Other Income (6%)</c:v>
                </c:pt>
              </c:strCache>
            </c:strRef>
          </c:cat>
          <c:val>
            <c:numRef>
              <c:f>'[1]Charts '!$G$83:$G$87</c:f>
              <c:numCache>
                <c:formatCode>General</c:formatCode>
                <c:ptCount val="5"/>
                <c:pt idx="0">
                  <c:v>0.19988087556460019</c:v>
                </c:pt>
                <c:pt idx="1">
                  <c:v>0.11900034744626992</c:v>
                </c:pt>
                <c:pt idx="2">
                  <c:v>3.4719809400903363E-2</c:v>
                </c:pt>
                <c:pt idx="3">
                  <c:v>0.51615625155109945</c:v>
                </c:pt>
                <c:pt idx="4">
                  <c:v>0.13024271603712712</c:v>
                </c:pt>
              </c:numCache>
            </c:numRef>
          </c:val>
          <c:extLst>
            <c:ext xmlns:c16="http://schemas.microsoft.com/office/drawing/2014/chart" uri="{C3380CC4-5D6E-409C-BE32-E72D297353CC}">
              <c16:uniqueId val="{00000019-D45F-4F59-811A-98DBC32D20B7}"/>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62005534725066147"/>
          <c:y val="0.29469560830443642"/>
          <c:w val="0.3390687340757107"/>
          <c:h val="0.4920359407628791"/>
        </c:manualLayout>
      </c:layout>
      <c:overlay val="0"/>
      <c:spPr>
        <a:noFill/>
        <a:ln>
          <a:solidFill>
            <a:sysClr val="windowText" lastClr="000000"/>
          </a:solid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800" b="1">
                <a:solidFill>
                  <a:srgbClr val="0070C0"/>
                </a:solidFill>
                <a:latin typeface="Arial" panose="020B0604020202020204" pitchFamily="34" charset="0"/>
                <a:cs typeface="Arial" panose="020B0604020202020204" pitchFamily="34" charset="0"/>
              </a:rPr>
              <a:t>Capital Expenditure £'000</a:t>
            </a:r>
          </a:p>
        </c:rich>
      </c:tx>
      <c:layout>
        <c:manualLayout>
          <c:xMode val="edge"/>
          <c:yMode val="edge"/>
          <c:x val="0.25245730635205949"/>
          <c:y val="4.5417680454176802E-2"/>
        </c:manualLayout>
      </c:layout>
      <c:overlay val="0"/>
      <c:spPr>
        <a:noFill/>
        <a:ln>
          <a:noFill/>
        </a:ln>
        <a:effectLst/>
      </c:spPr>
    </c:title>
    <c:autoTitleDeleted val="0"/>
    <c:view3D>
      <c:rotX val="30"/>
      <c:rotY val="0"/>
      <c:depthPercent val="100"/>
      <c:rAngAx val="0"/>
    </c:view3D>
    <c:floor>
      <c:thickness val="0"/>
      <c:spPr>
        <a:noFill/>
        <a:ln w="9525"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effectLst>
              <a:outerShdw blurRad="152400" dist="317500" dir="5400000" sx="90000" sy="-19000" rotWithShape="0">
                <a:prstClr val="black">
                  <a:alpha val="15000"/>
                </a:prstClr>
              </a:outerShdw>
            </a:effectLst>
            <a:scene3d>
              <a:camera prst="orthographicFront"/>
              <a:lightRig rig="threePt" dir="t"/>
            </a:scene3d>
            <a:sp3d>
              <a:bevelT w="165100" prst="coolSlant"/>
            </a:sp3d>
          </c:spPr>
          <c:explosion val="20"/>
          <c:dPt>
            <c:idx val="0"/>
            <c:bubble3D val="0"/>
            <c:spPr>
              <a:solidFill>
                <a:schemeClr val="accent1"/>
              </a:solidFill>
              <a:ln>
                <a:noFill/>
              </a:ln>
              <a:effectLst>
                <a:outerShdw blurRad="152400" dist="317500" dir="5400000" sx="90000" sy="-19000" rotWithShape="0">
                  <a:prstClr val="black">
                    <a:alpha val="15000"/>
                  </a:prstClr>
                </a:outerShdw>
              </a:effectLst>
              <a:scene3d>
                <a:camera prst="orthographicFront"/>
                <a:lightRig rig="threePt" dir="t"/>
              </a:scene3d>
              <a:sp3d>
                <a:bevelT w="165100" prst="coolSlant"/>
              </a:sp3d>
            </c:spPr>
            <c:extLst>
              <c:ext xmlns:c16="http://schemas.microsoft.com/office/drawing/2014/chart" uri="{C3380CC4-5D6E-409C-BE32-E72D297353CC}">
                <c16:uniqueId val="{00000001-EEBC-4E34-B804-23378DAE8991}"/>
              </c:ext>
            </c:extLst>
          </c:dPt>
          <c:dPt>
            <c:idx val="1"/>
            <c:bubble3D val="0"/>
            <c:spPr>
              <a:solidFill>
                <a:schemeClr val="accent2"/>
              </a:solidFill>
              <a:ln>
                <a:noFill/>
              </a:ln>
              <a:effectLst>
                <a:outerShdw blurRad="152400" dist="317500" dir="5400000" sx="90000" sy="-19000" rotWithShape="0">
                  <a:prstClr val="black">
                    <a:alpha val="15000"/>
                  </a:prstClr>
                </a:outerShdw>
              </a:effectLst>
              <a:scene3d>
                <a:camera prst="orthographicFront"/>
                <a:lightRig rig="threePt" dir="t"/>
              </a:scene3d>
              <a:sp3d>
                <a:bevelT w="165100" prst="coolSlant"/>
              </a:sp3d>
            </c:spPr>
            <c:extLst>
              <c:ext xmlns:c16="http://schemas.microsoft.com/office/drawing/2014/chart" uri="{C3380CC4-5D6E-409C-BE32-E72D297353CC}">
                <c16:uniqueId val="{00000003-EEBC-4E34-B804-23378DAE8991}"/>
              </c:ext>
            </c:extLst>
          </c:dPt>
          <c:dPt>
            <c:idx val="2"/>
            <c:bubble3D val="0"/>
            <c:spPr>
              <a:solidFill>
                <a:schemeClr val="accent3"/>
              </a:solidFill>
              <a:ln>
                <a:noFill/>
              </a:ln>
              <a:effectLst>
                <a:outerShdw blurRad="152400" dist="317500" dir="5400000" sx="90000" sy="-19000" rotWithShape="0">
                  <a:prstClr val="black">
                    <a:alpha val="15000"/>
                  </a:prstClr>
                </a:outerShdw>
              </a:effectLst>
              <a:scene3d>
                <a:camera prst="orthographicFront"/>
                <a:lightRig rig="threePt" dir="t"/>
              </a:scene3d>
              <a:sp3d>
                <a:bevelT w="165100" prst="coolSlant"/>
              </a:sp3d>
            </c:spPr>
            <c:extLst>
              <c:ext xmlns:c16="http://schemas.microsoft.com/office/drawing/2014/chart" uri="{C3380CC4-5D6E-409C-BE32-E72D297353CC}">
                <c16:uniqueId val="{00000005-EEBC-4E34-B804-23378DAE8991}"/>
              </c:ext>
            </c:extLst>
          </c:dPt>
          <c:dPt>
            <c:idx val="3"/>
            <c:bubble3D val="0"/>
            <c:spPr>
              <a:solidFill>
                <a:schemeClr val="accent4"/>
              </a:solidFill>
              <a:ln>
                <a:noFill/>
              </a:ln>
              <a:effectLst>
                <a:outerShdw blurRad="152400" dist="317500" dir="5400000" sx="90000" sy="-19000" rotWithShape="0">
                  <a:prstClr val="black">
                    <a:alpha val="15000"/>
                  </a:prstClr>
                </a:outerShdw>
              </a:effectLst>
              <a:scene3d>
                <a:camera prst="orthographicFront"/>
                <a:lightRig rig="threePt" dir="t"/>
              </a:scene3d>
              <a:sp3d>
                <a:bevelT w="165100" prst="coolSlant"/>
              </a:sp3d>
            </c:spPr>
            <c:extLst>
              <c:ext xmlns:c16="http://schemas.microsoft.com/office/drawing/2014/chart" uri="{C3380CC4-5D6E-409C-BE32-E72D297353CC}">
                <c16:uniqueId val="{00000007-EEBC-4E34-B804-23378DAE8991}"/>
              </c:ext>
            </c:extLst>
          </c:dPt>
          <c:dPt>
            <c:idx val="4"/>
            <c:bubble3D val="0"/>
            <c:spPr>
              <a:solidFill>
                <a:schemeClr val="accent5"/>
              </a:solidFill>
              <a:ln>
                <a:noFill/>
              </a:ln>
              <a:effectLst>
                <a:outerShdw blurRad="152400" dist="317500" dir="5400000" sx="90000" sy="-19000" rotWithShape="0">
                  <a:prstClr val="black">
                    <a:alpha val="15000"/>
                  </a:prstClr>
                </a:outerShdw>
              </a:effectLst>
              <a:scene3d>
                <a:camera prst="orthographicFront"/>
                <a:lightRig rig="threePt" dir="t"/>
              </a:scene3d>
              <a:sp3d>
                <a:bevelT w="165100" prst="coolSlant"/>
              </a:sp3d>
            </c:spPr>
            <c:extLst>
              <c:ext xmlns:c16="http://schemas.microsoft.com/office/drawing/2014/chart" uri="{C3380CC4-5D6E-409C-BE32-E72D297353CC}">
                <c16:uniqueId val="{00000009-EEBC-4E34-B804-23378DAE8991}"/>
              </c:ext>
            </c:extLst>
          </c:dPt>
          <c:dPt>
            <c:idx val="5"/>
            <c:bubble3D val="0"/>
            <c:spPr>
              <a:solidFill>
                <a:schemeClr val="accent6"/>
              </a:solidFill>
              <a:ln>
                <a:noFill/>
              </a:ln>
              <a:effectLst>
                <a:outerShdw blurRad="152400" dist="317500" dir="5400000" sx="90000" sy="-19000" rotWithShape="0">
                  <a:prstClr val="black">
                    <a:alpha val="15000"/>
                  </a:prstClr>
                </a:outerShdw>
              </a:effectLst>
              <a:scene3d>
                <a:camera prst="orthographicFront"/>
                <a:lightRig rig="threePt" dir="t"/>
              </a:scene3d>
              <a:sp3d>
                <a:bevelT w="165100" prst="coolSlant"/>
              </a:sp3d>
            </c:spPr>
            <c:extLst>
              <c:ext xmlns:c16="http://schemas.microsoft.com/office/drawing/2014/chart" uri="{C3380CC4-5D6E-409C-BE32-E72D297353CC}">
                <c16:uniqueId val="{0000000B-EEBC-4E34-B804-23378DAE8991}"/>
              </c:ext>
            </c:extLst>
          </c:dPt>
          <c:dPt>
            <c:idx val="6"/>
            <c:bubble3D val="0"/>
            <c:spPr>
              <a:solidFill>
                <a:schemeClr val="accent1">
                  <a:lumMod val="60000"/>
                </a:schemeClr>
              </a:solidFill>
              <a:ln>
                <a:noFill/>
              </a:ln>
              <a:effectLst>
                <a:outerShdw blurRad="152400" dist="317500" dir="5400000" sx="90000" sy="-19000" rotWithShape="0">
                  <a:prstClr val="black">
                    <a:alpha val="15000"/>
                  </a:prstClr>
                </a:outerShdw>
              </a:effectLst>
              <a:scene3d>
                <a:camera prst="orthographicFront"/>
                <a:lightRig rig="threePt" dir="t"/>
              </a:scene3d>
              <a:sp3d>
                <a:bevelT w="165100" prst="coolSlant"/>
              </a:sp3d>
            </c:spPr>
            <c:extLst>
              <c:ext xmlns:c16="http://schemas.microsoft.com/office/drawing/2014/chart" uri="{C3380CC4-5D6E-409C-BE32-E72D297353CC}">
                <c16:uniqueId val="{0000000D-EEBC-4E34-B804-23378DAE8991}"/>
              </c:ext>
            </c:extLst>
          </c:dPt>
          <c:dPt>
            <c:idx val="7"/>
            <c:bubble3D val="0"/>
            <c:spPr>
              <a:solidFill>
                <a:schemeClr val="accent2">
                  <a:lumMod val="60000"/>
                </a:schemeClr>
              </a:solidFill>
              <a:ln>
                <a:noFill/>
              </a:ln>
              <a:effectLst>
                <a:outerShdw blurRad="152400" dist="317500" dir="5400000" sx="90000" sy="-19000" rotWithShape="0">
                  <a:prstClr val="black">
                    <a:alpha val="15000"/>
                  </a:prstClr>
                </a:outerShdw>
              </a:effectLst>
              <a:scene3d>
                <a:camera prst="orthographicFront"/>
                <a:lightRig rig="threePt" dir="t"/>
              </a:scene3d>
              <a:sp3d>
                <a:bevelT w="165100" prst="coolSlant"/>
              </a:sp3d>
            </c:spPr>
            <c:extLst>
              <c:ext xmlns:c16="http://schemas.microsoft.com/office/drawing/2014/chart" uri="{C3380CC4-5D6E-409C-BE32-E72D297353CC}">
                <c16:uniqueId val="{0000000F-EEBC-4E34-B804-23378DAE8991}"/>
              </c:ext>
            </c:extLst>
          </c:dPt>
          <c:dPt>
            <c:idx val="8"/>
            <c:bubble3D val="0"/>
            <c:spPr>
              <a:solidFill>
                <a:schemeClr val="accent3">
                  <a:lumMod val="60000"/>
                </a:schemeClr>
              </a:solidFill>
              <a:ln>
                <a:noFill/>
              </a:ln>
              <a:effectLst>
                <a:outerShdw blurRad="152400" dist="317500" dir="5400000" sx="90000" sy="-19000" rotWithShape="0">
                  <a:prstClr val="black">
                    <a:alpha val="15000"/>
                  </a:prstClr>
                </a:outerShdw>
              </a:effectLst>
              <a:scene3d>
                <a:camera prst="orthographicFront"/>
                <a:lightRig rig="threePt" dir="t"/>
              </a:scene3d>
              <a:sp3d>
                <a:bevelT w="165100" prst="coolSlant"/>
              </a:sp3d>
            </c:spPr>
            <c:extLst>
              <c:ext xmlns:c16="http://schemas.microsoft.com/office/drawing/2014/chart" uri="{C3380CC4-5D6E-409C-BE32-E72D297353CC}">
                <c16:uniqueId val="{00000011-EEBC-4E34-B804-23378DAE8991}"/>
              </c:ext>
            </c:extLst>
          </c:dPt>
          <c:dLbls>
            <c:dLbl>
              <c:idx val="5"/>
              <c:layout>
                <c:manualLayout>
                  <c:x val="-3.8929446355836341E-3"/>
                  <c:y val="-1.2976480129764802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EEBC-4E34-B804-23378DAE8991}"/>
                </c:ext>
              </c:extLst>
            </c:dLbl>
            <c:dLbl>
              <c:idx val="6"/>
              <c:layout>
                <c:manualLayout>
                  <c:x val="4.9221176674351308E-3"/>
                  <c:y val="1.5298710175494015E-3"/>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EEBC-4E34-B804-23378DAE8991}"/>
                </c:ext>
              </c:extLst>
            </c:dLbl>
            <c:dLbl>
              <c:idx val="7"/>
              <c:layout>
                <c:manualLayout>
                  <c:x val="-5.8394169533753978E-3"/>
                  <c:y val="-1.2976480129764743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F-EEBC-4E34-B804-23378DAE8991}"/>
                </c:ext>
              </c:extLst>
            </c:dLbl>
            <c:dLbl>
              <c:idx val="8"/>
              <c:layout>
                <c:manualLayout>
                  <c:x val="-3.8929446355836029E-3"/>
                  <c:y val="-1.6220600162206122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1-EEBC-4E34-B804-23378DAE899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1"/>
            <c:showBubbleSize val="0"/>
            <c:separator>
</c:separator>
            <c:showLeaderLines val="0"/>
            <c:extLst>
              <c:ext xmlns:c15="http://schemas.microsoft.com/office/drawing/2012/chart" uri="{CE6537A1-D6FC-4f65-9D91-7224C49458BB}"/>
            </c:extLst>
          </c:dLbls>
          <c:cat>
            <c:strRef>
              <c:f>'[Capital Charts for Statement of Accounts 2020-21.xlsx]Charts 2020.21'!$E$2:$E$8</c:f>
              <c:strCache>
                <c:ptCount val="7"/>
                <c:pt idx="0">
                  <c:v>Asset management £73 (2%)</c:v>
                </c:pt>
                <c:pt idx="1">
                  <c:v>Housing £998 (25%)</c:v>
                </c:pt>
                <c:pt idx="2">
                  <c:v>Replacement Vehicle Programme £1,368 (34%)</c:v>
                </c:pt>
                <c:pt idx="3">
                  <c:v>Regeneration £101 (3%)</c:v>
                </c:pt>
                <c:pt idx="4">
                  <c:v>Parks &amp; Recreation £1,196 (30%)</c:v>
                </c:pt>
                <c:pt idx="5">
                  <c:v>IT £185 (5%)</c:v>
                </c:pt>
                <c:pt idx="6">
                  <c:v>Leisure £125 (3%)</c:v>
                </c:pt>
              </c:strCache>
            </c:strRef>
          </c:cat>
          <c:val>
            <c:numRef>
              <c:f>'[Capital Charts for Statement of Accounts 2020-21.xlsx]Charts 2020.21'!$G$2:$G$8</c:f>
              <c:numCache>
                <c:formatCode>"£"#,##0_);[Red]\("£"#,##0\)</c:formatCode>
                <c:ptCount val="7"/>
                <c:pt idx="0">
                  <c:v>73</c:v>
                </c:pt>
                <c:pt idx="1">
                  <c:v>998</c:v>
                </c:pt>
                <c:pt idx="2">
                  <c:v>1368</c:v>
                </c:pt>
                <c:pt idx="3">
                  <c:v>101</c:v>
                </c:pt>
                <c:pt idx="4">
                  <c:v>1196</c:v>
                </c:pt>
                <c:pt idx="5">
                  <c:v>185</c:v>
                </c:pt>
                <c:pt idx="6">
                  <c:v>125</c:v>
                </c:pt>
              </c:numCache>
            </c:numRef>
          </c:val>
          <c:extLst>
            <c:ext xmlns:c16="http://schemas.microsoft.com/office/drawing/2014/chart" uri="{C3380CC4-5D6E-409C-BE32-E72D297353CC}">
              <c16:uniqueId val="{00000012-EEBC-4E34-B804-23378DAE8991}"/>
            </c:ext>
          </c:extLst>
        </c:ser>
        <c:ser>
          <c:idx val="1"/>
          <c:order val="1"/>
          <c:dPt>
            <c:idx val="0"/>
            <c:bubble3D val="0"/>
            <c:spPr>
              <a:solidFill>
                <a:schemeClr val="accent1"/>
              </a:solidFill>
              <a:ln>
                <a:noFill/>
              </a:ln>
              <a:effectLst/>
              <a:sp3d/>
            </c:spPr>
            <c:extLst>
              <c:ext xmlns:c16="http://schemas.microsoft.com/office/drawing/2014/chart" uri="{C3380CC4-5D6E-409C-BE32-E72D297353CC}">
                <c16:uniqueId val="{00000014-EEBC-4E34-B804-23378DAE8991}"/>
              </c:ext>
            </c:extLst>
          </c:dPt>
          <c:dPt>
            <c:idx val="1"/>
            <c:bubble3D val="0"/>
            <c:spPr>
              <a:solidFill>
                <a:schemeClr val="accent2"/>
              </a:solidFill>
              <a:ln>
                <a:noFill/>
              </a:ln>
              <a:effectLst/>
              <a:sp3d/>
            </c:spPr>
            <c:extLst>
              <c:ext xmlns:c16="http://schemas.microsoft.com/office/drawing/2014/chart" uri="{C3380CC4-5D6E-409C-BE32-E72D297353CC}">
                <c16:uniqueId val="{00000016-EEBC-4E34-B804-23378DAE8991}"/>
              </c:ext>
            </c:extLst>
          </c:dPt>
          <c:dPt>
            <c:idx val="2"/>
            <c:bubble3D val="0"/>
            <c:spPr>
              <a:solidFill>
                <a:schemeClr val="accent3"/>
              </a:solidFill>
              <a:ln>
                <a:noFill/>
              </a:ln>
              <a:effectLst/>
              <a:sp3d/>
            </c:spPr>
            <c:extLst>
              <c:ext xmlns:c16="http://schemas.microsoft.com/office/drawing/2014/chart" uri="{C3380CC4-5D6E-409C-BE32-E72D297353CC}">
                <c16:uniqueId val="{00000018-EEBC-4E34-B804-23378DAE8991}"/>
              </c:ext>
            </c:extLst>
          </c:dPt>
          <c:dPt>
            <c:idx val="3"/>
            <c:bubble3D val="0"/>
            <c:spPr>
              <a:solidFill>
                <a:schemeClr val="accent4"/>
              </a:solidFill>
              <a:ln>
                <a:noFill/>
              </a:ln>
              <a:effectLst/>
              <a:sp3d/>
            </c:spPr>
            <c:extLst>
              <c:ext xmlns:c16="http://schemas.microsoft.com/office/drawing/2014/chart" uri="{C3380CC4-5D6E-409C-BE32-E72D297353CC}">
                <c16:uniqueId val="{0000001A-EEBC-4E34-B804-23378DAE8991}"/>
              </c:ext>
            </c:extLst>
          </c:dPt>
          <c:dPt>
            <c:idx val="4"/>
            <c:bubble3D val="0"/>
            <c:spPr>
              <a:solidFill>
                <a:schemeClr val="accent5"/>
              </a:solidFill>
              <a:ln>
                <a:noFill/>
              </a:ln>
              <a:effectLst/>
              <a:sp3d/>
            </c:spPr>
            <c:extLst>
              <c:ext xmlns:c16="http://schemas.microsoft.com/office/drawing/2014/chart" uri="{C3380CC4-5D6E-409C-BE32-E72D297353CC}">
                <c16:uniqueId val="{0000001C-EEBC-4E34-B804-23378DAE8991}"/>
              </c:ext>
            </c:extLst>
          </c:dPt>
          <c:dPt>
            <c:idx val="5"/>
            <c:bubble3D val="0"/>
            <c:spPr>
              <a:solidFill>
                <a:schemeClr val="accent6"/>
              </a:solidFill>
              <a:ln>
                <a:noFill/>
              </a:ln>
              <a:effectLst/>
              <a:sp3d/>
            </c:spPr>
            <c:extLst>
              <c:ext xmlns:c16="http://schemas.microsoft.com/office/drawing/2014/chart" uri="{C3380CC4-5D6E-409C-BE32-E72D297353CC}">
                <c16:uniqueId val="{0000001E-EEBC-4E34-B804-23378DAE8991}"/>
              </c:ext>
            </c:extLst>
          </c:dPt>
          <c:dPt>
            <c:idx val="6"/>
            <c:bubble3D val="0"/>
            <c:spPr>
              <a:solidFill>
                <a:schemeClr val="accent1">
                  <a:lumMod val="60000"/>
                </a:schemeClr>
              </a:solidFill>
              <a:ln>
                <a:noFill/>
              </a:ln>
              <a:effectLst/>
              <a:sp3d/>
            </c:spPr>
            <c:extLst>
              <c:ext xmlns:c16="http://schemas.microsoft.com/office/drawing/2014/chart" uri="{C3380CC4-5D6E-409C-BE32-E72D297353CC}">
                <c16:uniqueId val="{00000020-EEBC-4E34-B804-23378DAE8991}"/>
              </c:ext>
            </c:extLst>
          </c:dPt>
          <c:cat>
            <c:strRef>
              <c:f>'[Capital Charts for Statement of Accounts 2020-21.xlsx]Charts 2020.21'!$E$2:$E$8</c:f>
              <c:strCache>
                <c:ptCount val="7"/>
                <c:pt idx="0">
                  <c:v>Asset management £73 (2%)</c:v>
                </c:pt>
                <c:pt idx="1">
                  <c:v>Housing £998 (25%)</c:v>
                </c:pt>
                <c:pt idx="2">
                  <c:v>Replacement Vehicle Programme £1,368 (34%)</c:v>
                </c:pt>
                <c:pt idx="3">
                  <c:v>Regeneration £101 (3%)</c:v>
                </c:pt>
                <c:pt idx="4">
                  <c:v>Parks &amp; Recreation £1,196 (30%)</c:v>
                </c:pt>
                <c:pt idx="5">
                  <c:v>IT £185 (5%)</c:v>
                </c:pt>
                <c:pt idx="6">
                  <c:v>Leisure £125 (3%)</c:v>
                </c:pt>
              </c:strCache>
            </c:strRef>
          </c:cat>
          <c:val>
            <c:numRef>
              <c:f>'[Capital Charts for Statement of Accounts 2020-21.xlsx]Charts 2020.21'!$H$2:$H$8</c:f>
              <c:numCache>
                <c:formatCode>0.0%</c:formatCode>
                <c:ptCount val="7"/>
                <c:pt idx="0">
                  <c:v>1.8007169257843656E-2</c:v>
                </c:pt>
                <c:pt idx="1">
                  <c:v>0.24661279636881403</c:v>
                </c:pt>
                <c:pt idx="2">
                  <c:v>0.33810024899820934</c:v>
                </c:pt>
                <c:pt idx="3">
                  <c:v>2.50056583197724E-2</c:v>
                </c:pt>
                <c:pt idx="4">
                  <c:v>0.29552258341240006</c:v>
                </c:pt>
                <c:pt idx="5">
                  <c:v>4.5811129969691021E-2</c:v>
                </c:pt>
                <c:pt idx="6">
                  <c:v>3.0940413673269499E-2</c:v>
                </c:pt>
              </c:numCache>
            </c:numRef>
          </c:val>
          <c:extLst>
            <c:ext xmlns:c16="http://schemas.microsoft.com/office/drawing/2014/chart" uri="{C3380CC4-5D6E-409C-BE32-E72D297353CC}">
              <c16:uniqueId val="{00000021-EEBC-4E34-B804-23378DAE8991}"/>
            </c:ext>
          </c:extLst>
        </c:ser>
        <c:dLbls>
          <c:showLegendKey val="0"/>
          <c:showVal val="0"/>
          <c:showCatName val="0"/>
          <c:showSerName val="0"/>
          <c:showPercent val="0"/>
          <c:showBubbleSize val="0"/>
          <c:showLeaderLines val="0"/>
        </c:dLbls>
      </c:pie3DChart>
      <c:spPr>
        <a:noFill/>
        <a:ln>
          <a:noFill/>
        </a:ln>
        <a:effectLst/>
      </c:spPr>
    </c:plotArea>
    <c:legend>
      <c:legendPos val="r"/>
      <c:layout>
        <c:manualLayout>
          <c:xMode val="edge"/>
          <c:yMode val="edge"/>
          <c:x val="0.65126726076475827"/>
          <c:y val="0.16438901341711851"/>
          <c:w val="0.327253187310104"/>
          <c:h val="0.82263450645311675"/>
        </c:manualLayout>
      </c:layout>
      <c:overlay val="0"/>
      <c:spPr>
        <a:noFill/>
        <a:ln>
          <a:solidFill>
            <a:sysClr val="windowText" lastClr="000000"/>
          </a:solidFill>
        </a:ln>
        <a:effectLst>
          <a:outerShdw blurRad="50800" dist="38100" dir="2700000" algn="tl" rotWithShape="0">
            <a:prstClr val="black">
              <a:alpha val="40000"/>
            </a:prstClr>
          </a:outerShdw>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800" b="1">
                <a:solidFill>
                  <a:srgbClr val="0070C0"/>
                </a:solidFill>
                <a:latin typeface="Arial" panose="020B0604020202020204" pitchFamily="34" charset="0"/>
                <a:cs typeface="Arial" panose="020B0604020202020204" pitchFamily="34" charset="0"/>
              </a:rPr>
              <a:t>Capital Financing £'000</a:t>
            </a:r>
          </a:p>
        </c:rich>
      </c:tx>
      <c:layout>
        <c:manualLayout>
          <c:xMode val="edge"/>
          <c:yMode val="edge"/>
          <c:x val="0.25245730635205949"/>
          <c:y val="4.5417680454176802E-2"/>
        </c:manualLayout>
      </c:layout>
      <c:overlay val="0"/>
      <c:spPr>
        <a:noFill/>
        <a:ln>
          <a:noFill/>
        </a:ln>
        <a:effectLst/>
      </c:spPr>
      <c:txPr>
        <a:bodyPr rot="0" spcFirstLastPara="1" vertOverflow="ellipsis" vert="horz" wrap="square" anchor="ctr" anchorCtr="1"/>
        <a:lstStyle/>
        <a:p>
          <a:pPr>
            <a:defRPr sz="18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view3D>
      <c:rotX val="30"/>
      <c:rotY val="0"/>
      <c:depthPercent val="100"/>
      <c:rAngAx val="0"/>
    </c:view3D>
    <c:floor>
      <c:thickness val="0"/>
      <c:spPr>
        <a:noFill/>
        <a:ln w="10000"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effectLst>
              <a:outerShdw blurRad="152400" dist="317500" dir="5400000" sx="90000" sy="-19000" rotWithShape="0">
                <a:prstClr val="black">
                  <a:alpha val="15000"/>
                </a:prstClr>
              </a:outerShdw>
            </a:effectLst>
            <a:scene3d>
              <a:camera prst="orthographicFront"/>
              <a:lightRig rig="threePt" dir="t"/>
            </a:scene3d>
            <a:sp3d>
              <a:bevelT w="165100" prst="coolSlant"/>
            </a:sp3d>
          </c:spPr>
          <c:explosion val="20"/>
          <c:dPt>
            <c:idx val="0"/>
            <c:bubble3D val="0"/>
            <c:spPr>
              <a:solidFill>
                <a:schemeClr val="accent1"/>
              </a:solidFill>
              <a:ln>
                <a:noFill/>
              </a:ln>
              <a:effectLst>
                <a:outerShdw blurRad="152400" dist="317500" dir="5400000" sx="90000" sy="-19000" rotWithShape="0">
                  <a:prstClr val="black">
                    <a:alpha val="15000"/>
                  </a:prstClr>
                </a:outerShdw>
              </a:effectLst>
              <a:scene3d>
                <a:camera prst="orthographicFront"/>
                <a:lightRig rig="threePt" dir="t"/>
              </a:scene3d>
              <a:sp3d>
                <a:bevelT w="165100" prst="coolSlant"/>
              </a:sp3d>
            </c:spPr>
            <c:extLst>
              <c:ext xmlns:c16="http://schemas.microsoft.com/office/drawing/2014/chart" uri="{C3380CC4-5D6E-409C-BE32-E72D297353CC}">
                <c16:uniqueId val="{00000001-6C69-4EFB-A05B-172D5CBC152F}"/>
              </c:ext>
            </c:extLst>
          </c:dPt>
          <c:dPt>
            <c:idx val="1"/>
            <c:bubble3D val="0"/>
            <c:spPr>
              <a:solidFill>
                <a:schemeClr val="accent2"/>
              </a:solidFill>
              <a:ln>
                <a:noFill/>
              </a:ln>
              <a:effectLst>
                <a:outerShdw blurRad="152400" dist="317500" dir="5400000" sx="90000" sy="-19000" rotWithShape="0">
                  <a:prstClr val="black">
                    <a:alpha val="15000"/>
                  </a:prstClr>
                </a:outerShdw>
              </a:effectLst>
              <a:scene3d>
                <a:camera prst="orthographicFront"/>
                <a:lightRig rig="threePt" dir="t"/>
              </a:scene3d>
              <a:sp3d>
                <a:bevelT w="165100" prst="coolSlant"/>
              </a:sp3d>
            </c:spPr>
            <c:extLst>
              <c:ext xmlns:c16="http://schemas.microsoft.com/office/drawing/2014/chart" uri="{C3380CC4-5D6E-409C-BE32-E72D297353CC}">
                <c16:uniqueId val="{00000003-6C69-4EFB-A05B-172D5CBC152F}"/>
              </c:ext>
            </c:extLst>
          </c:dPt>
          <c:dPt>
            <c:idx val="2"/>
            <c:bubble3D val="0"/>
            <c:spPr>
              <a:solidFill>
                <a:schemeClr val="accent3"/>
              </a:solidFill>
              <a:ln>
                <a:noFill/>
              </a:ln>
              <a:effectLst>
                <a:outerShdw blurRad="152400" dist="317500" dir="5400000" sx="90000" sy="-19000" rotWithShape="0">
                  <a:prstClr val="black">
                    <a:alpha val="15000"/>
                  </a:prstClr>
                </a:outerShdw>
              </a:effectLst>
              <a:scene3d>
                <a:camera prst="orthographicFront"/>
                <a:lightRig rig="threePt" dir="t"/>
              </a:scene3d>
              <a:sp3d>
                <a:bevelT w="165100" prst="coolSlant"/>
              </a:sp3d>
            </c:spPr>
            <c:extLst>
              <c:ext xmlns:c16="http://schemas.microsoft.com/office/drawing/2014/chart" uri="{C3380CC4-5D6E-409C-BE32-E72D297353CC}">
                <c16:uniqueId val="{00000005-6C69-4EFB-A05B-172D5CBC152F}"/>
              </c:ext>
            </c:extLst>
          </c:dPt>
          <c:dPt>
            <c:idx val="3"/>
            <c:bubble3D val="0"/>
            <c:spPr>
              <a:solidFill>
                <a:schemeClr val="accent4"/>
              </a:solidFill>
              <a:ln>
                <a:noFill/>
              </a:ln>
              <a:effectLst>
                <a:outerShdw blurRad="152400" dist="317500" dir="5400000" sx="90000" sy="-19000" rotWithShape="0">
                  <a:prstClr val="black">
                    <a:alpha val="15000"/>
                  </a:prstClr>
                </a:outerShdw>
              </a:effectLst>
              <a:scene3d>
                <a:camera prst="orthographicFront"/>
                <a:lightRig rig="threePt" dir="t"/>
              </a:scene3d>
              <a:sp3d>
                <a:bevelT w="165100" prst="coolSlant"/>
              </a:sp3d>
            </c:spPr>
            <c:extLst>
              <c:ext xmlns:c16="http://schemas.microsoft.com/office/drawing/2014/chart" uri="{C3380CC4-5D6E-409C-BE32-E72D297353CC}">
                <c16:uniqueId val="{00000007-6C69-4EFB-A05B-172D5CBC152F}"/>
              </c:ext>
            </c:extLst>
          </c:dPt>
          <c:dPt>
            <c:idx val="4"/>
            <c:bubble3D val="0"/>
            <c:spPr>
              <a:solidFill>
                <a:schemeClr val="accent5"/>
              </a:solidFill>
              <a:ln>
                <a:noFill/>
              </a:ln>
              <a:effectLst>
                <a:outerShdw blurRad="152400" dist="317500" dir="5400000" sx="90000" sy="-19000" rotWithShape="0">
                  <a:prstClr val="black">
                    <a:alpha val="15000"/>
                  </a:prstClr>
                </a:outerShdw>
              </a:effectLst>
              <a:scene3d>
                <a:camera prst="orthographicFront"/>
                <a:lightRig rig="threePt" dir="t"/>
              </a:scene3d>
              <a:sp3d>
                <a:bevelT w="165100" prst="coolSlant"/>
              </a:sp3d>
            </c:spPr>
            <c:extLst>
              <c:ext xmlns:c16="http://schemas.microsoft.com/office/drawing/2014/chart" uri="{C3380CC4-5D6E-409C-BE32-E72D297353CC}">
                <c16:uniqueId val="{00000009-6C69-4EFB-A05B-172D5CBC152F}"/>
              </c:ext>
            </c:extLst>
          </c:dPt>
          <c:dPt>
            <c:idx val="5"/>
            <c:bubble3D val="0"/>
            <c:spPr>
              <a:solidFill>
                <a:schemeClr val="accent6"/>
              </a:solidFill>
              <a:ln>
                <a:noFill/>
              </a:ln>
              <a:effectLst>
                <a:outerShdw blurRad="152400" dist="317500" dir="5400000" sx="90000" sy="-19000" rotWithShape="0">
                  <a:prstClr val="black">
                    <a:alpha val="15000"/>
                  </a:prstClr>
                </a:outerShdw>
              </a:effectLst>
              <a:scene3d>
                <a:camera prst="orthographicFront"/>
                <a:lightRig rig="threePt" dir="t"/>
              </a:scene3d>
              <a:sp3d>
                <a:bevelT w="165100" prst="coolSlant"/>
              </a:sp3d>
            </c:spPr>
            <c:extLst>
              <c:ext xmlns:c16="http://schemas.microsoft.com/office/drawing/2014/chart" uri="{C3380CC4-5D6E-409C-BE32-E72D297353CC}">
                <c16:uniqueId val="{0000000B-6C69-4EFB-A05B-172D5CBC152F}"/>
              </c:ext>
            </c:extLst>
          </c:dPt>
          <c:dPt>
            <c:idx val="6"/>
            <c:bubble3D val="0"/>
            <c:spPr>
              <a:solidFill>
                <a:schemeClr val="accent1">
                  <a:lumMod val="60000"/>
                </a:schemeClr>
              </a:solidFill>
              <a:ln>
                <a:noFill/>
              </a:ln>
              <a:effectLst>
                <a:outerShdw blurRad="152400" dist="317500" dir="5400000" sx="90000" sy="-19000" rotWithShape="0">
                  <a:prstClr val="black">
                    <a:alpha val="15000"/>
                  </a:prstClr>
                </a:outerShdw>
              </a:effectLst>
              <a:scene3d>
                <a:camera prst="orthographicFront"/>
                <a:lightRig rig="threePt" dir="t"/>
              </a:scene3d>
              <a:sp3d>
                <a:bevelT w="165100" prst="coolSlant"/>
              </a:sp3d>
            </c:spPr>
            <c:extLst>
              <c:ext xmlns:c16="http://schemas.microsoft.com/office/drawing/2014/chart" uri="{C3380CC4-5D6E-409C-BE32-E72D297353CC}">
                <c16:uniqueId val="{0000000D-6C69-4EFB-A05B-172D5CBC152F}"/>
              </c:ext>
            </c:extLst>
          </c:dPt>
          <c:dPt>
            <c:idx val="7"/>
            <c:bubble3D val="0"/>
            <c:spPr>
              <a:solidFill>
                <a:schemeClr val="accent2">
                  <a:lumMod val="60000"/>
                </a:schemeClr>
              </a:solidFill>
              <a:ln>
                <a:noFill/>
              </a:ln>
              <a:effectLst>
                <a:outerShdw blurRad="152400" dist="317500" dir="5400000" sx="90000" sy="-19000" rotWithShape="0">
                  <a:prstClr val="black">
                    <a:alpha val="15000"/>
                  </a:prstClr>
                </a:outerShdw>
              </a:effectLst>
              <a:scene3d>
                <a:camera prst="orthographicFront"/>
                <a:lightRig rig="threePt" dir="t"/>
              </a:scene3d>
              <a:sp3d>
                <a:bevelT w="165100" prst="coolSlant"/>
              </a:sp3d>
            </c:spPr>
            <c:extLst>
              <c:ext xmlns:c16="http://schemas.microsoft.com/office/drawing/2014/chart" uri="{C3380CC4-5D6E-409C-BE32-E72D297353CC}">
                <c16:uniqueId val="{0000000F-6C69-4EFB-A05B-172D5CBC152F}"/>
              </c:ext>
            </c:extLst>
          </c:dPt>
          <c:dPt>
            <c:idx val="8"/>
            <c:bubble3D val="0"/>
            <c:spPr>
              <a:solidFill>
                <a:schemeClr val="accent3">
                  <a:lumMod val="60000"/>
                </a:schemeClr>
              </a:solidFill>
              <a:ln>
                <a:noFill/>
              </a:ln>
              <a:effectLst>
                <a:outerShdw blurRad="152400" dist="317500" dir="5400000" sx="90000" sy="-19000" rotWithShape="0">
                  <a:prstClr val="black">
                    <a:alpha val="15000"/>
                  </a:prstClr>
                </a:outerShdw>
              </a:effectLst>
              <a:scene3d>
                <a:camera prst="orthographicFront"/>
                <a:lightRig rig="threePt" dir="t"/>
              </a:scene3d>
              <a:sp3d>
                <a:bevelT w="165100" prst="coolSlant"/>
              </a:sp3d>
            </c:spPr>
            <c:extLst>
              <c:ext xmlns:c16="http://schemas.microsoft.com/office/drawing/2014/chart" uri="{C3380CC4-5D6E-409C-BE32-E72D297353CC}">
                <c16:uniqueId val="{00000011-6C69-4EFB-A05B-172D5CBC152F}"/>
              </c:ext>
            </c:extLst>
          </c:dPt>
          <c:dLbls>
            <c:dLbl>
              <c:idx val="0"/>
              <c:layout>
                <c:manualLayout>
                  <c:x val="-4.2822390991419657E-2"/>
                  <c:y val="-0.11678832116788321"/>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6C69-4EFB-A05B-172D5CBC152F}"/>
                </c:ext>
              </c:extLst>
            </c:dLbl>
            <c:dLbl>
              <c:idx val="5"/>
              <c:layout>
                <c:manualLayout>
                  <c:x val="1.1678833906750759E-2"/>
                  <c:y val="-6.4882400648824008E-3"/>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6C69-4EFB-A05B-172D5CBC152F}"/>
                </c:ext>
              </c:extLst>
            </c:dLbl>
            <c:dLbl>
              <c:idx val="6"/>
              <c:layout>
                <c:manualLayout>
                  <c:x val="-1.1678833906750796E-2"/>
                  <c:y val="2.9197080291970802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6C69-4EFB-A05B-172D5CBC152F}"/>
                </c:ext>
              </c:extLst>
            </c:dLbl>
            <c:dLbl>
              <c:idx val="7"/>
              <c:layout>
                <c:manualLayout>
                  <c:x val="-5.8394169533753978E-3"/>
                  <c:y val="-1.2976480129764743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F-6C69-4EFB-A05B-172D5CBC152F}"/>
                </c:ext>
              </c:extLst>
            </c:dLbl>
            <c:dLbl>
              <c:idx val="8"/>
              <c:layout>
                <c:manualLayout>
                  <c:x val="-3.8929446355836029E-3"/>
                  <c:y val="-1.6220600162206122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1-6C69-4EFB-A05B-172D5CBC152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1"/>
            <c:showBubbleSize val="0"/>
            <c:separator>
</c:separator>
            <c:showLeaderLines val="0"/>
            <c:extLst>
              <c:ext xmlns:c15="http://schemas.microsoft.com/office/drawing/2012/chart" uri="{CE6537A1-D6FC-4f65-9D91-7224C49458BB}"/>
            </c:extLst>
          </c:dLbls>
          <c:cat>
            <c:strRef>
              <c:f>'[Capital Charts for Statement of Accounts 2020-21.xlsx]Charts 2020.21'!$E$29:$E$31</c:f>
              <c:strCache>
                <c:ptCount val="3"/>
                <c:pt idx="0">
                  <c:v>Capital receipts £28 (1%)</c:v>
                </c:pt>
                <c:pt idx="1">
                  <c:v>External contributions £1,971 (49%)</c:v>
                </c:pt>
                <c:pt idx="2">
                  <c:v>Earmarked reserves £2,045 (51%)</c:v>
                </c:pt>
              </c:strCache>
            </c:strRef>
          </c:cat>
          <c:val>
            <c:numRef>
              <c:f>'[Capital Charts for Statement of Accounts 2020-21.xlsx]Charts 2020.21'!$G$29:$G$31</c:f>
              <c:numCache>
                <c:formatCode>"£"#,##0_);[Red]\("£"#,##0\)</c:formatCode>
                <c:ptCount val="3"/>
                <c:pt idx="0">
                  <c:v>28</c:v>
                </c:pt>
                <c:pt idx="1">
                  <c:v>1971</c:v>
                </c:pt>
                <c:pt idx="2">
                  <c:v>2045</c:v>
                </c:pt>
              </c:numCache>
            </c:numRef>
          </c:val>
          <c:extLst>
            <c:ext xmlns:c16="http://schemas.microsoft.com/office/drawing/2014/chart" uri="{C3380CC4-5D6E-409C-BE32-E72D297353CC}">
              <c16:uniqueId val="{00000012-6C69-4EFB-A05B-172D5CBC152F}"/>
            </c:ext>
          </c:extLst>
        </c:ser>
        <c:dLbls>
          <c:showLegendKey val="0"/>
          <c:showVal val="0"/>
          <c:showCatName val="0"/>
          <c:showSerName val="0"/>
          <c:showPercent val="0"/>
          <c:showBubbleSize val="0"/>
          <c:showLeaderLines val="0"/>
        </c:dLbls>
      </c:pie3DChart>
      <c:spPr>
        <a:noFill/>
        <a:ln>
          <a:noFill/>
        </a:ln>
        <a:effectLst/>
      </c:spPr>
    </c:plotArea>
    <c:legend>
      <c:legendPos val="r"/>
      <c:layout>
        <c:manualLayout>
          <c:xMode val="edge"/>
          <c:yMode val="edge"/>
          <c:x val="0.65126726076475827"/>
          <c:y val="0.21629493393617769"/>
          <c:w val="0.327253187310104"/>
          <c:h val="0.72206678544743952"/>
        </c:manualLayout>
      </c:layout>
      <c:overlay val="0"/>
      <c:spPr>
        <a:noFill/>
        <a:ln>
          <a:solidFill>
            <a:sysClr val="windowText" lastClr="000000"/>
          </a:solidFill>
        </a:ln>
        <a:effectLst>
          <a:outerShdw blurRad="50800" dist="38100" dir="2700000" algn="tl" rotWithShape="0">
            <a:prstClr val="black">
              <a:alpha val="40000"/>
            </a:prstClr>
          </a:outerShdw>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10000" cap="flat" cmpd="sng" algn="ctr">
      <a:noFill/>
      <a:prstDash val="solid"/>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009C2-8F98-454D-85A5-BD3A3C568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139</Pages>
  <Words>35311</Words>
  <Characters>211204</Characters>
  <Application>Microsoft Office Word</Application>
  <DocSecurity>0</DocSecurity>
  <Lines>1760</Lines>
  <Paragraphs>492</Paragraphs>
  <ScaleCrop>false</ScaleCrop>
  <HeadingPairs>
    <vt:vector size="2" baseType="variant">
      <vt:variant>
        <vt:lpstr>Title</vt:lpstr>
      </vt:variant>
      <vt:variant>
        <vt:i4>1</vt:i4>
      </vt:variant>
    </vt:vector>
  </HeadingPairs>
  <TitlesOfParts>
    <vt:vector size="1" baseType="lpstr">
      <vt:lpstr>Statement of Accounts</vt:lpstr>
    </vt:vector>
  </TitlesOfParts>
  <Company>SRBC</Company>
  <LinksUpToDate>false</LinksUpToDate>
  <CharactersWithSpaces>246023</CharactersWithSpaces>
  <SharedDoc>false</SharedDoc>
  <HLinks>
    <vt:vector size="48" baseType="variant">
      <vt:variant>
        <vt:i4>5308497</vt:i4>
      </vt:variant>
      <vt:variant>
        <vt:i4>-1</vt:i4>
      </vt:variant>
      <vt:variant>
        <vt:i4>1029</vt:i4>
      </vt:variant>
      <vt:variant>
        <vt:i4>1</vt:i4>
      </vt:variant>
      <vt:variant>
        <vt:lpwstr>http://taylos/sorce/apps/picture_lib_app/uploads/Longton%20Brickcroft.jpg</vt:lpwstr>
      </vt:variant>
      <vt:variant>
        <vt:lpwstr/>
      </vt:variant>
      <vt:variant>
        <vt:i4>5308504</vt:i4>
      </vt:variant>
      <vt:variant>
        <vt:i4>-1</vt:i4>
      </vt:variant>
      <vt:variant>
        <vt:i4>1031</vt:i4>
      </vt:variant>
      <vt:variant>
        <vt:i4>1</vt:i4>
      </vt:variant>
      <vt:variant>
        <vt:lpwstr>http://images-2.redbubble.net/img/inventory/framecolor:black/size:400x340/view:preview/reusable-frame.jpg</vt:lpwstr>
      </vt:variant>
      <vt:variant>
        <vt:lpwstr/>
      </vt:variant>
      <vt:variant>
        <vt:i4>5177417</vt:i4>
      </vt:variant>
      <vt:variant>
        <vt:i4>-1</vt:i4>
      </vt:variant>
      <vt:variant>
        <vt:i4>1032</vt:i4>
      </vt:variant>
      <vt:variant>
        <vt:i4>1</vt:i4>
      </vt:variant>
      <vt:variant>
        <vt:lpwstr>http://taylos/sorce/apps/picture_lib_app/uploads/pen%20bridge.JPG</vt:lpwstr>
      </vt:variant>
      <vt:variant>
        <vt:lpwstr/>
      </vt:variant>
      <vt:variant>
        <vt:i4>5308504</vt:i4>
      </vt:variant>
      <vt:variant>
        <vt:i4>-1</vt:i4>
      </vt:variant>
      <vt:variant>
        <vt:i4>1034</vt:i4>
      </vt:variant>
      <vt:variant>
        <vt:i4>1</vt:i4>
      </vt:variant>
      <vt:variant>
        <vt:lpwstr>http://images-2.redbubble.net/img/inventory/framecolor:black/size:400x340/view:preview/reusable-frame.jpg</vt:lpwstr>
      </vt:variant>
      <vt:variant>
        <vt:lpwstr/>
      </vt:variant>
      <vt:variant>
        <vt:i4>5308504</vt:i4>
      </vt:variant>
      <vt:variant>
        <vt:i4>-1</vt:i4>
      </vt:variant>
      <vt:variant>
        <vt:i4>1037</vt:i4>
      </vt:variant>
      <vt:variant>
        <vt:i4>1</vt:i4>
      </vt:variant>
      <vt:variant>
        <vt:lpwstr>http://images-2.redbubble.net/img/inventory/framecolor:black/size:400x340/view:preview/reusable-frame.jpg</vt:lpwstr>
      </vt:variant>
      <vt:variant>
        <vt:lpwstr/>
      </vt:variant>
      <vt:variant>
        <vt:i4>4456536</vt:i4>
      </vt:variant>
      <vt:variant>
        <vt:i4>-1</vt:i4>
      </vt:variant>
      <vt:variant>
        <vt:i4>1038</vt:i4>
      </vt:variant>
      <vt:variant>
        <vt:i4>1</vt:i4>
      </vt:variant>
      <vt:variant>
        <vt:lpwstr>http://www.southribble.gov.uk/upload/public/docimages/Image/s/u/b/advicebenefits1.jpg</vt:lpwstr>
      </vt:variant>
      <vt:variant>
        <vt:lpwstr/>
      </vt:variant>
      <vt:variant>
        <vt:i4>5308504</vt:i4>
      </vt:variant>
      <vt:variant>
        <vt:i4>-1</vt:i4>
      </vt:variant>
      <vt:variant>
        <vt:i4>1040</vt:i4>
      </vt:variant>
      <vt:variant>
        <vt:i4>1</vt:i4>
      </vt:variant>
      <vt:variant>
        <vt:lpwstr>http://images-2.redbubble.net/img/inventory/framecolor:black/size:400x340/view:preview/reusable-frame.jpg</vt:lpwstr>
      </vt:variant>
      <vt:variant>
        <vt:lpwstr/>
      </vt:variant>
      <vt:variant>
        <vt:i4>7602216</vt:i4>
      </vt:variant>
      <vt:variant>
        <vt:i4>-1</vt:i4>
      </vt:variant>
      <vt:variant>
        <vt:i4>1041</vt:i4>
      </vt:variant>
      <vt:variant>
        <vt:i4>1</vt:i4>
      </vt:variant>
      <vt:variant>
        <vt:lpwstr>http://taylos/sorce/apps/picture_lib_app/uploads/wordenpark.GIF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Accounts</dc:title>
  <dc:subject/>
  <dc:creator>Furber, Tony</dc:creator>
  <cp:keywords/>
  <dc:description/>
  <cp:lastModifiedBy>Coral Astbury</cp:lastModifiedBy>
  <cp:revision>4</cp:revision>
  <cp:lastPrinted>2021-07-02T15:02:00Z</cp:lastPrinted>
  <dcterms:created xsi:type="dcterms:W3CDTF">2021-07-19T15:28:00Z</dcterms:created>
  <dcterms:modified xsi:type="dcterms:W3CDTF">2021-07-20T10:14:00Z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